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6.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7.xml" ContentType="application/vnd.openxmlformats-officedocument.wordprocessingml.footer+xml"/>
  <Override PartName="/word/header41.xml" ContentType="application/vnd.openxmlformats-officedocument.wordprocessingml.header+xml"/>
  <Override PartName="/word/footer8.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9.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10.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affb"/>
        <w:tabs>
          <w:tab w:val="left" w:pos="798"/>
        </w:tabs>
        <w:ind w:right="-1"/>
        <w:rPr>
          <w:rFonts w:ascii="Arial" w:hAnsi="Arial" w:cs="Arial"/>
          <w:b/>
          <w:color w:val="FFFFFF" w:themeColor="background1"/>
          <w:sz w:val="28"/>
          <w:szCs w:val="28"/>
        </w:rPr>
      </w:pPr>
      <w:bookmarkStart w:id="0" w:name="_Toc243820357"/>
      <w:r>
        <w:rPr>
          <w:noProof/>
          <w:color w:val="FFFFFF"/>
          <w:lang w:eastAsia="ru-RU"/>
        </w:rPr>
        <w:drawing>
          <wp:inline distT="0" distB="0" distL="0" distR="0">
            <wp:extent cx="1604645" cy="8369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4645" cy="836930"/>
                    </a:xfrm>
                    <a:prstGeom prst="rect">
                      <a:avLst/>
                    </a:prstGeom>
                    <a:noFill/>
                    <a:ln>
                      <a:noFill/>
                    </a:ln>
                  </pic:spPr>
                </pic:pic>
              </a:graphicData>
            </a:graphic>
          </wp:inline>
        </w:drawing>
      </w:r>
    </w:p>
    <w:p>
      <w:pPr>
        <w:pStyle w:val="affb"/>
        <w:spacing w:line="360" w:lineRule="auto"/>
        <w:ind w:left="5390"/>
        <w:rPr>
          <w:rFonts w:ascii="Arial" w:hAnsi="Arial" w:cs="Arial"/>
          <w:b/>
          <w:sz w:val="20"/>
          <w:szCs w:val="20"/>
        </w:rPr>
      </w:pPr>
    </w:p>
    <w:tbl>
      <w:tblPr>
        <w:tblW w:w="9854" w:type="dxa"/>
        <w:tblLook w:val="01E0" w:firstRow="1" w:lastRow="1" w:firstColumn="1" w:lastColumn="1" w:noHBand="0" w:noVBand="0"/>
      </w:tblPr>
      <w:tblGrid>
        <w:gridCol w:w="4927"/>
        <w:gridCol w:w="4927"/>
      </w:tblGrid>
      <w:tr>
        <w:tc>
          <w:tcPr>
            <w:tcW w:w="4927" w:type="dxa"/>
            <w:shd w:val="clear" w:color="auto" w:fill="auto"/>
          </w:tcPr>
          <w:p>
            <w:pPr>
              <w:pStyle w:val="affb"/>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 xml:space="preserve">УТВЕРЖДЕНЫ </w:t>
            </w:r>
          </w:p>
          <w:p>
            <w:pPr>
              <w:pStyle w:val="affb"/>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Приказом ОАО «Удмуртнефть»</w:t>
            </w:r>
          </w:p>
          <w:p>
            <w:pPr>
              <w:pStyle w:val="affb"/>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от «25» мая 2018 № 412</w:t>
            </w:r>
          </w:p>
          <w:p>
            <w:pPr>
              <w:pStyle w:val="affb"/>
              <w:widowControl w:val="0"/>
              <w:overflowPunct w:val="0"/>
              <w:autoSpaceDE w:val="0"/>
              <w:autoSpaceDN w:val="0"/>
              <w:adjustRightInd w:val="0"/>
              <w:spacing w:after="160" w:line="360" w:lineRule="auto"/>
              <w:textAlignment w:val="baseline"/>
              <w:rPr>
                <w:rFonts w:ascii="Arial" w:hAnsi="Arial" w:cs="Arial"/>
              </w:rPr>
            </w:pPr>
            <w:r>
              <w:rPr>
                <w:rFonts w:ascii="Arial" w:hAnsi="Arial" w:cs="Arial"/>
                <w:b/>
                <w:sz w:val="20"/>
                <w:szCs w:val="20"/>
              </w:rPr>
              <w:t>Введены в действие «25» мая 2018</w:t>
            </w:r>
          </w:p>
        </w:tc>
        <w:tc>
          <w:tcPr>
            <w:tcW w:w="4927" w:type="dxa"/>
            <w:shd w:val="clear" w:color="auto" w:fill="auto"/>
          </w:tcPr>
          <w:p>
            <w:pPr>
              <w:pStyle w:val="affb"/>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 xml:space="preserve">УТВЕРЖДЕНЫ </w:t>
            </w:r>
          </w:p>
          <w:p>
            <w:pPr>
              <w:pStyle w:val="affb"/>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Распоряжением ПАО «НК «Роснефть»</w:t>
            </w:r>
          </w:p>
          <w:p>
            <w:pPr>
              <w:pStyle w:val="affb"/>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от «14» мая 2018 г. № 253</w:t>
            </w:r>
          </w:p>
          <w:p>
            <w:pPr>
              <w:pStyle w:val="affb"/>
              <w:widowControl w:val="0"/>
              <w:overflowPunct w:val="0"/>
              <w:autoSpaceDE w:val="0"/>
              <w:autoSpaceDN w:val="0"/>
              <w:adjustRightInd w:val="0"/>
              <w:spacing w:after="160" w:line="360" w:lineRule="auto"/>
              <w:ind w:left="460"/>
              <w:textAlignment w:val="baseline"/>
              <w:rPr>
                <w:rFonts w:ascii="Arial" w:hAnsi="Arial" w:cs="Arial"/>
              </w:rPr>
            </w:pPr>
            <w:r>
              <w:rPr>
                <w:rFonts w:ascii="Arial" w:hAnsi="Arial" w:cs="Arial"/>
                <w:b/>
                <w:sz w:val="20"/>
                <w:szCs w:val="20"/>
              </w:rPr>
              <w:t>Введены в действие «14» мая 2018 г.</w:t>
            </w:r>
          </w:p>
        </w:tc>
      </w:tr>
    </w:tbl>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bookmarkStart w:id="1" w:name="_GoBack"/>
      <w:bookmarkEnd w:id="1"/>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p>
      <w:pPr>
        <w:rPr>
          <w:rFonts w:ascii="Arial" w:eastAsia="Times New Roman" w:hAnsi="Arial" w:cs="Arial"/>
          <w:sz w:val="20"/>
        </w:rPr>
      </w:pPr>
    </w:p>
    <w:tbl>
      <w:tblPr>
        <w:tblW w:w="4857" w:type="pct"/>
        <w:jc w:val="center"/>
        <w:tblBorders>
          <w:bottom w:val="single" w:sz="8" w:space="0" w:color="FFD200"/>
        </w:tblBorders>
        <w:tblLook w:val="01E0" w:firstRow="1" w:lastRow="1" w:firstColumn="1" w:lastColumn="1" w:noHBand="0" w:noVBand="0"/>
      </w:tblPr>
      <w:tblGrid>
        <w:gridCol w:w="9572"/>
      </w:tblGrid>
      <w:tr>
        <w:trPr>
          <w:trHeight w:val="356"/>
          <w:jc w:val="center"/>
        </w:trPr>
        <w:tc>
          <w:tcPr>
            <w:tcW w:w="5000" w:type="pct"/>
            <w:tcBorders>
              <w:bottom w:val="single" w:sz="12" w:space="0" w:color="FFD200"/>
            </w:tcBorders>
          </w:tcPr>
          <w:p>
            <w:pPr>
              <w:jc w:val="center"/>
              <w:rPr>
                <w:rFonts w:ascii="Arial" w:hAnsi="Arial" w:cs="Arial"/>
                <w:b/>
                <w:spacing w:val="-4"/>
                <w:sz w:val="36"/>
                <w:szCs w:val="36"/>
              </w:rPr>
            </w:pPr>
            <w:r>
              <w:rPr>
                <w:rFonts w:ascii="Arial" w:hAnsi="Arial" w:cs="Arial"/>
                <w:b/>
                <w:spacing w:val="-4"/>
                <w:sz w:val="36"/>
                <w:szCs w:val="36"/>
              </w:rPr>
              <w:t>МЕТОДИЧЕСКИЕ УКАЗАНИЯ КОМПАНИИ</w:t>
            </w:r>
          </w:p>
        </w:tc>
      </w:tr>
    </w:tbl>
    <w:p>
      <w:pPr>
        <w:spacing w:before="60"/>
        <w:jc w:val="center"/>
        <w:rPr>
          <w:rFonts w:ascii="Arial" w:eastAsiaTheme="minorHAnsi" w:hAnsi="Arial" w:cs="Arial"/>
          <w:b/>
          <w:spacing w:val="-4"/>
          <w:lang w:eastAsia="en-US"/>
        </w:rPr>
      </w:pPr>
      <w:r>
        <w:rPr>
          <w:rFonts w:ascii="Arial" w:eastAsiaTheme="minorHAnsi" w:hAnsi="Arial" w:cs="Arial"/>
          <w:b/>
          <w:spacing w:val="-4"/>
          <w:lang w:eastAsia="en-US"/>
        </w:rPr>
        <w:t>ЕДИНЫЕ ТЕХНИЧЕСКИЕ ТРЕБОВАНИЯ. КРАНЫ ШАРОВЫЕ</w:t>
      </w:r>
    </w:p>
    <w:p>
      <w:pPr>
        <w:jc w:val="center"/>
        <w:rPr>
          <w:rFonts w:ascii="Arial" w:eastAsia="Times New Roman" w:hAnsi="Arial" w:cs="Arial"/>
          <w:sz w:val="20"/>
        </w:rPr>
      </w:pPr>
    </w:p>
    <w:p>
      <w:pPr>
        <w:jc w:val="center"/>
        <w:rPr>
          <w:rFonts w:ascii="Arial" w:eastAsia="Times New Roman" w:hAnsi="Arial" w:cs="Arial"/>
          <w:sz w:val="20"/>
        </w:rPr>
      </w:pPr>
    </w:p>
    <w:p>
      <w:pPr>
        <w:jc w:val="center"/>
        <w:rPr>
          <w:rFonts w:ascii="Arial" w:eastAsia="Times New Roman" w:hAnsi="Arial" w:cs="Arial"/>
          <w:sz w:val="20"/>
        </w:rPr>
      </w:pPr>
    </w:p>
    <w:p>
      <w:pPr>
        <w:jc w:val="center"/>
        <w:rPr>
          <w:rFonts w:ascii="Arial" w:eastAsia="Times New Roman" w:hAnsi="Arial" w:cs="Arial"/>
          <w:sz w:val="20"/>
        </w:rPr>
      </w:pPr>
    </w:p>
    <w:p>
      <w:pPr>
        <w:jc w:val="center"/>
        <w:rPr>
          <w:rFonts w:ascii="Arial" w:eastAsia="Times New Roman" w:hAnsi="Arial" w:cs="Arial"/>
          <w:sz w:val="20"/>
        </w:rPr>
      </w:pPr>
    </w:p>
    <w:p>
      <w:pPr>
        <w:jc w:val="center"/>
        <w:rPr>
          <w:rFonts w:ascii="Arial" w:hAnsi="Arial" w:cs="Arial"/>
          <w:b/>
        </w:rPr>
      </w:pPr>
      <w:r>
        <w:rPr>
          <w:rFonts w:ascii="Arial" w:hAnsi="Arial" w:cs="Arial"/>
          <w:b/>
        </w:rPr>
        <w:t>№ П4-06 М-0034</w:t>
      </w:r>
    </w:p>
    <w:p>
      <w:pPr>
        <w:jc w:val="center"/>
        <w:rPr>
          <w:rFonts w:ascii="Arial" w:eastAsia="Times New Roman" w:hAnsi="Arial" w:cs="Arial"/>
          <w:sz w:val="16"/>
        </w:rPr>
      </w:pPr>
    </w:p>
    <w:p>
      <w:pPr>
        <w:jc w:val="center"/>
        <w:rPr>
          <w:rFonts w:ascii="Arial" w:eastAsia="Times New Roman" w:hAnsi="Arial" w:cs="Arial"/>
          <w:sz w:val="16"/>
        </w:rPr>
      </w:pPr>
    </w:p>
    <w:p>
      <w:pPr>
        <w:jc w:val="center"/>
        <w:rPr>
          <w:rFonts w:ascii="Arial" w:eastAsia="Times New Roman" w:hAnsi="Arial" w:cs="Arial"/>
          <w:sz w:val="16"/>
        </w:rPr>
      </w:pPr>
    </w:p>
    <w:p>
      <w:pPr>
        <w:jc w:val="center"/>
        <w:rPr>
          <w:rFonts w:ascii="Arial" w:eastAsia="Times New Roman" w:hAnsi="Arial" w:cs="Arial"/>
          <w:sz w:val="16"/>
        </w:rPr>
      </w:pPr>
    </w:p>
    <w:p>
      <w:pPr>
        <w:jc w:val="center"/>
        <w:rPr>
          <w:rFonts w:ascii="Arial" w:hAnsi="Arial" w:cs="Arial"/>
          <w:color w:val="808080"/>
          <w:sz w:val="20"/>
          <w:szCs w:val="20"/>
        </w:rPr>
      </w:pPr>
      <w:r>
        <w:rPr>
          <w:rFonts w:ascii="Arial" w:hAnsi="Arial" w:cs="Arial"/>
          <w:b/>
          <w:sz w:val="20"/>
          <w:szCs w:val="20"/>
        </w:rPr>
        <w:t>ВЕРСИЯ 2.00</w:t>
      </w: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val="en-US" w:eastAsia="en-US"/>
        </w:rPr>
      </w:pPr>
    </w:p>
    <w:p>
      <w:pPr>
        <w:jc w:val="center"/>
        <w:rPr>
          <w:rFonts w:ascii="Arial" w:eastAsia="Calibri" w:hAnsi="Arial" w:cs="Arial"/>
          <w:b/>
          <w:sz w:val="16"/>
          <w:szCs w:val="16"/>
          <w:lang w:val="en-US"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val="en-US" w:eastAsia="en-US"/>
        </w:rPr>
      </w:pPr>
    </w:p>
    <w:p>
      <w:pPr>
        <w:jc w:val="center"/>
        <w:rPr>
          <w:rFonts w:ascii="Arial" w:eastAsia="Calibri" w:hAnsi="Arial" w:cs="Arial"/>
          <w:b/>
          <w:sz w:val="16"/>
          <w:szCs w:val="16"/>
          <w:lang w:val="en-US" w:eastAsia="en-US"/>
        </w:rPr>
      </w:pPr>
    </w:p>
    <w:p>
      <w:pPr>
        <w:jc w:val="center"/>
        <w:rPr>
          <w:rFonts w:ascii="Arial" w:eastAsia="Calibri" w:hAnsi="Arial" w:cs="Arial"/>
          <w:b/>
          <w:sz w:val="16"/>
          <w:szCs w:val="16"/>
          <w:lang w:val="en-US"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eastAsia="Calibri" w:hAnsi="Arial" w:cs="Arial"/>
          <w:b/>
          <w:sz w:val="16"/>
          <w:szCs w:val="16"/>
          <w:lang w:eastAsia="en-US"/>
        </w:rPr>
      </w:pPr>
    </w:p>
    <w:p>
      <w:pPr>
        <w:jc w:val="center"/>
        <w:rPr>
          <w:rFonts w:ascii="Arial" w:hAnsi="Arial" w:cs="Arial"/>
          <w:b/>
          <w:sz w:val="18"/>
          <w:szCs w:val="18"/>
        </w:rPr>
      </w:pPr>
      <w:r>
        <w:rPr>
          <w:rFonts w:ascii="Arial" w:hAnsi="Arial" w:cs="Arial"/>
          <w:b/>
          <w:sz w:val="18"/>
          <w:szCs w:val="18"/>
        </w:rPr>
        <w:t>МОСКВА</w:t>
      </w:r>
    </w:p>
    <w:p>
      <w:pPr>
        <w:jc w:val="center"/>
        <w:rPr>
          <w:rFonts w:ascii="Arial" w:hAnsi="Arial" w:cs="Arial"/>
          <w:b/>
          <w:sz w:val="18"/>
          <w:szCs w:val="18"/>
          <w:lang w:val="en-US"/>
        </w:rPr>
        <w:sectPr>
          <w:headerReference w:type="default" r:id="rId10"/>
          <w:footerReference w:type="default" r:id="rId11"/>
          <w:pgSz w:w="11906" w:h="16838"/>
          <w:pgMar w:top="567" w:right="1021" w:bottom="227" w:left="1247" w:header="737" w:footer="680" w:gutter="0"/>
          <w:cols w:space="708"/>
          <w:titlePg/>
          <w:docGrid w:linePitch="360"/>
        </w:sectPr>
      </w:pPr>
      <w:r>
        <w:rPr>
          <w:rFonts w:ascii="Arial" w:hAnsi="Arial" w:cs="Arial"/>
          <w:b/>
          <w:sz w:val="18"/>
          <w:szCs w:val="18"/>
        </w:rPr>
        <w:t>201</w:t>
      </w:r>
      <w:r>
        <w:rPr>
          <w:rFonts w:ascii="Arial" w:hAnsi="Arial" w:cs="Arial"/>
          <w:b/>
          <w:sz w:val="18"/>
          <w:szCs w:val="18"/>
          <w:lang w:val="en-US"/>
        </w:rPr>
        <w:t>8</w:t>
      </w:r>
    </w:p>
    <w:p>
      <w:pPr>
        <w:pStyle w:val="S12"/>
        <w:rPr>
          <w:caps w:val="0"/>
          <w:lang w:eastAsia="en-US"/>
        </w:rPr>
      </w:pPr>
      <w:bookmarkStart w:id="2" w:name="_Toc298487594"/>
      <w:bookmarkStart w:id="3" w:name="_Toc398198865"/>
      <w:bookmarkStart w:id="4" w:name="_Toc398199847"/>
      <w:bookmarkStart w:id="5" w:name="_Toc398200838"/>
      <w:bookmarkStart w:id="6" w:name="_Toc398223343"/>
      <w:bookmarkStart w:id="7" w:name="_Toc400458555"/>
      <w:bookmarkStart w:id="8" w:name="_Toc400459313"/>
      <w:bookmarkStart w:id="9" w:name="_Toc400462280"/>
      <w:bookmarkStart w:id="10" w:name="_Toc401843502"/>
      <w:bookmarkStart w:id="11" w:name="_Toc403058542"/>
      <w:bookmarkStart w:id="12" w:name="_Toc424648752"/>
      <w:bookmarkStart w:id="13" w:name="_Toc425508871"/>
      <w:bookmarkStart w:id="14" w:name="_Toc440354298"/>
      <w:bookmarkStart w:id="15" w:name="_Toc446339507"/>
      <w:bookmarkStart w:id="16" w:name="_Toc481481133"/>
      <w:bookmarkStart w:id="17" w:name="_Toc481662357"/>
      <w:bookmarkStart w:id="18" w:name="_Toc482632007"/>
      <w:bookmarkStart w:id="19" w:name="_Toc484531882"/>
      <w:bookmarkStart w:id="20" w:name="_Toc511400283"/>
      <w:bookmarkStart w:id="21" w:name="_Toc514169498"/>
      <w:r>
        <w:rPr>
          <w:caps w:val="0"/>
          <w:lang w:eastAsia="en-US"/>
        </w:rPr>
        <w:lastRenderedPageBreak/>
        <w:t>СОДЕРЖАНИЕ</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pPr>
        <w:pStyle w:val="S0"/>
        <w:rPr>
          <w:lang w:eastAsia="en-US"/>
        </w:rPr>
      </w:pPr>
    </w:p>
    <w:p>
      <w:pPr>
        <w:pStyle w:val="S0"/>
      </w:pPr>
    </w:p>
    <w:p>
      <w:pPr>
        <w:pStyle w:val="16"/>
        <w:tabs>
          <w:tab w:val="left" w:pos="426"/>
        </w:tabs>
        <w:ind w:left="426" w:hanging="426"/>
        <w:jc w:val="left"/>
        <w:rPr>
          <w:rFonts w:asciiTheme="minorHAnsi" w:hAnsiTheme="minorHAnsi" w:cstheme="minorBidi"/>
          <w:b w:val="0"/>
          <w:bCs w:val="0"/>
          <w:caps w:val="0"/>
          <w:sz w:val="22"/>
          <w:szCs w:val="22"/>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514169499" w:history="1">
        <w:r>
          <w:rPr>
            <w:rStyle w:val="a6"/>
            <w:rFonts w:eastAsia="PMingLiU"/>
            <w:lang w:eastAsia="en-US"/>
          </w:rPr>
          <w:t>ВВОДНЫЕ ПОЛОЖЕНИЯ</w:t>
        </w:r>
        <w:r>
          <w:rPr>
            <w:webHidden/>
          </w:rPr>
          <w:tab/>
        </w:r>
        <w:r>
          <w:rPr>
            <w:webHidden/>
          </w:rPr>
          <w:fldChar w:fldCharType="begin"/>
        </w:r>
        <w:r>
          <w:rPr>
            <w:webHidden/>
          </w:rPr>
          <w:instrText xml:space="preserve"> PAGEREF _Toc514169499 \h </w:instrText>
        </w:r>
        <w:r>
          <w:rPr>
            <w:webHidden/>
          </w:rPr>
        </w:r>
        <w:r>
          <w:rPr>
            <w:webHidden/>
          </w:rPr>
          <w:fldChar w:fldCharType="separate"/>
        </w:r>
        <w:r>
          <w:rPr>
            <w:webHidden/>
          </w:rPr>
          <w:t>4</w:t>
        </w:r>
        <w:r>
          <w:rPr>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0" w:history="1">
        <w:r>
          <w:rPr>
            <w:rStyle w:val="a6"/>
            <w:noProof/>
          </w:rPr>
          <w:t>НАЗНАЧЕНИЕ</w:t>
        </w:r>
        <w:r>
          <w:rPr>
            <w:noProof/>
            <w:webHidden/>
          </w:rPr>
          <w:tab/>
        </w:r>
        <w:r>
          <w:rPr>
            <w:noProof/>
            <w:webHidden/>
          </w:rPr>
          <w:fldChar w:fldCharType="begin"/>
        </w:r>
        <w:r>
          <w:rPr>
            <w:noProof/>
            <w:webHidden/>
          </w:rPr>
          <w:instrText xml:space="preserve"> PAGEREF _Toc514169500 \h </w:instrText>
        </w:r>
        <w:r>
          <w:rPr>
            <w:noProof/>
            <w:webHidden/>
          </w:rPr>
        </w:r>
        <w:r>
          <w:rPr>
            <w:noProof/>
            <w:webHidden/>
          </w:rPr>
          <w:fldChar w:fldCharType="separate"/>
        </w:r>
        <w:r>
          <w:rPr>
            <w:noProof/>
            <w:webHidden/>
          </w:rPr>
          <w:t>4</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1" w:history="1">
        <w:r>
          <w:rPr>
            <w:rStyle w:val="a6"/>
            <w:noProof/>
          </w:rPr>
          <w:t>ОБЛАСТЬ ДЕЙСТВИЯ</w:t>
        </w:r>
        <w:r>
          <w:rPr>
            <w:noProof/>
            <w:webHidden/>
          </w:rPr>
          <w:tab/>
        </w:r>
        <w:r>
          <w:rPr>
            <w:noProof/>
            <w:webHidden/>
          </w:rPr>
          <w:fldChar w:fldCharType="begin"/>
        </w:r>
        <w:r>
          <w:rPr>
            <w:noProof/>
            <w:webHidden/>
          </w:rPr>
          <w:instrText xml:space="preserve"> PAGEREF _Toc514169501 \h </w:instrText>
        </w:r>
        <w:r>
          <w:rPr>
            <w:noProof/>
            <w:webHidden/>
          </w:rPr>
        </w:r>
        <w:r>
          <w:rPr>
            <w:noProof/>
            <w:webHidden/>
          </w:rPr>
          <w:fldChar w:fldCharType="separate"/>
        </w:r>
        <w:r>
          <w:rPr>
            <w:noProof/>
            <w:webHidden/>
          </w:rPr>
          <w:t>4</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2" w:history="1">
        <w:r>
          <w:rPr>
            <w:rStyle w:val="a6"/>
            <w:noProof/>
          </w:rPr>
          <w:t>ПЕРИОД ДЕЙСТВИЯ И ПОРЯДОК ВНЕСЕНИЯ ИЗМЕНЕНИЙ</w:t>
        </w:r>
        <w:r>
          <w:rPr>
            <w:noProof/>
            <w:webHidden/>
          </w:rPr>
          <w:tab/>
        </w:r>
        <w:r>
          <w:rPr>
            <w:noProof/>
            <w:webHidden/>
          </w:rPr>
          <w:fldChar w:fldCharType="begin"/>
        </w:r>
        <w:r>
          <w:rPr>
            <w:noProof/>
            <w:webHidden/>
          </w:rPr>
          <w:instrText xml:space="preserve"> PAGEREF _Toc514169502 \h </w:instrText>
        </w:r>
        <w:r>
          <w:rPr>
            <w:noProof/>
            <w:webHidden/>
          </w:rPr>
        </w:r>
        <w:r>
          <w:rPr>
            <w:noProof/>
            <w:webHidden/>
          </w:rPr>
          <w:fldChar w:fldCharType="separate"/>
        </w:r>
        <w:r>
          <w:rPr>
            <w:noProof/>
            <w:webHidden/>
          </w:rPr>
          <w:t>5</w:t>
        </w:r>
        <w:r>
          <w:rPr>
            <w:noProof/>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03" w:history="1">
        <w:r>
          <w:rPr>
            <w:rStyle w:val="a6"/>
          </w:rPr>
          <w:t>1.</w:t>
        </w:r>
        <w:r>
          <w:rPr>
            <w:rFonts w:asciiTheme="minorHAnsi" w:hAnsiTheme="minorHAnsi" w:cstheme="minorBidi"/>
            <w:b w:val="0"/>
            <w:bCs w:val="0"/>
            <w:caps w:val="0"/>
            <w:sz w:val="22"/>
            <w:szCs w:val="22"/>
          </w:rPr>
          <w:tab/>
        </w:r>
        <w:r>
          <w:rPr>
            <w:rStyle w:val="a6"/>
          </w:rPr>
          <w:t>ТЕРМИНЫ И ОПРЕДЕЛЕНИЯ</w:t>
        </w:r>
        <w:r>
          <w:rPr>
            <w:webHidden/>
          </w:rPr>
          <w:tab/>
        </w:r>
        <w:r>
          <w:rPr>
            <w:webHidden/>
          </w:rPr>
          <w:fldChar w:fldCharType="begin"/>
        </w:r>
        <w:r>
          <w:rPr>
            <w:webHidden/>
          </w:rPr>
          <w:instrText xml:space="preserve"> PAGEREF _Toc514169503 \h </w:instrText>
        </w:r>
        <w:r>
          <w:rPr>
            <w:webHidden/>
          </w:rPr>
        </w:r>
        <w:r>
          <w:rPr>
            <w:webHidden/>
          </w:rPr>
          <w:fldChar w:fldCharType="separate"/>
        </w:r>
        <w:r>
          <w:rPr>
            <w:webHidden/>
          </w:rPr>
          <w:t>6</w:t>
        </w:r>
        <w:r>
          <w:rPr>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04" w:history="1">
        <w:r>
          <w:rPr>
            <w:rStyle w:val="a6"/>
          </w:rPr>
          <w:t>2.</w:t>
        </w:r>
        <w:r>
          <w:rPr>
            <w:rFonts w:asciiTheme="minorHAnsi" w:hAnsiTheme="minorHAnsi" w:cstheme="minorBidi"/>
            <w:b w:val="0"/>
            <w:bCs w:val="0"/>
            <w:caps w:val="0"/>
            <w:sz w:val="22"/>
            <w:szCs w:val="22"/>
          </w:rPr>
          <w:tab/>
        </w:r>
        <w:r>
          <w:rPr>
            <w:rStyle w:val="a6"/>
          </w:rPr>
          <w:t>ОБОЗНАЧЕНИЯ И СОКРАЩЕНИЯ</w:t>
        </w:r>
        <w:r>
          <w:rPr>
            <w:webHidden/>
          </w:rPr>
          <w:tab/>
        </w:r>
        <w:r>
          <w:rPr>
            <w:webHidden/>
          </w:rPr>
          <w:fldChar w:fldCharType="begin"/>
        </w:r>
        <w:r>
          <w:rPr>
            <w:webHidden/>
          </w:rPr>
          <w:instrText xml:space="preserve"> PAGEREF _Toc514169504 \h </w:instrText>
        </w:r>
        <w:r>
          <w:rPr>
            <w:webHidden/>
          </w:rPr>
        </w:r>
        <w:r>
          <w:rPr>
            <w:webHidden/>
          </w:rPr>
          <w:fldChar w:fldCharType="separate"/>
        </w:r>
        <w:r>
          <w:rPr>
            <w:webHidden/>
          </w:rPr>
          <w:t>9</w:t>
        </w:r>
        <w:r>
          <w:rPr>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05" w:history="1">
        <w:r>
          <w:rPr>
            <w:rStyle w:val="a6"/>
          </w:rPr>
          <w:t>3.</w:t>
        </w:r>
        <w:r>
          <w:rPr>
            <w:rFonts w:asciiTheme="minorHAnsi" w:hAnsiTheme="minorHAnsi" w:cstheme="minorBidi"/>
            <w:b w:val="0"/>
            <w:bCs w:val="0"/>
            <w:caps w:val="0"/>
            <w:sz w:val="22"/>
            <w:szCs w:val="22"/>
          </w:rPr>
          <w:tab/>
        </w:r>
        <w:r>
          <w:rPr>
            <w:rStyle w:val="a6"/>
          </w:rPr>
          <w:t>ОБЩАЯ ЧАСТЬ</w:t>
        </w:r>
        <w:r>
          <w:rPr>
            <w:webHidden/>
          </w:rPr>
          <w:tab/>
        </w:r>
        <w:r>
          <w:rPr>
            <w:webHidden/>
          </w:rPr>
          <w:fldChar w:fldCharType="begin"/>
        </w:r>
        <w:r>
          <w:rPr>
            <w:webHidden/>
          </w:rPr>
          <w:instrText xml:space="preserve"> PAGEREF _Toc514169505 \h </w:instrText>
        </w:r>
        <w:r>
          <w:rPr>
            <w:webHidden/>
          </w:rPr>
        </w:r>
        <w:r>
          <w:rPr>
            <w:webHidden/>
          </w:rPr>
          <w:fldChar w:fldCharType="separate"/>
        </w:r>
        <w:r>
          <w:rPr>
            <w:webHidden/>
          </w:rPr>
          <w:t>11</w:t>
        </w:r>
        <w:r>
          <w:rPr>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6" w:history="1">
        <w:r>
          <w:rPr>
            <w:rStyle w:val="a6"/>
            <w:rFonts w:eastAsia="Calibri"/>
            <w:noProof/>
          </w:rPr>
          <w:t>3.1.</w:t>
        </w:r>
        <w:r>
          <w:rPr>
            <w:rFonts w:asciiTheme="minorHAnsi" w:hAnsiTheme="minorHAnsi" w:cstheme="minorBidi"/>
            <w:b w:val="0"/>
            <w:bCs w:val="0"/>
            <w:noProof/>
            <w:sz w:val="22"/>
            <w:szCs w:val="22"/>
          </w:rPr>
          <w:tab/>
        </w:r>
        <w:r>
          <w:rPr>
            <w:rStyle w:val="a6"/>
            <w:rFonts w:eastAsia="Calibri"/>
            <w:noProof/>
          </w:rPr>
          <w:t>НАЗНАЧЕНИЕ</w:t>
        </w:r>
        <w:r>
          <w:rPr>
            <w:noProof/>
            <w:webHidden/>
          </w:rPr>
          <w:tab/>
        </w:r>
        <w:r>
          <w:rPr>
            <w:noProof/>
            <w:webHidden/>
          </w:rPr>
          <w:fldChar w:fldCharType="begin"/>
        </w:r>
        <w:r>
          <w:rPr>
            <w:noProof/>
            <w:webHidden/>
          </w:rPr>
          <w:instrText xml:space="preserve"> PAGEREF _Toc514169506 \h </w:instrText>
        </w:r>
        <w:r>
          <w:rPr>
            <w:noProof/>
            <w:webHidden/>
          </w:rPr>
        </w:r>
        <w:r>
          <w:rPr>
            <w:noProof/>
            <w:webHidden/>
          </w:rPr>
          <w:fldChar w:fldCharType="separate"/>
        </w:r>
        <w:r>
          <w:rPr>
            <w:noProof/>
            <w:webHidden/>
          </w:rPr>
          <w:t>11</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7" w:history="1">
        <w:r>
          <w:rPr>
            <w:rStyle w:val="a6"/>
            <w:rFonts w:eastAsia="Calibri"/>
            <w:noProof/>
          </w:rPr>
          <w:t>3.2.</w:t>
        </w:r>
        <w:r>
          <w:rPr>
            <w:rFonts w:asciiTheme="minorHAnsi" w:hAnsiTheme="minorHAnsi" w:cstheme="minorBidi"/>
            <w:b w:val="0"/>
            <w:bCs w:val="0"/>
            <w:noProof/>
            <w:sz w:val="22"/>
            <w:szCs w:val="22"/>
          </w:rPr>
          <w:tab/>
        </w:r>
        <w:r>
          <w:rPr>
            <w:rStyle w:val="a6"/>
            <w:rFonts w:eastAsia="Calibri"/>
            <w:noProof/>
          </w:rPr>
          <w:t>КЛИМАТИЧЕСКИЕ УСЛОВИЯ РАЙОНА ЭКСПЛУАТАЦИИ</w:t>
        </w:r>
        <w:r>
          <w:rPr>
            <w:noProof/>
            <w:webHidden/>
          </w:rPr>
          <w:tab/>
        </w:r>
        <w:r>
          <w:rPr>
            <w:noProof/>
            <w:webHidden/>
          </w:rPr>
          <w:fldChar w:fldCharType="begin"/>
        </w:r>
        <w:r>
          <w:rPr>
            <w:noProof/>
            <w:webHidden/>
          </w:rPr>
          <w:instrText xml:space="preserve"> PAGEREF _Toc514169507 \h </w:instrText>
        </w:r>
        <w:r>
          <w:rPr>
            <w:noProof/>
            <w:webHidden/>
          </w:rPr>
        </w:r>
        <w:r>
          <w:rPr>
            <w:noProof/>
            <w:webHidden/>
          </w:rPr>
          <w:fldChar w:fldCharType="separate"/>
        </w:r>
        <w:r>
          <w:rPr>
            <w:noProof/>
            <w:webHidden/>
          </w:rPr>
          <w:t>11</w:t>
        </w:r>
        <w:r>
          <w:rPr>
            <w:noProof/>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08" w:history="1">
        <w:r>
          <w:rPr>
            <w:rStyle w:val="a6"/>
          </w:rPr>
          <w:t>4.</w:t>
        </w:r>
        <w:r>
          <w:rPr>
            <w:rFonts w:asciiTheme="minorHAnsi" w:hAnsiTheme="minorHAnsi" w:cstheme="minorBidi"/>
            <w:b w:val="0"/>
            <w:bCs w:val="0"/>
            <w:caps w:val="0"/>
            <w:sz w:val="22"/>
            <w:szCs w:val="22"/>
          </w:rPr>
          <w:tab/>
        </w:r>
        <w:r>
          <w:rPr>
            <w:rStyle w:val="a6"/>
          </w:rPr>
          <w:t xml:space="preserve">ТРЕБОВАНИЯ К ПРОЕКТИРОВАНИЮ, ИЗГОТОВЛЕНИЮ </w:t>
        </w:r>
        <w:r>
          <w:rPr>
            <w:rStyle w:val="a6"/>
          </w:rPr>
          <w:br/>
          <w:t>И ПОСТАВКЕ ОБОРУДОВАНИЯ</w:t>
        </w:r>
        <w:r>
          <w:rPr>
            <w:webHidden/>
          </w:rPr>
          <w:tab/>
        </w:r>
        <w:r>
          <w:rPr>
            <w:webHidden/>
          </w:rPr>
          <w:fldChar w:fldCharType="begin"/>
        </w:r>
        <w:r>
          <w:rPr>
            <w:webHidden/>
          </w:rPr>
          <w:instrText xml:space="preserve"> PAGEREF _Toc514169508 \h </w:instrText>
        </w:r>
        <w:r>
          <w:rPr>
            <w:webHidden/>
          </w:rPr>
        </w:r>
        <w:r>
          <w:rPr>
            <w:webHidden/>
          </w:rPr>
          <w:fldChar w:fldCharType="separate"/>
        </w:r>
        <w:r>
          <w:rPr>
            <w:webHidden/>
          </w:rPr>
          <w:t>13</w:t>
        </w:r>
        <w:r>
          <w:rPr>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09" w:history="1">
        <w:r>
          <w:rPr>
            <w:rStyle w:val="a6"/>
            <w:rFonts w:eastAsia="Calibri" w:cs="Arial"/>
            <w:noProof/>
          </w:rPr>
          <w:t>4.1.</w:t>
        </w:r>
        <w:r>
          <w:rPr>
            <w:rFonts w:asciiTheme="minorHAnsi" w:hAnsiTheme="minorHAnsi" w:cstheme="minorBidi"/>
            <w:b w:val="0"/>
            <w:bCs w:val="0"/>
            <w:noProof/>
            <w:sz w:val="22"/>
            <w:szCs w:val="22"/>
          </w:rPr>
          <w:tab/>
        </w:r>
        <w:r>
          <w:rPr>
            <w:rStyle w:val="a6"/>
            <w:rFonts w:eastAsia="Calibri"/>
            <w:noProof/>
          </w:rPr>
          <w:t>ТЕХНИЧЕСКИЕ ХАРАКТЕРИСТИКИ И ОСНОВНОЙ СОСТАВ ОБОРУДОВАНИЯ</w:t>
        </w:r>
        <w:r>
          <w:rPr>
            <w:noProof/>
            <w:webHidden/>
          </w:rPr>
          <w:tab/>
        </w:r>
        <w:r>
          <w:rPr>
            <w:noProof/>
            <w:webHidden/>
          </w:rPr>
          <w:fldChar w:fldCharType="begin"/>
        </w:r>
        <w:r>
          <w:rPr>
            <w:noProof/>
            <w:webHidden/>
          </w:rPr>
          <w:instrText xml:space="preserve"> PAGEREF _Toc514169509 \h </w:instrText>
        </w:r>
        <w:r>
          <w:rPr>
            <w:noProof/>
            <w:webHidden/>
          </w:rPr>
        </w:r>
        <w:r>
          <w:rPr>
            <w:noProof/>
            <w:webHidden/>
          </w:rPr>
          <w:fldChar w:fldCharType="separate"/>
        </w:r>
        <w:r>
          <w:rPr>
            <w:noProof/>
            <w:webHidden/>
          </w:rPr>
          <w:t>13</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10" w:history="1">
        <w:r>
          <w:rPr>
            <w:rStyle w:val="a6"/>
            <w:rFonts w:eastAsia="Calibri" w:cs="Arial"/>
            <w:iCs/>
            <w:noProof/>
          </w:rPr>
          <w:t>4.2.</w:t>
        </w:r>
        <w:r>
          <w:rPr>
            <w:rFonts w:asciiTheme="minorHAnsi" w:hAnsiTheme="minorHAnsi" w:cstheme="minorBidi"/>
            <w:b w:val="0"/>
            <w:bCs w:val="0"/>
            <w:noProof/>
            <w:sz w:val="22"/>
            <w:szCs w:val="22"/>
          </w:rPr>
          <w:tab/>
        </w:r>
        <w:r>
          <w:rPr>
            <w:rStyle w:val="a6"/>
            <w:rFonts w:eastAsia="Calibri" w:cs="Arial"/>
            <w:iCs/>
            <w:noProof/>
          </w:rPr>
          <w:t>ХАРАКТЕРИСТИКИ РАБОЧЕЙ СРЕДЫ</w:t>
        </w:r>
        <w:r>
          <w:rPr>
            <w:noProof/>
            <w:webHidden/>
          </w:rPr>
          <w:tab/>
        </w:r>
        <w:r>
          <w:rPr>
            <w:noProof/>
            <w:webHidden/>
          </w:rPr>
          <w:fldChar w:fldCharType="begin"/>
        </w:r>
        <w:r>
          <w:rPr>
            <w:noProof/>
            <w:webHidden/>
          </w:rPr>
          <w:instrText xml:space="preserve"> PAGEREF _Toc514169510 \h </w:instrText>
        </w:r>
        <w:r>
          <w:rPr>
            <w:noProof/>
            <w:webHidden/>
          </w:rPr>
        </w:r>
        <w:r>
          <w:rPr>
            <w:noProof/>
            <w:webHidden/>
          </w:rPr>
          <w:fldChar w:fldCharType="separate"/>
        </w:r>
        <w:r>
          <w:rPr>
            <w:noProof/>
            <w:webHidden/>
          </w:rPr>
          <w:t>15</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11" w:history="1">
        <w:r>
          <w:rPr>
            <w:rStyle w:val="a6"/>
            <w:rFonts w:eastAsia="Calibri" w:cs="Arial"/>
            <w:iCs/>
            <w:noProof/>
          </w:rPr>
          <w:t>4.3.</w:t>
        </w:r>
        <w:r>
          <w:rPr>
            <w:rFonts w:asciiTheme="minorHAnsi" w:hAnsiTheme="minorHAnsi" w:cstheme="minorBidi"/>
            <w:b w:val="0"/>
            <w:bCs w:val="0"/>
            <w:noProof/>
            <w:sz w:val="22"/>
            <w:szCs w:val="22"/>
          </w:rPr>
          <w:tab/>
        </w:r>
        <w:r>
          <w:rPr>
            <w:rStyle w:val="a6"/>
            <w:rFonts w:eastAsia="Calibri" w:cs="Arial"/>
            <w:iCs/>
            <w:noProof/>
          </w:rPr>
          <w:t>ТРЕБОВАНИЯ К ИЗГОТОВЛЕНИЮ И КОНСТРУКТИВНОМУ ИСПОЛНЕНИЮ</w:t>
        </w:r>
        <w:r>
          <w:rPr>
            <w:noProof/>
            <w:webHidden/>
          </w:rPr>
          <w:tab/>
        </w:r>
        <w:r>
          <w:rPr>
            <w:noProof/>
            <w:webHidden/>
          </w:rPr>
          <w:fldChar w:fldCharType="begin"/>
        </w:r>
        <w:r>
          <w:rPr>
            <w:noProof/>
            <w:webHidden/>
          </w:rPr>
          <w:instrText xml:space="preserve"> PAGEREF _Toc514169511 \h </w:instrText>
        </w:r>
        <w:r>
          <w:rPr>
            <w:noProof/>
            <w:webHidden/>
          </w:rPr>
        </w:r>
        <w:r>
          <w:rPr>
            <w:noProof/>
            <w:webHidden/>
          </w:rPr>
          <w:fldChar w:fldCharType="separate"/>
        </w:r>
        <w:r>
          <w:rPr>
            <w:noProof/>
            <w:webHidden/>
          </w:rPr>
          <w:t>16</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2" w:history="1">
        <w:r>
          <w:rPr>
            <w:rStyle w:val="a6"/>
            <w:noProof/>
          </w:rPr>
          <w:t>4.3.1.</w:t>
        </w:r>
        <w:r>
          <w:rPr>
            <w:rFonts w:asciiTheme="minorHAnsi" w:hAnsiTheme="minorHAnsi" w:cstheme="minorBidi"/>
            <w:i w:val="0"/>
            <w:noProof/>
            <w:sz w:val="22"/>
            <w:szCs w:val="22"/>
          </w:rPr>
          <w:tab/>
        </w:r>
        <w:r>
          <w:rPr>
            <w:rStyle w:val="a6"/>
            <w:noProof/>
          </w:rPr>
          <w:t>ОБЩИЕ ТРЕБОВАНИЯ</w:t>
        </w:r>
        <w:r>
          <w:rPr>
            <w:noProof/>
            <w:webHidden/>
          </w:rPr>
          <w:tab/>
        </w:r>
        <w:r>
          <w:rPr>
            <w:noProof/>
            <w:webHidden/>
          </w:rPr>
          <w:fldChar w:fldCharType="begin"/>
        </w:r>
        <w:r>
          <w:rPr>
            <w:noProof/>
            <w:webHidden/>
          </w:rPr>
          <w:instrText xml:space="preserve"> PAGEREF _Toc514169512 \h </w:instrText>
        </w:r>
        <w:r>
          <w:rPr>
            <w:noProof/>
            <w:webHidden/>
          </w:rPr>
        </w:r>
        <w:r>
          <w:rPr>
            <w:noProof/>
            <w:webHidden/>
          </w:rPr>
          <w:fldChar w:fldCharType="separate"/>
        </w:r>
        <w:r>
          <w:rPr>
            <w:noProof/>
            <w:webHidden/>
          </w:rPr>
          <w:t>16</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3" w:history="1">
        <w:r>
          <w:rPr>
            <w:rStyle w:val="a6"/>
            <w:noProof/>
          </w:rPr>
          <w:t>4.3.2.</w:t>
        </w:r>
        <w:r>
          <w:rPr>
            <w:rFonts w:asciiTheme="minorHAnsi" w:hAnsiTheme="minorHAnsi" w:cstheme="minorBidi"/>
            <w:i w:val="0"/>
            <w:noProof/>
            <w:sz w:val="22"/>
            <w:szCs w:val="22"/>
          </w:rPr>
          <w:tab/>
        </w:r>
        <w:r>
          <w:rPr>
            <w:rStyle w:val="a6"/>
            <w:noProof/>
          </w:rPr>
          <w:t>ТРЕБОВАНИЯ К ИСПОЛНЕНИЮ ПО МАТЕРИАЛАМ ОСНОВНЫХ ЭЛЕМЕНТОВ</w:t>
        </w:r>
        <w:r>
          <w:rPr>
            <w:noProof/>
            <w:webHidden/>
          </w:rPr>
          <w:tab/>
        </w:r>
        <w:r>
          <w:rPr>
            <w:noProof/>
            <w:webHidden/>
          </w:rPr>
          <w:fldChar w:fldCharType="begin"/>
        </w:r>
        <w:r>
          <w:rPr>
            <w:noProof/>
            <w:webHidden/>
          </w:rPr>
          <w:instrText xml:space="preserve"> PAGEREF _Toc514169513 \h </w:instrText>
        </w:r>
        <w:r>
          <w:rPr>
            <w:noProof/>
            <w:webHidden/>
          </w:rPr>
        </w:r>
        <w:r>
          <w:rPr>
            <w:noProof/>
            <w:webHidden/>
          </w:rPr>
          <w:fldChar w:fldCharType="separate"/>
        </w:r>
        <w:r>
          <w:rPr>
            <w:noProof/>
            <w:webHidden/>
          </w:rPr>
          <w:t>18</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4" w:history="1">
        <w:r>
          <w:rPr>
            <w:rStyle w:val="a6"/>
            <w:noProof/>
          </w:rPr>
          <w:t>4.3.3.</w:t>
        </w:r>
        <w:r>
          <w:rPr>
            <w:rFonts w:asciiTheme="minorHAnsi" w:hAnsiTheme="minorHAnsi" w:cstheme="minorBidi"/>
            <w:i w:val="0"/>
            <w:noProof/>
            <w:sz w:val="22"/>
            <w:szCs w:val="22"/>
          </w:rPr>
          <w:tab/>
        </w:r>
        <w:r>
          <w:rPr>
            <w:rStyle w:val="a6"/>
            <w:noProof/>
          </w:rPr>
          <w:t>ТРЕБОВАНИЯ К ИЗГОТОВЛЕНИЮ</w:t>
        </w:r>
        <w:r>
          <w:rPr>
            <w:noProof/>
            <w:webHidden/>
          </w:rPr>
          <w:tab/>
        </w:r>
        <w:r>
          <w:rPr>
            <w:noProof/>
            <w:webHidden/>
          </w:rPr>
          <w:fldChar w:fldCharType="begin"/>
        </w:r>
        <w:r>
          <w:rPr>
            <w:noProof/>
            <w:webHidden/>
          </w:rPr>
          <w:instrText xml:space="preserve"> PAGEREF _Toc514169514 \h </w:instrText>
        </w:r>
        <w:r>
          <w:rPr>
            <w:noProof/>
            <w:webHidden/>
          </w:rPr>
        </w:r>
        <w:r>
          <w:rPr>
            <w:noProof/>
            <w:webHidden/>
          </w:rPr>
          <w:fldChar w:fldCharType="separate"/>
        </w:r>
        <w:r>
          <w:rPr>
            <w:noProof/>
            <w:webHidden/>
          </w:rPr>
          <w:t>25</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5" w:history="1">
        <w:r>
          <w:rPr>
            <w:rStyle w:val="a6"/>
            <w:noProof/>
          </w:rPr>
          <w:t>4.3.4.</w:t>
        </w:r>
        <w:r>
          <w:rPr>
            <w:rFonts w:asciiTheme="minorHAnsi" w:hAnsiTheme="minorHAnsi" w:cstheme="minorBidi"/>
            <w:i w:val="0"/>
            <w:noProof/>
            <w:sz w:val="22"/>
            <w:szCs w:val="22"/>
          </w:rPr>
          <w:tab/>
        </w:r>
        <w:r>
          <w:rPr>
            <w:rStyle w:val="a6"/>
            <w:noProof/>
          </w:rPr>
          <w:t>ТРЕБОВАНИЕ ПО ПРИСОЕДИНЕНИЮ КРАНА ШАРОВОГО К ТРУБОПРОВОДУ</w:t>
        </w:r>
        <w:r>
          <w:rPr>
            <w:noProof/>
            <w:webHidden/>
          </w:rPr>
          <w:tab/>
        </w:r>
        <w:r>
          <w:rPr>
            <w:noProof/>
            <w:webHidden/>
          </w:rPr>
          <w:fldChar w:fldCharType="begin"/>
        </w:r>
        <w:r>
          <w:rPr>
            <w:noProof/>
            <w:webHidden/>
          </w:rPr>
          <w:instrText xml:space="preserve"> PAGEREF _Toc514169515 \h </w:instrText>
        </w:r>
        <w:r>
          <w:rPr>
            <w:noProof/>
            <w:webHidden/>
          </w:rPr>
        </w:r>
        <w:r>
          <w:rPr>
            <w:noProof/>
            <w:webHidden/>
          </w:rPr>
          <w:fldChar w:fldCharType="separate"/>
        </w:r>
        <w:r>
          <w:rPr>
            <w:noProof/>
            <w:webHidden/>
          </w:rPr>
          <w:t>30</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6" w:history="1">
        <w:r>
          <w:rPr>
            <w:rStyle w:val="a6"/>
            <w:noProof/>
          </w:rPr>
          <w:t>4.3.5.</w:t>
        </w:r>
        <w:r>
          <w:rPr>
            <w:rFonts w:asciiTheme="minorHAnsi" w:hAnsiTheme="minorHAnsi" w:cstheme="minorBidi"/>
            <w:i w:val="0"/>
            <w:noProof/>
            <w:sz w:val="22"/>
            <w:szCs w:val="22"/>
          </w:rPr>
          <w:tab/>
        </w:r>
        <w:r>
          <w:rPr>
            <w:rStyle w:val="a6"/>
            <w:noProof/>
          </w:rPr>
          <w:t>ТРЕБОВАНИЯ К КРАНАМ ШАРОВЫМ С МУФТОВЫМ ПРИСОЕДИНЕНИЕМ</w:t>
        </w:r>
        <w:r>
          <w:rPr>
            <w:noProof/>
            <w:webHidden/>
          </w:rPr>
          <w:tab/>
        </w:r>
        <w:r>
          <w:rPr>
            <w:noProof/>
            <w:webHidden/>
          </w:rPr>
          <w:fldChar w:fldCharType="begin"/>
        </w:r>
        <w:r>
          <w:rPr>
            <w:noProof/>
            <w:webHidden/>
          </w:rPr>
          <w:instrText xml:space="preserve"> PAGEREF _Toc514169516 \h </w:instrText>
        </w:r>
        <w:r>
          <w:rPr>
            <w:noProof/>
            <w:webHidden/>
          </w:rPr>
        </w:r>
        <w:r>
          <w:rPr>
            <w:noProof/>
            <w:webHidden/>
          </w:rPr>
          <w:fldChar w:fldCharType="separate"/>
        </w:r>
        <w:r>
          <w:rPr>
            <w:noProof/>
            <w:webHidden/>
          </w:rPr>
          <w:t>30</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7" w:history="1">
        <w:r>
          <w:rPr>
            <w:rStyle w:val="a6"/>
            <w:noProof/>
          </w:rPr>
          <w:t>4.3.6.</w:t>
        </w:r>
        <w:r>
          <w:rPr>
            <w:rFonts w:asciiTheme="minorHAnsi" w:hAnsiTheme="minorHAnsi" w:cstheme="minorBidi"/>
            <w:i w:val="0"/>
            <w:noProof/>
            <w:sz w:val="22"/>
            <w:szCs w:val="22"/>
          </w:rPr>
          <w:tab/>
        </w:r>
        <w:r>
          <w:rPr>
            <w:rStyle w:val="a6"/>
            <w:noProof/>
          </w:rPr>
          <w:t>ТРЕБОВАНИЯ К КРАНАМ ШАРОВЫМ С НИППИЛЬНЫМ ПРИСОЕДИНЕНИЕМ</w:t>
        </w:r>
        <w:r>
          <w:rPr>
            <w:noProof/>
            <w:webHidden/>
          </w:rPr>
          <w:tab/>
        </w:r>
        <w:r>
          <w:rPr>
            <w:noProof/>
            <w:webHidden/>
          </w:rPr>
          <w:fldChar w:fldCharType="begin"/>
        </w:r>
        <w:r>
          <w:rPr>
            <w:noProof/>
            <w:webHidden/>
          </w:rPr>
          <w:instrText xml:space="preserve"> PAGEREF _Toc514169517 \h </w:instrText>
        </w:r>
        <w:r>
          <w:rPr>
            <w:noProof/>
            <w:webHidden/>
          </w:rPr>
        </w:r>
        <w:r>
          <w:rPr>
            <w:noProof/>
            <w:webHidden/>
          </w:rPr>
          <w:fldChar w:fldCharType="separate"/>
        </w:r>
        <w:r>
          <w:rPr>
            <w:noProof/>
            <w:webHidden/>
          </w:rPr>
          <w:t>31</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8" w:history="1">
        <w:r>
          <w:rPr>
            <w:rStyle w:val="a6"/>
            <w:noProof/>
          </w:rPr>
          <w:t>4.3.7.</w:t>
        </w:r>
        <w:r>
          <w:rPr>
            <w:rFonts w:asciiTheme="minorHAnsi" w:hAnsiTheme="minorHAnsi" w:cstheme="minorBidi"/>
            <w:i w:val="0"/>
            <w:noProof/>
            <w:sz w:val="22"/>
            <w:szCs w:val="22"/>
          </w:rPr>
          <w:tab/>
        </w:r>
        <w:r>
          <w:rPr>
            <w:rStyle w:val="a6"/>
            <w:noProof/>
          </w:rPr>
          <w:t>ТРЕБОВАНИЯ К КРАНАМ ШАРОВЫМ С ФЛАНЦЕВЫМ ПРИСОЕДИНЕНИЕМ</w:t>
        </w:r>
        <w:r>
          <w:rPr>
            <w:noProof/>
            <w:webHidden/>
          </w:rPr>
          <w:tab/>
        </w:r>
        <w:r>
          <w:rPr>
            <w:noProof/>
            <w:webHidden/>
          </w:rPr>
          <w:fldChar w:fldCharType="begin"/>
        </w:r>
        <w:r>
          <w:rPr>
            <w:noProof/>
            <w:webHidden/>
          </w:rPr>
          <w:instrText xml:space="preserve"> PAGEREF _Toc514169518 \h </w:instrText>
        </w:r>
        <w:r>
          <w:rPr>
            <w:noProof/>
            <w:webHidden/>
          </w:rPr>
        </w:r>
        <w:r>
          <w:rPr>
            <w:noProof/>
            <w:webHidden/>
          </w:rPr>
          <w:fldChar w:fldCharType="separate"/>
        </w:r>
        <w:r>
          <w:rPr>
            <w:noProof/>
            <w:webHidden/>
          </w:rPr>
          <w:t>31</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19" w:history="1">
        <w:r>
          <w:rPr>
            <w:rStyle w:val="a6"/>
            <w:noProof/>
          </w:rPr>
          <w:t>4.3.8.</w:t>
        </w:r>
        <w:r>
          <w:rPr>
            <w:rFonts w:asciiTheme="minorHAnsi" w:hAnsiTheme="minorHAnsi" w:cstheme="minorBidi"/>
            <w:i w:val="0"/>
            <w:noProof/>
            <w:sz w:val="22"/>
            <w:szCs w:val="22"/>
          </w:rPr>
          <w:tab/>
        </w:r>
        <w:r>
          <w:rPr>
            <w:rStyle w:val="a6"/>
            <w:noProof/>
          </w:rPr>
          <w:t>ТРЕБОВАНИЯ К ИСПОЛНЕНИЮ ПРИСОЕДИНИТЕЛЬНЫХ ПОВЕРХНОСТЕЙ ФЛАНЦЕВ</w:t>
        </w:r>
        <w:r>
          <w:rPr>
            <w:noProof/>
            <w:webHidden/>
          </w:rPr>
          <w:tab/>
        </w:r>
        <w:r>
          <w:rPr>
            <w:noProof/>
            <w:webHidden/>
          </w:rPr>
          <w:fldChar w:fldCharType="begin"/>
        </w:r>
        <w:r>
          <w:rPr>
            <w:noProof/>
            <w:webHidden/>
          </w:rPr>
          <w:instrText xml:space="preserve"> PAGEREF _Toc514169519 \h </w:instrText>
        </w:r>
        <w:r>
          <w:rPr>
            <w:noProof/>
            <w:webHidden/>
          </w:rPr>
        </w:r>
        <w:r>
          <w:rPr>
            <w:noProof/>
            <w:webHidden/>
          </w:rPr>
          <w:fldChar w:fldCharType="separate"/>
        </w:r>
        <w:r>
          <w:rPr>
            <w:noProof/>
            <w:webHidden/>
          </w:rPr>
          <w:t>32</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0" w:history="1">
        <w:r>
          <w:rPr>
            <w:rStyle w:val="a6"/>
            <w:noProof/>
          </w:rPr>
          <w:t>4.3.9.</w:t>
        </w:r>
        <w:r>
          <w:rPr>
            <w:rFonts w:asciiTheme="minorHAnsi" w:hAnsiTheme="minorHAnsi" w:cstheme="minorBidi"/>
            <w:i w:val="0"/>
            <w:noProof/>
            <w:sz w:val="22"/>
            <w:szCs w:val="22"/>
          </w:rPr>
          <w:tab/>
        </w:r>
        <w:r>
          <w:rPr>
            <w:rStyle w:val="a6"/>
            <w:noProof/>
          </w:rPr>
          <w:t>ТРЕБОВАНИЯ К ОТВЕТНЫМ ФЛАНЦАМ</w:t>
        </w:r>
        <w:r>
          <w:rPr>
            <w:noProof/>
            <w:webHidden/>
          </w:rPr>
          <w:tab/>
        </w:r>
        <w:r>
          <w:rPr>
            <w:noProof/>
            <w:webHidden/>
          </w:rPr>
          <w:fldChar w:fldCharType="begin"/>
        </w:r>
        <w:r>
          <w:rPr>
            <w:noProof/>
            <w:webHidden/>
          </w:rPr>
          <w:instrText xml:space="preserve"> PAGEREF _Toc514169520 \h </w:instrText>
        </w:r>
        <w:r>
          <w:rPr>
            <w:noProof/>
            <w:webHidden/>
          </w:rPr>
        </w:r>
        <w:r>
          <w:rPr>
            <w:noProof/>
            <w:webHidden/>
          </w:rPr>
          <w:fldChar w:fldCharType="separate"/>
        </w:r>
        <w:r>
          <w:rPr>
            <w:noProof/>
            <w:webHidden/>
          </w:rPr>
          <w:t>33</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1" w:history="1">
        <w:r>
          <w:rPr>
            <w:rStyle w:val="a6"/>
            <w:noProof/>
          </w:rPr>
          <w:t>4.3.10.</w:t>
        </w:r>
        <w:r>
          <w:rPr>
            <w:rFonts w:asciiTheme="minorHAnsi" w:hAnsiTheme="minorHAnsi" w:cstheme="minorBidi"/>
            <w:i w:val="0"/>
            <w:noProof/>
            <w:sz w:val="22"/>
            <w:szCs w:val="22"/>
          </w:rPr>
          <w:tab/>
        </w:r>
        <w:r>
          <w:rPr>
            <w:rStyle w:val="a6"/>
            <w:noProof/>
          </w:rPr>
          <w:t xml:space="preserve">ТРЕБОВАНИЯ К ПРОКЛАДОЧНЫМ МАТЕРИАЛАМ ДЛЯ УПЛОТНЕНИЯ </w:t>
        </w:r>
        <w:r>
          <w:rPr>
            <w:rStyle w:val="a6"/>
            <w:noProof/>
          </w:rPr>
          <w:br/>
          <w:t>ФЛАНЦЕВЫХ СОЕДИНЕНИЙ</w:t>
        </w:r>
        <w:r>
          <w:rPr>
            <w:noProof/>
            <w:webHidden/>
          </w:rPr>
          <w:tab/>
        </w:r>
        <w:r>
          <w:rPr>
            <w:noProof/>
            <w:webHidden/>
          </w:rPr>
          <w:fldChar w:fldCharType="begin"/>
        </w:r>
        <w:r>
          <w:rPr>
            <w:noProof/>
            <w:webHidden/>
          </w:rPr>
          <w:instrText xml:space="preserve"> PAGEREF _Toc514169521 \h </w:instrText>
        </w:r>
        <w:r>
          <w:rPr>
            <w:noProof/>
            <w:webHidden/>
          </w:rPr>
        </w:r>
        <w:r>
          <w:rPr>
            <w:noProof/>
            <w:webHidden/>
          </w:rPr>
          <w:fldChar w:fldCharType="separate"/>
        </w:r>
        <w:r>
          <w:rPr>
            <w:noProof/>
            <w:webHidden/>
          </w:rPr>
          <w:t>36</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2" w:history="1">
        <w:r>
          <w:rPr>
            <w:rStyle w:val="a6"/>
            <w:noProof/>
          </w:rPr>
          <w:t>4.3.11.</w:t>
        </w:r>
        <w:r>
          <w:rPr>
            <w:rFonts w:asciiTheme="minorHAnsi" w:hAnsiTheme="minorHAnsi" w:cstheme="minorBidi"/>
            <w:i w:val="0"/>
            <w:noProof/>
            <w:sz w:val="22"/>
            <w:szCs w:val="22"/>
          </w:rPr>
          <w:tab/>
        </w:r>
        <w:r>
          <w:rPr>
            <w:rStyle w:val="a6"/>
            <w:noProof/>
          </w:rPr>
          <w:t>ТРЕБОВАНИЯ К КРЕПЕЖНЫМ ДЕТАЛЯМ ДЛЯ ФЛАНЦЕВЫХ СОЕДИНЕНИЙ</w:t>
        </w:r>
        <w:r>
          <w:rPr>
            <w:noProof/>
            <w:webHidden/>
          </w:rPr>
          <w:tab/>
        </w:r>
        <w:r>
          <w:rPr>
            <w:noProof/>
            <w:webHidden/>
          </w:rPr>
          <w:fldChar w:fldCharType="begin"/>
        </w:r>
        <w:r>
          <w:rPr>
            <w:noProof/>
            <w:webHidden/>
          </w:rPr>
          <w:instrText xml:space="preserve"> PAGEREF _Toc514169522 \h </w:instrText>
        </w:r>
        <w:r>
          <w:rPr>
            <w:noProof/>
            <w:webHidden/>
          </w:rPr>
        </w:r>
        <w:r>
          <w:rPr>
            <w:noProof/>
            <w:webHidden/>
          </w:rPr>
          <w:fldChar w:fldCharType="separate"/>
        </w:r>
        <w:r>
          <w:rPr>
            <w:noProof/>
            <w:webHidden/>
          </w:rPr>
          <w:t>37</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3" w:history="1">
        <w:r>
          <w:rPr>
            <w:rStyle w:val="a6"/>
            <w:noProof/>
          </w:rPr>
          <w:t>4.3.12.</w:t>
        </w:r>
        <w:r>
          <w:rPr>
            <w:rFonts w:asciiTheme="minorHAnsi" w:hAnsiTheme="minorHAnsi" w:cstheme="minorBidi"/>
            <w:i w:val="0"/>
            <w:noProof/>
            <w:sz w:val="22"/>
            <w:szCs w:val="22"/>
          </w:rPr>
          <w:tab/>
        </w:r>
        <w:r>
          <w:rPr>
            <w:rStyle w:val="a6"/>
            <w:noProof/>
          </w:rPr>
          <w:t>ТРЕБОВАНИЯ К КРАНАМ ШАРОВЫМ С КОНЦАМИ ПОД ПРИВАРКУ</w:t>
        </w:r>
        <w:r>
          <w:rPr>
            <w:noProof/>
            <w:webHidden/>
          </w:rPr>
          <w:tab/>
        </w:r>
        <w:r>
          <w:rPr>
            <w:noProof/>
            <w:webHidden/>
          </w:rPr>
          <w:fldChar w:fldCharType="begin"/>
        </w:r>
        <w:r>
          <w:rPr>
            <w:noProof/>
            <w:webHidden/>
          </w:rPr>
          <w:instrText xml:space="preserve"> PAGEREF _Toc514169523 \h </w:instrText>
        </w:r>
        <w:r>
          <w:rPr>
            <w:noProof/>
            <w:webHidden/>
          </w:rPr>
        </w:r>
        <w:r>
          <w:rPr>
            <w:noProof/>
            <w:webHidden/>
          </w:rPr>
          <w:fldChar w:fldCharType="separate"/>
        </w:r>
        <w:r>
          <w:rPr>
            <w:noProof/>
            <w:webHidden/>
          </w:rPr>
          <w:t>38</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4" w:history="1">
        <w:r>
          <w:rPr>
            <w:rStyle w:val="a6"/>
            <w:noProof/>
          </w:rPr>
          <w:t>4.3.13.</w:t>
        </w:r>
        <w:r>
          <w:rPr>
            <w:rFonts w:asciiTheme="minorHAnsi" w:hAnsiTheme="minorHAnsi" w:cstheme="minorBidi"/>
            <w:i w:val="0"/>
            <w:noProof/>
            <w:sz w:val="22"/>
            <w:szCs w:val="22"/>
          </w:rPr>
          <w:tab/>
        </w:r>
        <w:r>
          <w:rPr>
            <w:rStyle w:val="a6"/>
            <w:noProof/>
          </w:rPr>
          <w:t xml:space="preserve">ТРЕБОВАНИЯ ПО ПРИСОЕДИНЕНИЮ КРАНА ШАРОВОГО С КОНЦАМИ </w:t>
        </w:r>
        <w:r>
          <w:rPr>
            <w:rStyle w:val="a6"/>
            <w:noProof/>
          </w:rPr>
          <w:br/>
          <w:t>ПОД ПРИВАРКУ К ТРУБОПРОВОДАМ</w:t>
        </w:r>
        <w:r>
          <w:rPr>
            <w:noProof/>
            <w:webHidden/>
          </w:rPr>
          <w:tab/>
        </w:r>
        <w:r>
          <w:rPr>
            <w:noProof/>
            <w:webHidden/>
          </w:rPr>
          <w:fldChar w:fldCharType="begin"/>
        </w:r>
        <w:r>
          <w:rPr>
            <w:noProof/>
            <w:webHidden/>
          </w:rPr>
          <w:instrText xml:space="preserve"> PAGEREF _Toc514169524 \h </w:instrText>
        </w:r>
        <w:r>
          <w:rPr>
            <w:noProof/>
            <w:webHidden/>
          </w:rPr>
        </w:r>
        <w:r>
          <w:rPr>
            <w:noProof/>
            <w:webHidden/>
          </w:rPr>
          <w:fldChar w:fldCharType="separate"/>
        </w:r>
        <w:r>
          <w:rPr>
            <w:noProof/>
            <w:webHidden/>
          </w:rPr>
          <w:t>38</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5" w:history="1">
        <w:r>
          <w:rPr>
            <w:rStyle w:val="a6"/>
            <w:noProof/>
          </w:rPr>
          <w:t>4.3.14.</w:t>
        </w:r>
        <w:r>
          <w:rPr>
            <w:rFonts w:asciiTheme="minorHAnsi" w:hAnsiTheme="minorHAnsi" w:cstheme="minorBidi"/>
            <w:i w:val="0"/>
            <w:noProof/>
            <w:sz w:val="22"/>
            <w:szCs w:val="22"/>
          </w:rPr>
          <w:tab/>
        </w:r>
        <w:r>
          <w:rPr>
            <w:rStyle w:val="a6"/>
            <w:noProof/>
          </w:rPr>
          <w:t>ТРЕБОВАНИЯ К ТИПУ УПРАВЛЕНИЯ</w:t>
        </w:r>
        <w:r>
          <w:rPr>
            <w:noProof/>
            <w:webHidden/>
          </w:rPr>
          <w:tab/>
        </w:r>
        <w:r>
          <w:rPr>
            <w:noProof/>
            <w:webHidden/>
          </w:rPr>
          <w:fldChar w:fldCharType="begin"/>
        </w:r>
        <w:r>
          <w:rPr>
            <w:noProof/>
            <w:webHidden/>
          </w:rPr>
          <w:instrText xml:space="preserve"> PAGEREF _Toc514169525 \h </w:instrText>
        </w:r>
        <w:r>
          <w:rPr>
            <w:noProof/>
            <w:webHidden/>
          </w:rPr>
        </w:r>
        <w:r>
          <w:rPr>
            <w:noProof/>
            <w:webHidden/>
          </w:rPr>
          <w:fldChar w:fldCharType="separate"/>
        </w:r>
        <w:r>
          <w:rPr>
            <w:noProof/>
            <w:webHidden/>
          </w:rPr>
          <w:t>39</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6" w:history="1">
        <w:r>
          <w:rPr>
            <w:rStyle w:val="a6"/>
            <w:noProof/>
          </w:rPr>
          <w:t>4.3.15.</w:t>
        </w:r>
        <w:r>
          <w:rPr>
            <w:rFonts w:asciiTheme="minorHAnsi" w:hAnsiTheme="minorHAnsi" w:cstheme="minorBidi"/>
            <w:i w:val="0"/>
            <w:noProof/>
            <w:sz w:val="22"/>
            <w:szCs w:val="22"/>
          </w:rPr>
          <w:tab/>
        </w:r>
        <w:r>
          <w:rPr>
            <w:rStyle w:val="a6"/>
            <w:noProof/>
          </w:rPr>
          <w:t>ТРЕБОВАНИЯ К ВРЕМЕНИ «ОТКРЫТИЯ/ЗАКРЫТИЯ»</w:t>
        </w:r>
        <w:r>
          <w:rPr>
            <w:noProof/>
            <w:webHidden/>
          </w:rPr>
          <w:tab/>
        </w:r>
        <w:r>
          <w:rPr>
            <w:noProof/>
            <w:webHidden/>
          </w:rPr>
          <w:fldChar w:fldCharType="begin"/>
        </w:r>
        <w:r>
          <w:rPr>
            <w:noProof/>
            <w:webHidden/>
          </w:rPr>
          <w:instrText xml:space="preserve"> PAGEREF _Toc514169526 \h </w:instrText>
        </w:r>
        <w:r>
          <w:rPr>
            <w:noProof/>
            <w:webHidden/>
          </w:rPr>
        </w:r>
        <w:r>
          <w:rPr>
            <w:noProof/>
            <w:webHidden/>
          </w:rPr>
          <w:fldChar w:fldCharType="separate"/>
        </w:r>
        <w:r>
          <w:rPr>
            <w:noProof/>
            <w:webHidden/>
          </w:rPr>
          <w:t>44</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27" w:history="1">
        <w:r>
          <w:rPr>
            <w:rStyle w:val="a6"/>
            <w:noProof/>
          </w:rPr>
          <w:t>4.3.16.</w:t>
        </w:r>
        <w:r>
          <w:rPr>
            <w:rFonts w:asciiTheme="minorHAnsi" w:hAnsiTheme="minorHAnsi" w:cstheme="minorBidi"/>
            <w:i w:val="0"/>
            <w:noProof/>
            <w:sz w:val="22"/>
            <w:szCs w:val="22"/>
          </w:rPr>
          <w:tab/>
        </w:r>
        <w:r>
          <w:rPr>
            <w:rStyle w:val="a6"/>
            <w:noProof/>
          </w:rPr>
          <w:t>ТРЕБОВАНИЯ К УСТАНОВОЧНОМУ ПОЛОЖЕНИЮ</w:t>
        </w:r>
        <w:r>
          <w:rPr>
            <w:noProof/>
            <w:webHidden/>
          </w:rPr>
          <w:tab/>
        </w:r>
        <w:r>
          <w:rPr>
            <w:noProof/>
            <w:webHidden/>
          </w:rPr>
          <w:fldChar w:fldCharType="begin"/>
        </w:r>
        <w:r>
          <w:rPr>
            <w:noProof/>
            <w:webHidden/>
          </w:rPr>
          <w:instrText xml:space="preserve"> PAGEREF _Toc514169527 \h </w:instrText>
        </w:r>
        <w:r>
          <w:rPr>
            <w:noProof/>
            <w:webHidden/>
          </w:rPr>
        </w:r>
        <w:r>
          <w:rPr>
            <w:noProof/>
            <w:webHidden/>
          </w:rPr>
          <w:fldChar w:fldCharType="separate"/>
        </w:r>
        <w:r>
          <w:rPr>
            <w:noProof/>
            <w:webHidden/>
          </w:rPr>
          <w:t>45</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28" w:history="1">
        <w:r>
          <w:rPr>
            <w:rStyle w:val="a6"/>
            <w:rFonts w:eastAsia="Calibri" w:cs="Arial"/>
            <w:iCs/>
            <w:noProof/>
          </w:rPr>
          <w:t>4.4.</w:t>
        </w:r>
        <w:r>
          <w:rPr>
            <w:rFonts w:asciiTheme="minorHAnsi" w:hAnsiTheme="minorHAnsi" w:cstheme="minorBidi"/>
            <w:b w:val="0"/>
            <w:bCs w:val="0"/>
            <w:noProof/>
            <w:sz w:val="22"/>
            <w:szCs w:val="22"/>
          </w:rPr>
          <w:tab/>
        </w:r>
        <w:r>
          <w:rPr>
            <w:rStyle w:val="a6"/>
            <w:rFonts w:eastAsia="Calibri" w:cs="Arial"/>
            <w:iCs/>
            <w:noProof/>
          </w:rPr>
          <w:t>ТРЕБОВАНИЯ К ИСПЫТАНИЯМ ОБОРУДОВАНИЯ</w:t>
        </w:r>
        <w:r>
          <w:rPr>
            <w:noProof/>
            <w:webHidden/>
          </w:rPr>
          <w:tab/>
        </w:r>
        <w:r>
          <w:rPr>
            <w:noProof/>
            <w:webHidden/>
          </w:rPr>
          <w:fldChar w:fldCharType="begin"/>
        </w:r>
        <w:r>
          <w:rPr>
            <w:noProof/>
            <w:webHidden/>
          </w:rPr>
          <w:instrText xml:space="preserve"> PAGEREF _Toc514169528 \h </w:instrText>
        </w:r>
        <w:r>
          <w:rPr>
            <w:noProof/>
            <w:webHidden/>
          </w:rPr>
        </w:r>
        <w:r>
          <w:rPr>
            <w:noProof/>
            <w:webHidden/>
          </w:rPr>
          <w:fldChar w:fldCharType="separate"/>
        </w:r>
        <w:r>
          <w:rPr>
            <w:noProof/>
            <w:webHidden/>
          </w:rPr>
          <w:t>46</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29" w:history="1">
        <w:r>
          <w:rPr>
            <w:rStyle w:val="a6"/>
            <w:rFonts w:eastAsia="Calibri" w:cs="Arial"/>
            <w:iCs/>
            <w:noProof/>
          </w:rPr>
          <w:t>4.5.</w:t>
        </w:r>
        <w:r>
          <w:rPr>
            <w:rFonts w:asciiTheme="minorHAnsi" w:hAnsiTheme="minorHAnsi" w:cstheme="minorBidi"/>
            <w:b w:val="0"/>
            <w:bCs w:val="0"/>
            <w:noProof/>
            <w:sz w:val="22"/>
            <w:szCs w:val="22"/>
          </w:rPr>
          <w:tab/>
        </w:r>
        <w:r>
          <w:rPr>
            <w:rStyle w:val="a6"/>
            <w:rFonts w:eastAsia="Calibri" w:cs="Arial"/>
            <w:iCs/>
            <w:noProof/>
          </w:rPr>
          <w:t>ТРЕБОВАНИЯ К ПОКАЗАТЕЛЯМ НАДЕЖНОСТИ</w:t>
        </w:r>
        <w:r>
          <w:rPr>
            <w:noProof/>
            <w:webHidden/>
          </w:rPr>
          <w:tab/>
        </w:r>
        <w:r>
          <w:rPr>
            <w:noProof/>
            <w:webHidden/>
          </w:rPr>
          <w:fldChar w:fldCharType="begin"/>
        </w:r>
        <w:r>
          <w:rPr>
            <w:noProof/>
            <w:webHidden/>
          </w:rPr>
          <w:instrText xml:space="preserve"> PAGEREF _Toc514169529 \h </w:instrText>
        </w:r>
        <w:r>
          <w:rPr>
            <w:noProof/>
            <w:webHidden/>
          </w:rPr>
        </w:r>
        <w:r>
          <w:rPr>
            <w:noProof/>
            <w:webHidden/>
          </w:rPr>
          <w:fldChar w:fldCharType="separate"/>
        </w:r>
        <w:r>
          <w:rPr>
            <w:noProof/>
            <w:webHidden/>
          </w:rPr>
          <w:t>48</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0" w:history="1">
        <w:r>
          <w:rPr>
            <w:rStyle w:val="a6"/>
            <w:rFonts w:eastAsia="Calibri" w:cs="Arial"/>
            <w:iCs/>
            <w:noProof/>
          </w:rPr>
          <w:t>4.6.</w:t>
        </w:r>
        <w:r>
          <w:rPr>
            <w:rFonts w:asciiTheme="minorHAnsi" w:hAnsiTheme="minorHAnsi" w:cstheme="minorBidi"/>
            <w:b w:val="0"/>
            <w:bCs w:val="0"/>
            <w:noProof/>
            <w:sz w:val="22"/>
            <w:szCs w:val="22"/>
          </w:rPr>
          <w:tab/>
        </w:r>
        <w:r>
          <w:rPr>
            <w:rStyle w:val="a6"/>
            <w:rFonts w:eastAsia="Calibri" w:cs="Arial"/>
            <w:iCs/>
            <w:noProof/>
          </w:rPr>
          <w:t>ТРЕБОВАНИЯ К ПОКРЫТИЯМ, МАРКИРОВКЕ И ВИЗУАЛЬНОЙ ИДЕНТИФИКАЦИИ</w:t>
        </w:r>
        <w:r>
          <w:rPr>
            <w:noProof/>
            <w:webHidden/>
          </w:rPr>
          <w:tab/>
        </w:r>
        <w:r>
          <w:rPr>
            <w:noProof/>
            <w:webHidden/>
          </w:rPr>
          <w:fldChar w:fldCharType="begin"/>
        </w:r>
        <w:r>
          <w:rPr>
            <w:noProof/>
            <w:webHidden/>
          </w:rPr>
          <w:instrText xml:space="preserve"> PAGEREF _Toc514169530 \h </w:instrText>
        </w:r>
        <w:r>
          <w:rPr>
            <w:noProof/>
            <w:webHidden/>
          </w:rPr>
        </w:r>
        <w:r>
          <w:rPr>
            <w:noProof/>
            <w:webHidden/>
          </w:rPr>
          <w:fldChar w:fldCharType="separate"/>
        </w:r>
        <w:r>
          <w:rPr>
            <w:noProof/>
            <w:webHidden/>
          </w:rPr>
          <w:t>50</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1" w:history="1">
        <w:r>
          <w:rPr>
            <w:rStyle w:val="a6"/>
            <w:rFonts w:eastAsia="Calibri" w:cs="Arial"/>
            <w:iCs/>
            <w:noProof/>
          </w:rPr>
          <w:t>4.7.</w:t>
        </w:r>
        <w:r>
          <w:rPr>
            <w:rFonts w:asciiTheme="minorHAnsi" w:hAnsiTheme="minorHAnsi" w:cstheme="minorBidi"/>
            <w:b w:val="0"/>
            <w:bCs w:val="0"/>
            <w:noProof/>
            <w:sz w:val="22"/>
            <w:szCs w:val="22"/>
          </w:rPr>
          <w:tab/>
        </w:r>
        <w:r>
          <w:rPr>
            <w:rStyle w:val="a6"/>
            <w:rFonts w:eastAsia="Calibri" w:cs="Arial"/>
            <w:iCs/>
            <w:noProof/>
          </w:rPr>
          <w:t>ТЕХНИЧЕСКИЕ УСЛУГИ ЗАВОДА-ИЗГОТОВИТЕЛЯ</w:t>
        </w:r>
        <w:r>
          <w:rPr>
            <w:noProof/>
            <w:webHidden/>
          </w:rPr>
          <w:tab/>
        </w:r>
        <w:r>
          <w:rPr>
            <w:noProof/>
            <w:webHidden/>
          </w:rPr>
          <w:fldChar w:fldCharType="begin"/>
        </w:r>
        <w:r>
          <w:rPr>
            <w:noProof/>
            <w:webHidden/>
          </w:rPr>
          <w:instrText xml:space="preserve"> PAGEREF _Toc514169531 \h </w:instrText>
        </w:r>
        <w:r>
          <w:rPr>
            <w:noProof/>
            <w:webHidden/>
          </w:rPr>
        </w:r>
        <w:r>
          <w:rPr>
            <w:noProof/>
            <w:webHidden/>
          </w:rPr>
          <w:fldChar w:fldCharType="separate"/>
        </w:r>
        <w:r>
          <w:rPr>
            <w:noProof/>
            <w:webHidden/>
          </w:rPr>
          <w:t>52</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2" w:history="1">
        <w:r>
          <w:rPr>
            <w:rStyle w:val="a6"/>
            <w:rFonts w:eastAsia="Calibri" w:cs="Arial"/>
            <w:iCs/>
            <w:noProof/>
          </w:rPr>
          <w:t>4.8.</w:t>
        </w:r>
        <w:r>
          <w:rPr>
            <w:rFonts w:asciiTheme="minorHAnsi" w:hAnsiTheme="minorHAnsi" w:cstheme="minorBidi"/>
            <w:b w:val="0"/>
            <w:bCs w:val="0"/>
            <w:noProof/>
            <w:sz w:val="22"/>
            <w:szCs w:val="22"/>
          </w:rPr>
          <w:tab/>
        </w:r>
        <w:r>
          <w:rPr>
            <w:rStyle w:val="a6"/>
            <w:rFonts w:eastAsia="Calibri" w:cs="Arial"/>
            <w:iCs/>
            <w:noProof/>
          </w:rPr>
          <w:t>ТРЕБОВАНИЯ К КОМПЛЕКТНОСТИ ПОСТАВКИ</w:t>
        </w:r>
        <w:r>
          <w:rPr>
            <w:noProof/>
            <w:webHidden/>
          </w:rPr>
          <w:tab/>
        </w:r>
        <w:r>
          <w:rPr>
            <w:noProof/>
            <w:webHidden/>
          </w:rPr>
          <w:fldChar w:fldCharType="begin"/>
        </w:r>
        <w:r>
          <w:rPr>
            <w:noProof/>
            <w:webHidden/>
          </w:rPr>
          <w:instrText xml:space="preserve"> PAGEREF _Toc514169532 \h </w:instrText>
        </w:r>
        <w:r>
          <w:rPr>
            <w:noProof/>
            <w:webHidden/>
          </w:rPr>
        </w:r>
        <w:r>
          <w:rPr>
            <w:noProof/>
            <w:webHidden/>
          </w:rPr>
          <w:fldChar w:fldCharType="separate"/>
        </w:r>
        <w:r>
          <w:rPr>
            <w:noProof/>
            <w:webHidden/>
          </w:rPr>
          <w:t>52</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3" w:history="1">
        <w:r>
          <w:rPr>
            <w:rStyle w:val="a6"/>
            <w:rFonts w:eastAsia="Calibri" w:cs="Arial"/>
            <w:iCs/>
            <w:noProof/>
          </w:rPr>
          <w:t>4.9.</w:t>
        </w:r>
        <w:r>
          <w:rPr>
            <w:rFonts w:asciiTheme="minorHAnsi" w:hAnsiTheme="minorHAnsi" w:cstheme="minorBidi"/>
            <w:b w:val="0"/>
            <w:bCs w:val="0"/>
            <w:noProof/>
            <w:sz w:val="22"/>
            <w:szCs w:val="22"/>
          </w:rPr>
          <w:tab/>
        </w:r>
        <w:r>
          <w:rPr>
            <w:rStyle w:val="a6"/>
            <w:rFonts w:eastAsia="Calibri" w:cs="Arial"/>
            <w:iCs/>
            <w:noProof/>
          </w:rPr>
          <w:t>ТРЕБОВАНИЯ К ДОКУМЕНТАЦИИ И ТЕХНИЧЕСКИМ ДАННЫМ</w:t>
        </w:r>
        <w:r>
          <w:rPr>
            <w:noProof/>
            <w:webHidden/>
          </w:rPr>
          <w:tab/>
        </w:r>
        <w:r>
          <w:rPr>
            <w:noProof/>
            <w:webHidden/>
          </w:rPr>
          <w:fldChar w:fldCharType="begin"/>
        </w:r>
        <w:r>
          <w:rPr>
            <w:noProof/>
            <w:webHidden/>
          </w:rPr>
          <w:instrText xml:space="preserve"> PAGEREF _Toc514169533 \h </w:instrText>
        </w:r>
        <w:r>
          <w:rPr>
            <w:noProof/>
            <w:webHidden/>
          </w:rPr>
        </w:r>
        <w:r>
          <w:rPr>
            <w:noProof/>
            <w:webHidden/>
          </w:rPr>
          <w:fldChar w:fldCharType="separate"/>
        </w:r>
        <w:r>
          <w:rPr>
            <w:noProof/>
            <w:webHidden/>
          </w:rPr>
          <w:t>53</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4" w:history="1">
        <w:r>
          <w:rPr>
            <w:rStyle w:val="a6"/>
            <w:rFonts w:eastAsia="Calibri" w:cs="Arial"/>
            <w:iCs/>
            <w:noProof/>
          </w:rPr>
          <w:t>4.10.</w:t>
        </w:r>
        <w:r>
          <w:rPr>
            <w:rFonts w:asciiTheme="minorHAnsi" w:hAnsiTheme="minorHAnsi" w:cstheme="minorBidi"/>
            <w:b w:val="0"/>
            <w:bCs w:val="0"/>
            <w:noProof/>
            <w:sz w:val="22"/>
            <w:szCs w:val="22"/>
          </w:rPr>
          <w:tab/>
        </w:r>
        <w:r>
          <w:rPr>
            <w:rStyle w:val="a6"/>
            <w:rFonts w:eastAsia="Calibri" w:cs="Arial"/>
            <w:iCs/>
            <w:noProof/>
          </w:rPr>
          <w:t>ТРЕБОВАНИЯ К ТРАНСПОРТИРОВАНИЮ И КОНСЕРВАЦИИ</w:t>
        </w:r>
        <w:r>
          <w:rPr>
            <w:noProof/>
            <w:webHidden/>
          </w:rPr>
          <w:tab/>
        </w:r>
        <w:r>
          <w:rPr>
            <w:noProof/>
            <w:webHidden/>
          </w:rPr>
          <w:fldChar w:fldCharType="begin"/>
        </w:r>
        <w:r>
          <w:rPr>
            <w:noProof/>
            <w:webHidden/>
          </w:rPr>
          <w:instrText xml:space="preserve"> PAGEREF _Toc514169534 \h </w:instrText>
        </w:r>
        <w:r>
          <w:rPr>
            <w:noProof/>
            <w:webHidden/>
          </w:rPr>
        </w:r>
        <w:r>
          <w:rPr>
            <w:noProof/>
            <w:webHidden/>
          </w:rPr>
          <w:fldChar w:fldCharType="separate"/>
        </w:r>
        <w:r>
          <w:rPr>
            <w:noProof/>
            <w:webHidden/>
          </w:rPr>
          <w:t>55</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35" w:history="1">
        <w:r>
          <w:rPr>
            <w:rStyle w:val="a6"/>
            <w:rFonts w:eastAsia="Calibri" w:cs="Arial"/>
            <w:iCs/>
            <w:noProof/>
          </w:rPr>
          <w:t>4.11.</w:t>
        </w:r>
        <w:r>
          <w:rPr>
            <w:rFonts w:asciiTheme="minorHAnsi" w:hAnsiTheme="minorHAnsi" w:cstheme="minorBidi"/>
            <w:b w:val="0"/>
            <w:bCs w:val="0"/>
            <w:noProof/>
            <w:sz w:val="22"/>
            <w:szCs w:val="22"/>
          </w:rPr>
          <w:tab/>
        </w:r>
        <w:r>
          <w:rPr>
            <w:rStyle w:val="a6"/>
            <w:rFonts w:eastAsia="Calibri" w:cs="Arial"/>
            <w:iCs/>
            <w:noProof/>
          </w:rPr>
          <w:t xml:space="preserve">ТРЕБОВАНИЯ К ПРОМЫШЛЕННОЙ, ПОЖАРНОЙ, </w:t>
        </w:r>
        <w:r>
          <w:rPr>
            <w:rStyle w:val="a6"/>
            <w:rFonts w:eastAsia="Calibri" w:cs="Arial"/>
            <w:iCs/>
            <w:noProof/>
          </w:rPr>
          <w:br/>
          <w:t>ЭКОЛОГИЧЕСКОЙ</w:t>
        </w:r>
        <w:r>
          <w:rPr>
            <w:rStyle w:val="a6"/>
            <w:rFonts w:eastAsia="Calibri"/>
            <w:noProof/>
          </w:rPr>
          <w:t xml:space="preserve"> </w:t>
        </w:r>
        <w:r>
          <w:rPr>
            <w:rStyle w:val="a6"/>
            <w:rFonts w:eastAsia="Calibri" w:cs="Arial"/>
            <w:iCs/>
            <w:noProof/>
          </w:rPr>
          <w:t>БЕЗОПАСНОСТИ И ОХРАНЕ ТРУДА</w:t>
        </w:r>
        <w:r>
          <w:rPr>
            <w:noProof/>
            <w:webHidden/>
          </w:rPr>
          <w:tab/>
        </w:r>
        <w:r>
          <w:rPr>
            <w:noProof/>
            <w:webHidden/>
          </w:rPr>
          <w:fldChar w:fldCharType="begin"/>
        </w:r>
        <w:r>
          <w:rPr>
            <w:noProof/>
            <w:webHidden/>
          </w:rPr>
          <w:instrText xml:space="preserve"> PAGEREF _Toc514169535 \h </w:instrText>
        </w:r>
        <w:r>
          <w:rPr>
            <w:noProof/>
            <w:webHidden/>
          </w:rPr>
        </w:r>
        <w:r>
          <w:rPr>
            <w:noProof/>
            <w:webHidden/>
          </w:rPr>
          <w:fldChar w:fldCharType="separate"/>
        </w:r>
        <w:r>
          <w:rPr>
            <w:noProof/>
            <w:webHidden/>
          </w:rPr>
          <w:t>56</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36" w:history="1">
        <w:r>
          <w:rPr>
            <w:rStyle w:val="a6"/>
            <w:noProof/>
          </w:rPr>
          <w:t>4.11.1.</w:t>
        </w:r>
        <w:r>
          <w:rPr>
            <w:rFonts w:asciiTheme="minorHAnsi" w:hAnsiTheme="minorHAnsi" w:cstheme="minorBidi"/>
            <w:i w:val="0"/>
            <w:noProof/>
            <w:sz w:val="22"/>
            <w:szCs w:val="22"/>
          </w:rPr>
          <w:tab/>
        </w:r>
        <w:r>
          <w:rPr>
            <w:rStyle w:val="a6"/>
            <w:noProof/>
          </w:rPr>
          <w:t>ОБЩИЕ ТРЕБОВАНИЯ БЕЗОПАСНОСТИ</w:t>
        </w:r>
        <w:r>
          <w:rPr>
            <w:noProof/>
            <w:webHidden/>
          </w:rPr>
          <w:tab/>
        </w:r>
        <w:r>
          <w:rPr>
            <w:noProof/>
            <w:webHidden/>
          </w:rPr>
          <w:fldChar w:fldCharType="begin"/>
        </w:r>
        <w:r>
          <w:rPr>
            <w:noProof/>
            <w:webHidden/>
          </w:rPr>
          <w:instrText xml:space="preserve"> PAGEREF _Toc514169536 \h </w:instrText>
        </w:r>
        <w:r>
          <w:rPr>
            <w:noProof/>
            <w:webHidden/>
          </w:rPr>
        </w:r>
        <w:r>
          <w:rPr>
            <w:noProof/>
            <w:webHidden/>
          </w:rPr>
          <w:fldChar w:fldCharType="separate"/>
        </w:r>
        <w:r>
          <w:rPr>
            <w:noProof/>
            <w:webHidden/>
          </w:rPr>
          <w:t>56</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37" w:history="1">
        <w:r>
          <w:rPr>
            <w:rStyle w:val="a6"/>
            <w:noProof/>
          </w:rPr>
          <w:t>4.11.3.</w:t>
        </w:r>
        <w:r>
          <w:rPr>
            <w:rFonts w:asciiTheme="minorHAnsi" w:hAnsiTheme="minorHAnsi" w:cstheme="minorBidi"/>
            <w:i w:val="0"/>
            <w:noProof/>
            <w:sz w:val="22"/>
            <w:szCs w:val="22"/>
          </w:rPr>
          <w:tab/>
        </w:r>
        <w:r>
          <w:rPr>
            <w:rStyle w:val="a6"/>
            <w:noProof/>
          </w:rPr>
          <w:t>ТРЕБОВАНИЯ БЕЗОПАСНОСТИ ПРИ ТРАНСПОРТИРОВАНИИ И ХРАНЕНИИ</w:t>
        </w:r>
        <w:r>
          <w:rPr>
            <w:noProof/>
            <w:webHidden/>
          </w:rPr>
          <w:tab/>
        </w:r>
        <w:r>
          <w:rPr>
            <w:noProof/>
            <w:webHidden/>
          </w:rPr>
          <w:fldChar w:fldCharType="begin"/>
        </w:r>
        <w:r>
          <w:rPr>
            <w:noProof/>
            <w:webHidden/>
          </w:rPr>
          <w:instrText xml:space="preserve"> PAGEREF _Toc514169537 \h </w:instrText>
        </w:r>
        <w:r>
          <w:rPr>
            <w:noProof/>
            <w:webHidden/>
          </w:rPr>
        </w:r>
        <w:r>
          <w:rPr>
            <w:noProof/>
            <w:webHidden/>
          </w:rPr>
          <w:fldChar w:fldCharType="separate"/>
        </w:r>
        <w:r>
          <w:rPr>
            <w:noProof/>
            <w:webHidden/>
          </w:rPr>
          <w:t>57</w:t>
        </w:r>
        <w:r>
          <w:rPr>
            <w:noProof/>
            <w:webHidden/>
          </w:rPr>
          <w:fldChar w:fldCharType="end"/>
        </w:r>
      </w:hyperlink>
    </w:p>
    <w:p>
      <w:pPr>
        <w:pStyle w:val="34"/>
        <w:tabs>
          <w:tab w:val="left" w:pos="1418"/>
          <w:tab w:val="right" w:leader="dot" w:pos="9628"/>
        </w:tabs>
        <w:ind w:left="1418" w:hanging="567"/>
        <w:jc w:val="left"/>
        <w:rPr>
          <w:rFonts w:asciiTheme="minorHAnsi" w:hAnsiTheme="minorHAnsi" w:cstheme="minorBidi"/>
          <w:i w:val="0"/>
          <w:noProof/>
          <w:sz w:val="22"/>
          <w:szCs w:val="22"/>
        </w:rPr>
      </w:pPr>
      <w:hyperlink w:anchor="_Toc514169538" w:history="1">
        <w:r>
          <w:rPr>
            <w:rStyle w:val="a6"/>
            <w:noProof/>
          </w:rPr>
          <w:t>4.11.4.</w:t>
        </w:r>
        <w:r>
          <w:rPr>
            <w:rFonts w:asciiTheme="minorHAnsi" w:hAnsiTheme="minorHAnsi" w:cstheme="minorBidi"/>
            <w:i w:val="0"/>
            <w:noProof/>
            <w:sz w:val="22"/>
            <w:szCs w:val="22"/>
          </w:rPr>
          <w:tab/>
        </w:r>
        <w:r>
          <w:rPr>
            <w:rStyle w:val="a6"/>
            <w:noProof/>
          </w:rPr>
          <w:t>ТРЕБОВАНИЯ БЕЗОПАСНОСТИ, ПРЕДЪЯВЛЯЕМЫЕ К ПРИВОДАМ</w:t>
        </w:r>
        <w:r>
          <w:rPr>
            <w:noProof/>
            <w:webHidden/>
          </w:rPr>
          <w:tab/>
        </w:r>
        <w:r>
          <w:rPr>
            <w:noProof/>
            <w:webHidden/>
          </w:rPr>
          <w:fldChar w:fldCharType="begin"/>
        </w:r>
        <w:r>
          <w:rPr>
            <w:noProof/>
            <w:webHidden/>
          </w:rPr>
          <w:instrText xml:space="preserve"> PAGEREF _Toc514169538 \h </w:instrText>
        </w:r>
        <w:r>
          <w:rPr>
            <w:noProof/>
            <w:webHidden/>
          </w:rPr>
        </w:r>
        <w:r>
          <w:rPr>
            <w:noProof/>
            <w:webHidden/>
          </w:rPr>
          <w:fldChar w:fldCharType="separate"/>
        </w:r>
        <w:r>
          <w:rPr>
            <w:noProof/>
            <w:webHidden/>
          </w:rPr>
          <w:t>57</w:t>
        </w:r>
        <w:r>
          <w:rPr>
            <w:noProof/>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39" w:history="1">
        <w:r>
          <w:rPr>
            <w:rStyle w:val="a6"/>
          </w:rPr>
          <w:t>5.</w:t>
        </w:r>
        <w:r>
          <w:rPr>
            <w:rFonts w:asciiTheme="minorHAnsi" w:hAnsiTheme="minorHAnsi" w:cstheme="minorBidi"/>
            <w:b w:val="0"/>
            <w:bCs w:val="0"/>
            <w:caps w:val="0"/>
            <w:sz w:val="22"/>
            <w:szCs w:val="22"/>
          </w:rPr>
          <w:tab/>
        </w:r>
        <w:r>
          <w:rPr>
            <w:rStyle w:val="a6"/>
          </w:rPr>
          <w:t>УСЛОВНОЕ ОБОЗНАЧЕНИЕ</w:t>
        </w:r>
        <w:r>
          <w:rPr>
            <w:webHidden/>
          </w:rPr>
          <w:tab/>
        </w:r>
        <w:r>
          <w:rPr>
            <w:webHidden/>
          </w:rPr>
          <w:fldChar w:fldCharType="begin"/>
        </w:r>
        <w:r>
          <w:rPr>
            <w:webHidden/>
          </w:rPr>
          <w:instrText xml:space="preserve"> PAGEREF _Toc514169539 \h </w:instrText>
        </w:r>
        <w:r>
          <w:rPr>
            <w:webHidden/>
          </w:rPr>
        </w:r>
        <w:r>
          <w:rPr>
            <w:webHidden/>
          </w:rPr>
          <w:fldChar w:fldCharType="separate"/>
        </w:r>
        <w:r>
          <w:rPr>
            <w:webHidden/>
          </w:rPr>
          <w:t>59</w:t>
        </w:r>
        <w:r>
          <w:rPr>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40" w:history="1">
        <w:r>
          <w:rPr>
            <w:rStyle w:val="a6"/>
            <w:rFonts w:eastAsia="Calibri" w:cs="Arial"/>
            <w:iCs/>
            <w:noProof/>
          </w:rPr>
          <w:t>5.1.</w:t>
        </w:r>
        <w:r>
          <w:rPr>
            <w:rFonts w:asciiTheme="minorHAnsi" w:hAnsiTheme="minorHAnsi" w:cstheme="minorBidi"/>
            <w:b w:val="0"/>
            <w:bCs w:val="0"/>
            <w:noProof/>
            <w:sz w:val="22"/>
            <w:szCs w:val="22"/>
          </w:rPr>
          <w:tab/>
        </w:r>
        <w:r>
          <w:rPr>
            <w:rStyle w:val="a6"/>
            <w:rFonts w:eastAsia="Calibri" w:cs="Arial"/>
            <w:iCs/>
            <w:noProof/>
          </w:rPr>
          <w:t>СХЕМА УСЛОВНОГО ОБОЗНАЧЕНИЯ</w:t>
        </w:r>
        <w:r>
          <w:rPr>
            <w:noProof/>
            <w:webHidden/>
          </w:rPr>
          <w:tab/>
        </w:r>
        <w:r>
          <w:rPr>
            <w:noProof/>
            <w:webHidden/>
          </w:rPr>
          <w:fldChar w:fldCharType="begin"/>
        </w:r>
        <w:r>
          <w:rPr>
            <w:noProof/>
            <w:webHidden/>
          </w:rPr>
          <w:instrText xml:space="preserve"> PAGEREF _Toc514169540 \h </w:instrText>
        </w:r>
        <w:r>
          <w:rPr>
            <w:noProof/>
            <w:webHidden/>
          </w:rPr>
        </w:r>
        <w:r>
          <w:rPr>
            <w:noProof/>
            <w:webHidden/>
          </w:rPr>
          <w:fldChar w:fldCharType="separate"/>
        </w:r>
        <w:r>
          <w:rPr>
            <w:noProof/>
            <w:webHidden/>
          </w:rPr>
          <w:t>59</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41" w:history="1">
        <w:r>
          <w:rPr>
            <w:rStyle w:val="a6"/>
            <w:rFonts w:eastAsia="Calibri"/>
            <w:caps/>
            <w:noProof/>
          </w:rPr>
          <w:t>5.2.</w:t>
        </w:r>
        <w:r>
          <w:rPr>
            <w:rFonts w:asciiTheme="minorHAnsi" w:hAnsiTheme="minorHAnsi" w:cstheme="minorBidi"/>
            <w:b w:val="0"/>
            <w:bCs w:val="0"/>
            <w:noProof/>
            <w:sz w:val="22"/>
            <w:szCs w:val="22"/>
          </w:rPr>
          <w:tab/>
        </w:r>
        <w:r>
          <w:rPr>
            <w:rStyle w:val="a6"/>
            <w:rFonts w:eastAsia="Calibri"/>
            <w:caps/>
            <w:noProof/>
          </w:rPr>
          <w:t>РАСШИФРОВКА УСЛОВНОГО ОБОЗНАЧЕНИЯ</w:t>
        </w:r>
        <w:r>
          <w:rPr>
            <w:noProof/>
            <w:webHidden/>
          </w:rPr>
          <w:tab/>
        </w:r>
        <w:r>
          <w:rPr>
            <w:noProof/>
            <w:webHidden/>
          </w:rPr>
          <w:fldChar w:fldCharType="begin"/>
        </w:r>
        <w:r>
          <w:rPr>
            <w:noProof/>
            <w:webHidden/>
          </w:rPr>
          <w:instrText xml:space="preserve"> PAGEREF _Toc514169541 \h </w:instrText>
        </w:r>
        <w:r>
          <w:rPr>
            <w:noProof/>
            <w:webHidden/>
          </w:rPr>
        </w:r>
        <w:r>
          <w:rPr>
            <w:noProof/>
            <w:webHidden/>
          </w:rPr>
          <w:fldChar w:fldCharType="separate"/>
        </w:r>
        <w:r>
          <w:rPr>
            <w:noProof/>
            <w:webHidden/>
          </w:rPr>
          <w:t>59</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42" w:history="1">
        <w:r>
          <w:rPr>
            <w:rStyle w:val="a6"/>
            <w:rFonts w:eastAsia="Calibri"/>
            <w:caps/>
            <w:noProof/>
          </w:rPr>
          <w:t>5.3.</w:t>
        </w:r>
        <w:r>
          <w:rPr>
            <w:rFonts w:asciiTheme="minorHAnsi" w:hAnsiTheme="minorHAnsi" w:cstheme="minorBidi"/>
            <w:b w:val="0"/>
            <w:bCs w:val="0"/>
            <w:noProof/>
            <w:sz w:val="22"/>
            <w:szCs w:val="22"/>
          </w:rPr>
          <w:tab/>
        </w:r>
        <w:r>
          <w:rPr>
            <w:rStyle w:val="a6"/>
            <w:rFonts w:eastAsia="Calibri"/>
            <w:caps/>
            <w:noProof/>
          </w:rPr>
          <w:t>ПРИМЕРЫ УСЛОВНОГО ОБОЗНАЧЕНИЯ</w:t>
        </w:r>
        <w:r>
          <w:rPr>
            <w:noProof/>
            <w:webHidden/>
          </w:rPr>
          <w:tab/>
        </w:r>
        <w:r>
          <w:rPr>
            <w:noProof/>
            <w:webHidden/>
          </w:rPr>
          <w:fldChar w:fldCharType="begin"/>
        </w:r>
        <w:r>
          <w:rPr>
            <w:noProof/>
            <w:webHidden/>
          </w:rPr>
          <w:instrText xml:space="preserve"> PAGEREF _Toc514169542 \h </w:instrText>
        </w:r>
        <w:r>
          <w:rPr>
            <w:noProof/>
            <w:webHidden/>
          </w:rPr>
        </w:r>
        <w:r>
          <w:rPr>
            <w:noProof/>
            <w:webHidden/>
          </w:rPr>
          <w:fldChar w:fldCharType="separate"/>
        </w:r>
        <w:r>
          <w:rPr>
            <w:noProof/>
            <w:webHidden/>
          </w:rPr>
          <w:t>61</w:t>
        </w:r>
        <w:r>
          <w:rPr>
            <w:noProof/>
            <w:webHidden/>
          </w:rPr>
          <w:fldChar w:fldCharType="end"/>
        </w:r>
      </w:hyperlink>
    </w:p>
    <w:p>
      <w:pPr>
        <w:pStyle w:val="24"/>
        <w:tabs>
          <w:tab w:val="left" w:pos="851"/>
          <w:tab w:val="right" w:leader="dot" w:pos="9628"/>
        </w:tabs>
        <w:ind w:left="851" w:hanging="425"/>
        <w:jc w:val="left"/>
        <w:rPr>
          <w:rFonts w:asciiTheme="minorHAnsi" w:hAnsiTheme="minorHAnsi" w:cstheme="minorBidi"/>
          <w:b w:val="0"/>
          <w:bCs w:val="0"/>
          <w:noProof/>
          <w:sz w:val="22"/>
          <w:szCs w:val="22"/>
        </w:rPr>
      </w:pPr>
      <w:hyperlink w:anchor="_Toc514169543" w:history="1">
        <w:r>
          <w:rPr>
            <w:rStyle w:val="a6"/>
            <w:rFonts w:eastAsia="Calibri"/>
            <w:caps/>
            <w:noProof/>
          </w:rPr>
          <w:t>5.4.</w:t>
        </w:r>
        <w:r>
          <w:rPr>
            <w:rFonts w:asciiTheme="minorHAnsi" w:hAnsiTheme="minorHAnsi" w:cstheme="minorBidi"/>
            <w:b w:val="0"/>
            <w:bCs w:val="0"/>
            <w:noProof/>
            <w:sz w:val="22"/>
            <w:szCs w:val="22"/>
          </w:rPr>
          <w:tab/>
        </w:r>
        <w:r>
          <w:rPr>
            <w:rStyle w:val="a6"/>
            <w:rFonts w:eastAsia="Calibri"/>
            <w:caps/>
            <w:noProof/>
          </w:rPr>
          <w:t>ПРИМЕНЕНИЕ УСЛОВНОГО ОБОЗНАЧЕНИЯ</w:t>
        </w:r>
        <w:r>
          <w:rPr>
            <w:noProof/>
            <w:webHidden/>
          </w:rPr>
          <w:tab/>
        </w:r>
        <w:r>
          <w:rPr>
            <w:noProof/>
            <w:webHidden/>
          </w:rPr>
          <w:fldChar w:fldCharType="begin"/>
        </w:r>
        <w:r>
          <w:rPr>
            <w:noProof/>
            <w:webHidden/>
          </w:rPr>
          <w:instrText xml:space="preserve"> PAGEREF _Toc514169543 \h </w:instrText>
        </w:r>
        <w:r>
          <w:rPr>
            <w:noProof/>
            <w:webHidden/>
          </w:rPr>
        </w:r>
        <w:r>
          <w:rPr>
            <w:noProof/>
            <w:webHidden/>
          </w:rPr>
          <w:fldChar w:fldCharType="separate"/>
        </w:r>
        <w:r>
          <w:rPr>
            <w:noProof/>
            <w:webHidden/>
          </w:rPr>
          <w:t>61</w:t>
        </w:r>
        <w:r>
          <w:rPr>
            <w:noProof/>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44" w:history="1">
        <w:r>
          <w:rPr>
            <w:rStyle w:val="a6"/>
          </w:rPr>
          <w:t>6.</w:t>
        </w:r>
        <w:r>
          <w:rPr>
            <w:rFonts w:asciiTheme="minorHAnsi" w:hAnsiTheme="minorHAnsi" w:cstheme="minorBidi"/>
            <w:b w:val="0"/>
            <w:bCs w:val="0"/>
            <w:caps w:val="0"/>
            <w:sz w:val="22"/>
            <w:szCs w:val="22"/>
          </w:rPr>
          <w:tab/>
        </w:r>
        <w:r>
          <w:rPr>
            <w:rStyle w:val="a6"/>
          </w:rPr>
          <w:t>ССЫЛКИ</w:t>
        </w:r>
        <w:r>
          <w:rPr>
            <w:webHidden/>
          </w:rPr>
          <w:tab/>
        </w:r>
        <w:r>
          <w:rPr>
            <w:webHidden/>
          </w:rPr>
          <w:fldChar w:fldCharType="begin"/>
        </w:r>
        <w:r>
          <w:rPr>
            <w:webHidden/>
          </w:rPr>
          <w:instrText xml:space="preserve"> PAGEREF _Toc514169544 \h </w:instrText>
        </w:r>
        <w:r>
          <w:rPr>
            <w:webHidden/>
          </w:rPr>
        </w:r>
        <w:r>
          <w:rPr>
            <w:webHidden/>
          </w:rPr>
          <w:fldChar w:fldCharType="separate"/>
        </w:r>
        <w:r>
          <w:rPr>
            <w:webHidden/>
          </w:rPr>
          <w:t>62</w:t>
        </w:r>
        <w:r>
          <w:rPr>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45" w:history="1">
        <w:r>
          <w:rPr>
            <w:rStyle w:val="a6"/>
          </w:rPr>
          <w:t>7.</w:t>
        </w:r>
        <w:r>
          <w:rPr>
            <w:rFonts w:asciiTheme="minorHAnsi" w:hAnsiTheme="minorHAnsi" w:cstheme="minorBidi"/>
            <w:b w:val="0"/>
            <w:bCs w:val="0"/>
            <w:caps w:val="0"/>
            <w:sz w:val="22"/>
            <w:szCs w:val="22"/>
          </w:rPr>
          <w:tab/>
        </w:r>
        <w:r>
          <w:rPr>
            <w:rStyle w:val="a6"/>
          </w:rPr>
          <w:t>БИБЛИОГРАФИЯ</w:t>
        </w:r>
        <w:r>
          <w:rPr>
            <w:webHidden/>
          </w:rPr>
          <w:tab/>
        </w:r>
        <w:r>
          <w:rPr>
            <w:webHidden/>
          </w:rPr>
          <w:fldChar w:fldCharType="begin"/>
        </w:r>
        <w:r>
          <w:rPr>
            <w:webHidden/>
          </w:rPr>
          <w:instrText xml:space="preserve"> PAGEREF _Toc514169545 \h </w:instrText>
        </w:r>
        <w:r>
          <w:rPr>
            <w:webHidden/>
          </w:rPr>
        </w:r>
        <w:r>
          <w:rPr>
            <w:webHidden/>
          </w:rPr>
          <w:fldChar w:fldCharType="separate"/>
        </w:r>
        <w:r>
          <w:rPr>
            <w:webHidden/>
          </w:rPr>
          <w:t>71</w:t>
        </w:r>
        <w:r>
          <w:rPr>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46" w:history="1">
        <w:r>
          <w:rPr>
            <w:rStyle w:val="a6"/>
          </w:rPr>
          <w:t>8.</w:t>
        </w:r>
        <w:r>
          <w:rPr>
            <w:rFonts w:asciiTheme="minorHAnsi" w:hAnsiTheme="minorHAnsi" w:cstheme="minorBidi"/>
            <w:b w:val="0"/>
            <w:bCs w:val="0"/>
            <w:caps w:val="0"/>
            <w:sz w:val="22"/>
            <w:szCs w:val="22"/>
          </w:rPr>
          <w:tab/>
        </w:r>
        <w:r>
          <w:rPr>
            <w:rStyle w:val="a6"/>
          </w:rPr>
          <w:t>РЕГИСТРАЦИЯ ИЗМЕНЕНИЙ ЛОКАЛЬНОГО НОРМАТИВНОГО ДОКУМЕНТА</w:t>
        </w:r>
        <w:r>
          <w:rPr>
            <w:webHidden/>
          </w:rPr>
          <w:tab/>
        </w:r>
        <w:r>
          <w:rPr>
            <w:webHidden/>
          </w:rPr>
          <w:fldChar w:fldCharType="begin"/>
        </w:r>
        <w:r>
          <w:rPr>
            <w:webHidden/>
          </w:rPr>
          <w:instrText xml:space="preserve"> PAGEREF _Toc514169546 \h </w:instrText>
        </w:r>
        <w:r>
          <w:rPr>
            <w:webHidden/>
          </w:rPr>
        </w:r>
        <w:r>
          <w:rPr>
            <w:webHidden/>
          </w:rPr>
          <w:fldChar w:fldCharType="separate"/>
        </w:r>
        <w:r>
          <w:rPr>
            <w:webHidden/>
          </w:rPr>
          <w:t>72</w:t>
        </w:r>
        <w:r>
          <w:rPr>
            <w:webHidden/>
          </w:rPr>
          <w:fldChar w:fldCharType="end"/>
        </w:r>
      </w:hyperlink>
    </w:p>
    <w:p>
      <w:pPr>
        <w:pStyle w:val="16"/>
        <w:tabs>
          <w:tab w:val="left" w:pos="426"/>
        </w:tabs>
        <w:ind w:left="426" w:hanging="426"/>
        <w:jc w:val="left"/>
        <w:rPr>
          <w:rFonts w:asciiTheme="minorHAnsi" w:hAnsiTheme="minorHAnsi" w:cstheme="minorBidi"/>
          <w:b w:val="0"/>
          <w:bCs w:val="0"/>
          <w:caps w:val="0"/>
          <w:sz w:val="22"/>
          <w:szCs w:val="22"/>
        </w:rPr>
      </w:pPr>
      <w:hyperlink w:anchor="_Toc514169547" w:history="1">
        <w:r>
          <w:rPr>
            <w:rStyle w:val="a6"/>
            <w:rFonts w:eastAsia="Calibri"/>
            <w:lang w:eastAsia="en-US"/>
          </w:rPr>
          <w:t>ПРИЛОЖЕНИЯ</w:t>
        </w:r>
        <w:r>
          <w:rPr>
            <w:webHidden/>
          </w:rPr>
          <w:tab/>
        </w:r>
        <w:r>
          <w:rPr>
            <w:webHidden/>
          </w:rPr>
          <w:fldChar w:fldCharType="begin"/>
        </w:r>
        <w:r>
          <w:rPr>
            <w:webHidden/>
          </w:rPr>
          <w:instrText xml:space="preserve"> PAGEREF _Toc514169547 \h </w:instrText>
        </w:r>
        <w:r>
          <w:rPr>
            <w:webHidden/>
          </w:rPr>
        </w:r>
        <w:r>
          <w:rPr>
            <w:webHidden/>
          </w:rPr>
          <w:fldChar w:fldCharType="separate"/>
        </w:r>
        <w:r>
          <w:rPr>
            <w:webHidden/>
          </w:rPr>
          <w:t>73</w:t>
        </w:r>
        <w:r>
          <w:rPr>
            <w:webHidden/>
          </w:rPr>
          <w:fldChar w:fldCharType="end"/>
        </w:r>
      </w:hyperlink>
    </w:p>
    <w:p>
      <w:pPr>
        <w:pStyle w:val="S0"/>
        <w:jc w:val="left"/>
      </w:pPr>
      <w:r>
        <w:rPr>
          <w:rFonts w:ascii="Arial" w:eastAsiaTheme="minorEastAsia" w:hAnsi="Arial" w:cs="Arial"/>
          <w:b/>
          <w:bCs/>
          <w:caps/>
          <w:noProof/>
          <w:sz w:val="20"/>
          <w:szCs w:val="20"/>
        </w:rPr>
        <w:fldChar w:fldCharType="end"/>
      </w:r>
    </w:p>
    <w:p>
      <w:pPr>
        <w:spacing w:before="120"/>
        <w:jc w:val="left"/>
        <w:rPr>
          <w:rFonts w:ascii="Arial" w:hAnsi="Arial" w:cs="Arial"/>
          <w:sz w:val="20"/>
          <w:szCs w:val="20"/>
        </w:rPr>
        <w:sectPr>
          <w:headerReference w:type="even" r:id="rId12"/>
          <w:headerReference w:type="default" r:id="rId13"/>
          <w:footerReference w:type="even" r:id="rId14"/>
          <w:footerReference w:type="default" r:id="rId15"/>
          <w:headerReference w:type="first" r:id="rId16"/>
          <w:pgSz w:w="11906" w:h="16838" w:code="9"/>
          <w:pgMar w:top="510" w:right="1021" w:bottom="567" w:left="1247" w:header="737" w:footer="680" w:gutter="0"/>
          <w:cols w:space="708"/>
          <w:docGrid w:linePitch="360"/>
        </w:sectPr>
      </w:pPr>
    </w:p>
    <w:p>
      <w:pPr>
        <w:pStyle w:val="S12"/>
        <w:rPr>
          <w:rFonts w:eastAsia="PMingLiU"/>
          <w:lang w:eastAsia="en-US"/>
        </w:rPr>
      </w:pPr>
      <w:bookmarkStart w:id="22" w:name="_Toc399503269"/>
      <w:bookmarkStart w:id="23" w:name="_Toc400458556"/>
      <w:bookmarkStart w:id="24" w:name="_Toc481662358"/>
      <w:bookmarkStart w:id="25" w:name="_Toc514169499"/>
      <w:r>
        <w:rPr>
          <w:rFonts w:eastAsia="PMingLiU"/>
          <w:caps w:val="0"/>
          <w:lang w:eastAsia="en-US"/>
        </w:rPr>
        <w:lastRenderedPageBreak/>
        <w:t>ВВОДНЫЕ ПОЛОЖЕНИЯ</w:t>
      </w:r>
      <w:bookmarkEnd w:id="22"/>
      <w:bookmarkEnd w:id="23"/>
      <w:bookmarkEnd w:id="24"/>
      <w:bookmarkEnd w:id="25"/>
    </w:p>
    <w:p>
      <w:pPr>
        <w:pStyle w:val="S0"/>
        <w:rPr>
          <w:rFonts w:eastAsia="PMingLiU"/>
          <w:lang w:eastAsia="en-US"/>
        </w:rPr>
      </w:pPr>
    </w:p>
    <w:p>
      <w:pPr>
        <w:pStyle w:val="S0"/>
        <w:rPr>
          <w:rFonts w:eastAsia="PMingLiU"/>
          <w:lang w:eastAsia="en-US"/>
        </w:rPr>
      </w:pPr>
    </w:p>
    <w:p>
      <w:pPr>
        <w:pStyle w:val="S22"/>
      </w:pPr>
      <w:bookmarkStart w:id="26" w:name="_Toc481662359"/>
      <w:bookmarkStart w:id="27" w:name="_Toc514169500"/>
      <w:r>
        <w:t>НАЗНАЧЕНИЕ</w:t>
      </w:r>
      <w:bookmarkEnd w:id="26"/>
      <w:bookmarkEnd w:id="27"/>
    </w:p>
    <w:p>
      <w:pPr>
        <w:pStyle w:val="S0"/>
      </w:pPr>
    </w:p>
    <w:p>
      <w:pPr>
        <w:ind w:right="-1"/>
      </w:pPr>
      <w:r>
        <w:t xml:space="preserve">Методические указания </w:t>
      </w:r>
      <w:r>
        <w:rPr>
          <w:rFonts w:eastAsia="Calibri"/>
        </w:rPr>
        <w:t xml:space="preserve">устанавливают единые технические </w:t>
      </w:r>
      <w:r>
        <w:t xml:space="preserve">требования при проектировании (в части подбора оборудования), поставке (включая изготовление, испытания, приемку, </w:t>
      </w:r>
      <w:r>
        <w:rPr>
          <w:rFonts w:eastAsia="PMingLiU"/>
          <w:szCs w:val="22"/>
        </w:rPr>
        <w:t>транспортирование) и замене при ремонте кранов</w:t>
      </w:r>
      <w:r>
        <w:rPr>
          <w:rFonts w:eastAsia="PMingLiU"/>
          <w:szCs w:val="22"/>
          <w:lang w:eastAsia="en-US"/>
        </w:rPr>
        <w:t xml:space="preserve"> шаровых </w:t>
      </w:r>
      <w:r>
        <w:t xml:space="preserve">на </w:t>
      </w:r>
      <w:r>
        <w:rPr>
          <w:rFonts w:eastAsia="PMingLiU"/>
          <w:szCs w:val="22"/>
        </w:rPr>
        <w:t>производственных объектах добычи нефти и газа, переработки углеводородного сырья и нефтехимии Компании</w:t>
      </w:r>
      <w:r>
        <w:t>.</w:t>
      </w:r>
    </w:p>
    <w:p>
      <w:pPr>
        <w:pStyle w:val="S0"/>
      </w:pPr>
    </w:p>
    <w:p>
      <w:pPr>
        <w:ind w:right="-1"/>
      </w:pPr>
      <w:r>
        <w:t>Методические указания разработаны с целью стандартизации и унификации параметров, обеспечения взаимозаменяемости, повышения качества и надёжности проектируемых кранов шаровых, гарантии соответствия кранов шаровых утвержденным проектным решениям.</w:t>
      </w:r>
    </w:p>
    <w:p/>
    <w:p>
      <w:r>
        <w:t xml:space="preserve">Методические указания разработаны с учетом требований </w:t>
      </w:r>
      <w:r>
        <w:rPr>
          <w:color w:val="000000"/>
        </w:rPr>
        <w:t xml:space="preserve">Федерального закона от 27.12.2002 № 184-ФЗ «О техническом регулировании», </w:t>
      </w:r>
      <w:r>
        <w:rPr>
          <w:rFonts w:eastAsia="SimSun"/>
          <w:lang w:eastAsia="zh-CN"/>
        </w:rPr>
        <w:t xml:space="preserve">Федеральных норм и правил в области промышленной безопасности </w:t>
      </w:r>
      <w:r>
        <w:rPr>
          <w:rFonts w:eastAsia="Times New Roman"/>
        </w:rPr>
        <w:t xml:space="preserve">«Правила безопасности в нефтяной и газовой промышленности», </w:t>
      </w:r>
      <w:r>
        <w:t>утвержденных приказом Ростехнадзора от 12.03.2013 № 101.</w:t>
      </w:r>
    </w:p>
    <w:p>
      <w:pPr>
        <w:pStyle w:val="S0"/>
      </w:pPr>
    </w:p>
    <w:p>
      <w:pPr>
        <w:pStyle w:val="S0"/>
        <w:rPr>
          <w:rFonts w:eastAsia="PMingLiU"/>
          <w:lang w:eastAsia="en-US"/>
        </w:rPr>
      </w:pPr>
    </w:p>
    <w:p>
      <w:pPr>
        <w:pStyle w:val="S22"/>
        <w:rPr>
          <w:i/>
        </w:rPr>
      </w:pPr>
      <w:bookmarkStart w:id="28" w:name="_Toc386550988"/>
      <w:bookmarkStart w:id="29" w:name="_Toc399503272"/>
      <w:bookmarkStart w:id="30" w:name="_Toc400458559"/>
      <w:bookmarkStart w:id="31" w:name="_Toc481662360"/>
      <w:bookmarkStart w:id="32" w:name="_Toc514169501"/>
      <w:r>
        <w:rPr>
          <w:caps w:val="0"/>
        </w:rPr>
        <w:t>ОБЛАСТЬ ДЕЙСТВИЯ</w:t>
      </w:r>
      <w:bookmarkEnd w:id="28"/>
      <w:bookmarkEnd w:id="29"/>
      <w:bookmarkEnd w:id="30"/>
      <w:bookmarkEnd w:id="31"/>
      <w:bookmarkEnd w:id="32"/>
    </w:p>
    <w:p>
      <w:pPr>
        <w:pStyle w:val="S0"/>
        <w:rPr>
          <w:rFonts w:eastAsia="PMingLiU"/>
          <w:lang w:eastAsia="en-US"/>
        </w:rPr>
      </w:pPr>
    </w:p>
    <w:p>
      <w:pPr>
        <w:pStyle w:val="S0"/>
      </w:pPr>
      <w:r>
        <w:rPr>
          <w:rFonts w:eastAsia="PMingLiU"/>
          <w:lang w:eastAsia="en-US"/>
        </w:rPr>
        <w:t xml:space="preserve">Настоящие Методические </w:t>
      </w:r>
      <w:r>
        <w:t>указания обязательны для исполнения работниками:</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Департамента технического регулирования и развития корпоративного научно-проектного комплекса ПАО «НК «Роснефть»;</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Департамента нефтегазодобычи ПАО «НК «Роснефть»;</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Департамента управления газовыми активами и проектами ПАО «НК «Роснефть»;</w:t>
      </w:r>
    </w:p>
    <w:p>
      <w:pPr>
        <w:numPr>
          <w:ilvl w:val="0"/>
          <w:numId w:val="12"/>
        </w:numPr>
        <w:tabs>
          <w:tab w:val="left" w:pos="539"/>
        </w:tabs>
        <w:spacing w:before="120"/>
        <w:ind w:left="538" w:hanging="357"/>
      </w:pPr>
      <w:r>
        <w:t>Департамента развития нефтепереработки ПАО «НК «Роснефть»;</w:t>
      </w:r>
    </w:p>
    <w:p>
      <w:pPr>
        <w:numPr>
          <w:ilvl w:val="0"/>
          <w:numId w:val="12"/>
        </w:numPr>
        <w:tabs>
          <w:tab w:val="left" w:pos="539"/>
        </w:tabs>
        <w:spacing w:before="120"/>
        <w:ind w:left="538" w:hanging="357"/>
      </w:pPr>
      <w:r>
        <w:t>Департамента нефтепереработки ПАО «НК «Роснефть»;</w:t>
      </w:r>
    </w:p>
    <w:p>
      <w:pPr>
        <w:numPr>
          <w:ilvl w:val="0"/>
          <w:numId w:val="12"/>
        </w:numPr>
        <w:tabs>
          <w:tab w:val="left" w:pos="539"/>
        </w:tabs>
        <w:spacing w:before="120"/>
        <w:ind w:left="538" w:hanging="357"/>
      </w:pPr>
      <w:r>
        <w:t>Департамента нефтегазохимии ПАО «НК «Роснефть»;</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иных структурных подразделений ПАО «НК «Роснефть»;</w:t>
      </w:r>
    </w:p>
    <w:p>
      <w:pPr>
        <w:numPr>
          <w:ilvl w:val="0"/>
          <w:numId w:val="12"/>
        </w:numPr>
        <w:tabs>
          <w:tab w:val="left" w:pos="539"/>
        </w:tabs>
        <w:spacing w:before="120"/>
        <w:ind w:left="538" w:hanging="357"/>
      </w:pPr>
      <w:r>
        <w:t>дочерних обществ ПАО «НК «Роснефть», в отношении которых Уставами Обществ, акционерными и иными соглашениями с компаниями-партнерами не определен особый порядок реализации акционерами/участниками своих прав, в том числе по управлению Обществом,</w:t>
      </w:r>
    </w:p>
    <w:p>
      <w:pPr>
        <w:pStyle w:val="S0"/>
        <w:rPr>
          <w:rFonts w:eastAsia="PMingLiU"/>
          <w:lang w:eastAsia="en-US"/>
        </w:rPr>
      </w:pPr>
    </w:p>
    <w:p>
      <w:pPr>
        <w:pStyle w:val="S0"/>
        <w:rPr>
          <w:rFonts w:eastAsia="PMingLiU"/>
          <w:szCs w:val="22"/>
          <w:lang w:eastAsia="en-US"/>
        </w:rPr>
      </w:pPr>
      <w:r>
        <w:rPr>
          <w:rFonts w:eastAsia="PMingLiU"/>
          <w:lang w:eastAsia="en-US"/>
        </w:rPr>
        <w:t xml:space="preserve">задействованными в процессах </w:t>
      </w:r>
      <w:r>
        <w:t xml:space="preserve">проектирования, поставки </w:t>
      </w:r>
      <w:r>
        <w:rPr>
          <w:rFonts w:eastAsia="PMingLiU"/>
          <w:szCs w:val="22"/>
        </w:rPr>
        <w:t>и замены при ремонте кранов</w:t>
      </w:r>
      <w:r>
        <w:rPr>
          <w:rFonts w:eastAsia="PMingLiU"/>
          <w:szCs w:val="22"/>
          <w:lang w:eastAsia="en-US"/>
        </w:rPr>
        <w:t xml:space="preserve"> шаровых.</w:t>
      </w:r>
    </w:p>
    <w:p/>
    <w:p>
      <w:r>
        <w:t>Настоящие Методические указания носят рекомендательный характер для исполнения работниками иных Обществ Группы, не являющихся дочерними обществами ПАО</w:t>
      </w:r>
      <w:r>
        <w:rPr>
          <w:rFonts w:eastAsia="Times New Roman"/>
          <w:lang w:eastAsia="en-US"/>
        </w:rPr>
        <w:t> </w:t>
      </w:r>
      <w:r>
        <w:t>«НК</w:t>
      </w:r>
      <w:r>
        <w:rPr>
          <w:rFonts w:eastAsia="Times New Roman"/>
          <w:lang w:eastAsia="en-US"/>
        </w:rPr>
        <w:t> </w:t>
      </w:r>
      <w:r>
        <w:t>«Роснефть».</w:t>
      </w:r>
    </w:p>
    <w:p>
      <w:pPr>
        <w:rPr>
          <w:rFonts w:eastAsia="Times New Roman"/>
        </w:rPr>
      </w:pPr>
    </w:p>
    <w:p>
      <w:pPr>
        <w:rPr>
          <w:rFonts w:eastAsia="Times New Roman"/>
        </w:rPr>
      </w:pPr>
      <w:r>
        <w:t xml:space="preserve">Требования Методических указаний становятся обязательными для исполнения в дочернем обществе ПАО «НК «Роснефть» и ином Обществе Группы, после их введения в действие в Обществе Группы в соответствии с Уставом Общества Группы, с учетом специфики условий </w:t>
      </w:r>
      <w:r>
        <w:lastRenderedPageBreak/>
        <w:t>договоров или соглашений о совместной деятельности и в установленном в Обществе Группы порядке</w:t>
      </w:r>
      <w:r>
        <w:rPr>
          <w:rFonts w:eastAsia="Times New Roman"/>
        </w:rPr>
        <w:t>.</w:t>
      </w:r>
    </w:p>
    <w:p>
      <w:pPr>
        <w:rPr>
          <w:rFonts w:eastAsia="Times New Roman"/>
        </w:rPr>
      </w:pPr>
    </w:p>
    <w:p>
      <w:pPr>
        <w:rPr>
          <w:rFonts w:eastAsia="Times New Roman"/>
        </w:rPr>
      </w:pPr>
      <w:r>
        <w:rPr>
          <w:rFonts w:eastAsia="Times New Roman"/>
        </w:rPr>
        <w:t>Распорядительные, локальные нормативные и иные внутренние документы не должны противоречить настоящим Методическим указаниям.</w:t>
      </w:r>
    </w:p>
    <w:p>
      <w:pPr>
        <w:rPr>
          <w:rFonts w:eastAsia="Times New Roman"/>
        </w:rPr>
      </w:pPr>
    </w:p>
    <w:p>
      <w:pPr>
        <w:rPr>
          <w:rFonts w:eastAsia="PMingLiU"/>
          <w:color w:val="000000"/>
          <w:szCs w:val="22"/>
          <w:lang w:eastAsia="en-US"/>
        </w:rPr>
      </w:pPr>
      <w:r>
        <w:rPr>
          <w:rFonts w:eastAsia="Times New Roman"/>
        </w:rPr>
        <w:t xml:space="preserve">Структурные подразделения ПАО «НК «Роснефть» и Общества Группы при оформлении договоров с подрядными организациями, оказывающими услуги по проектированию, поставке </w:t>
      </w:r>
      <w:r>
        <w:rPr>
          <w:rFonts w:eastAsia="PMingLiU"/>
          <w:szCs w:val="22"/>
        </w:rPr>
        <w:t>и замене при ремонте</w:t>
      </w:r>
      <w:r>
        <w:rPr>
          <w:rFonts w:eastAsia="Times New Roman"/>
        </w:rPr>
        <w:t xml:space="preserve"> </w:t>
      </w:r>
      <w:r>
        <w:rPr>
          <w:rFonts w:eastAsia="PMingLiU"/>
          <w:szCs w:val="22"/>
          <w:lang w:eastAsia="en-US"/>
        </w:rPr>
        <w:t xml:space="preserve">кранов шаровых, </w:t>
      </w:r>
      <w:r>
        <w:rPr>
          <w:rFonts w:eastAsia="Times New Roman"/>
        </w:rPr>
        <w:t>обязаны включать в договоры соответствующие условия, для соблюдения подрядной организацией требований, установленных настоящими Методическими указаниями.</w:t>
      </w:r>
    </w:p>
    <w:p>
      <w:pPr>
        <w:pStyle w:val="S0"/>
        <w:rPr>
          <w:rFonts w:eastAsia="PMingLiU"/>
          <w:color w:val="000000"/>
          <w:lang w:eastAsia="en-US"/>
        </w:rPr>
      </w:pPr>
    </w:p>
    <w:p>
      <w:pPr>
        <w:pStyle w:val="S0"/>
        <w:rPr>
          <w:rFonts w:eastAsia="PMingLiU"/>
          <w:color w:val="000000"/>
          <w:lang w:eastAsia="en-US"/>
        </w:rPr>
      </w:pPr>
    </w:p>
    <w:p>
      <w:pPr>
        <w:pStyle w:val="S22"/>
      </w:pPr>
      <w:bookmarkStart w:id="33" w:name="_Toc389655497"/>
      <w:bookmarkStart w:id="34" w:name="_Toc391388589"/>
      <w:bookmarkStart w:id="35" w:name="_Toc392607761"/>
      <w:bookmarkStart w:id="36" w:name="_Toc392695938"/>
      <w:bookmarkStart w:id="37" w:name="_Toc392695994"/>
      <w:bookmarkStart w:id="38" w:name="_Toc392752821"/>
      <w:bookmarkStart w:id="39" w:name="_Toc397937894"/>
      <w:bookmarkStart w:id="40" w:name="_Toc399503273"/>
      <w:bookmarkStart w:id="41" w:name="_Toc400458560"/>
      <w:bookmarkStart w:id="42" w:name="_Toc481662361"/>
      <w:bookmarkStart w:id="43" w:name="_Toc514169502"/>
      <w:r>
        <w:rPr>
          <w:caps w:val="0"/>
        </w:rPr>
        <w:t>ПЕРИОД ДЕЙСТВИЯ И ПОРЯДОК ВНЕСЕНИЯ ИЗМЕНЕНИЙ</w:t>
      </w:r>
      <w:bookmarkEnd w:id="33"/>
      <w:bookmarkEnd w:id="34"/>
      <w:bookmarkEnd w:id="35"/>
      <w:bookmarkEnd w:id="36"/>
      <w:bookmarkEnd w:id="37"/>
      <w:bookmarkEnd w:id="38"/>
      <w:bookmarkEnd w:id="39"/>
      <w:bookmarkEnd w:id="40"/>
      <w:bookmarkEnd w:id="41"/>
      <w:bookmarkEnd w:id="42"/>
      <w:bookmarkEnd w:id="43"/>
    </w:p>
    <w:p>
      <w:pPr>
        <w:pStyle w:val="S0"/>
        <w:rPr>
          <w:rFonts w:eastAsia="PMingLiU"/>
          <w:lang w:eastAsia="en-US"/>
        </w:rPr>
      </w:pPr>
    </w:p>
    <w:p>
      <w:pPr>
        <w:pStyle w:val="S0"/>
        <w:rPr>
          <w:rFonts w:eastAsia="PMingLiU"/>
          <w:lang w:eastAsia="en-US"/>
        </w:rPr>
      </w:pPr>
      <w:r>
        <w:rPr>
          <w:rFonts w:eastAsia="PMingLiU"/>
          <w:lang w:eastAsia="en-US"/>
        </w:rPr>
        <w:t>Настоящие Методические указания являются локальным нормативным документом постоянного действия.</w:t>
      </w:r>
    </w:p>
    <w:p>
      <w:pPr>
        <w:pStyle w:val="S0"/>
        <w:rPr>
          <w:rFonts w:eastAsia="PMingLiU"/>
          <w:lang w:eastAsia="en-US"/>
        </w:rPr>
      </w:pPr>
    </w:p>
    <w:p>
      <w:r>
        <w:t>Настоящие Методические указания утверждаются, вводятся в действие, изменяются и признаются утратившими силу в ПАО «НК «Роснефть» на основании распоряжения ПАО «НК «Роснефть».</w:t>
      </w:r>
    </w:p>
    <w:p/>
    <w:p>
      <w:pPr>
        <w:pStyle w:val="S0"/>
        <w:rPr>
          <w:rFonts w:eastAsia="PMingLiU"/>
          <w:lang w:eastAsia="en-US"/>
        </w:rPr>
      </w:pPr>
      <w:r>
        <w:rPr>
          <w:rFonts w:eastAsia="PMingLiU"/>
          <w:lang w:eastAsia="en-US"/>
        </w:rPr>
        <w:t xml:space="preserve">Изменения в Методические указания вносятся в случаях: изменения законодательства РФ в области </w:t>
      </w:r>
      <w:r>
        <w:t>проектирования и строительства</w:t>
      </w:r>
      <w:r>
        <w:rPr>
          <w:rFonts w:eastAsia="PMingLiU"/>
          <w:lang w:eastAsia="en-US"/>
        </w:rPr>
        <w:t>, изменения организационной структуры или полномочий руководителей и т.п.</w:t>
      </w:r>
    </w:p>
    <w:p>
      <w:pPr>
        <w:pStyle w:val="S0"/>
        <w:rPr>
          <w:rFonts w:eastAsia="PMingLiU"/>
          <w:lang w:eastAsia="en-US"/>
        </w:rPr>
      </w:pPr>
    </w:p>
    <w:p>
      <w:r>
        <w:t>Инициаторами внесения изменений в Методические указания являются: Департамент технического регулирования и развития корпоративного научно-проектного комплекса ПАО «НК «Роснефть», а также иные структурные подразделения ПАО «НК «Роснефть» и Общества Группы, по согласованию с Департаментом технического регулирования и развития корпоративного научно-проектного комплекса ПАО «НК «Роснефть».</w:t>
      </w:r>
    </w:p>
    <w:p/>
    <w:p>
      <w:pPr>
        <w:pStyle w:val="S0"/>
        <w:rPr>
          <w:rFonts w:eastAsia="PMingLiU"/>
          <w:lang w:eastAsia="en-US"/>
        </w:rPr>
        <w:sectPr>
          <w:headerReference w:type="even" r:id="rId17"/>
          <w:headerReference w:type="default" r:id="rId18"/>
          <w:footerReference w:type="default" r:id="rId19"/>
          <w:headerReference w:type="first" r:id="rId20"/>
          <w:pgSz w:w="11906" w:h="16838" w:code="9"/>
          <w:pgMar w:top="510" w:right="1021" w:bottom="567" w:left="1247" w:header="737" w:footer="680" w:gutter="0"/>
          <w:cols w:space="708"/>
          <w:docGrid w:linePitch="360"/>
        </w:sectPr>
      </w:pPr>
    </w:p>
    <w:p>
      <w:pPr>
        <w:pStyle w:val="S13"/>
        <w:numPr>
          <w:ilvl w:val="0"/>
          <w:numId w:val="6"/>
        </w:numPr>
        <w:ind w:left="0" w:firstLine="0"/>
      </w:pPr>
      <w:bookmarkStart w:id="44" w:name="_Toc256007194"/>
      <w:bookmarkStart w:id="45" w:name="_Toc326675492"/>
      <w:bookmarkStart w:id="46" w:name="_Toc400458561"/>
      <w:bookmarkStart w:id="47" w:name="_Toc481662362"/>
      <w:bookmarkStart w:id="48" w:name="_Toc514169503"/>
      <w:bookmarkEnd w:id="0"/>
      <w:r>
        <w:rPr>
          <w:caps w:val="0"/>
        </w:rPr>
        <w:lastRenderedPageBreak/>
        <w:t>ТЕРМИНЫ И ОПРЕДЕЛЕНИЯ</w:t>
      </w:r>
      <w:bookmarkEnd w:id="44"/>
      <w:bookmarkEnd w:id="45"/>
      <w:bookmarkEnd w:id="46"/>
      <w:bookmarkEnd w:id="47"/>
      <w:bookmarkEnd w:id="48"/>
    </w:p>
    <w:p>
      <w:pPr>
        <w:pStyle w:val="S0"/>
      </w:pPr>
    </w:p>
    <w:p>
      <w:pPr>
        <w:pStyle w:val="S0"/>
      </w:pPr>
    </w:p>
    <w:p>
      <w:pPr>
        <w:pStyle w:val="S0"/>
        <w:rPr>
          <w:rFonts w:ascii="Arial" w:hAnsi="Arial" w:cs="Arial"/>
          <w:b/>
          <w:caps/>
        </w:rPr>
      </w:pPr>
      <w:bookmarkStart w:id="49" w:name="_Toc401843510"/>
      <w:r>
        <w:rPr>
          <w:rFonts w:ascii="Arial" w:hAnsi="Arial" w:cs="Arial"/>
          <w:b/>
          <w:caps/>
        </w:rPr>
        <w:t>ТЕРМИНЫ И ОПРЕДЕЛЕНИЯ КОРПОРАТИВНОГО ГЛОССАРИЯ</w:t>
      </w:r>
      <w:bookmarkEnd w:id="49"/>
    </w:p>
    <w:p/>
    <w:p>
      <w:pPr>
        <w:autoSpaceDE w:val="0"/>
        <w:autoSpaceDN w:val="0"/>
        <w:adjustRightInd w:val="0"/>
      </w:pPr>
      <w:r>
        <w:rPr>
          <w:rFonts w:ascii="Arial" w:hAnsi="Arial" w:cs="Arial"/>
          <w:b/>
          <w:bCs/>
          <w:i/>
          <w:sz w:val="20"/>
          <w:szCs w:val="20"/>
        </w:rPr>
        <w:t xml:space="preserve">АГРЕССИВНАЯ СРЕДА </w:t>
      </w:r>
      <w:r>
        <w:t>–</w:t>
      </w:r>
      <w:r>
        <w:rPr>
          <w:rFonts w:ascii="Arial" w:hAnsi="Arial" w:cs="Arial"/>
          <w:b/>
          <w:bCs/>
          <w:i/>
          <w:sz w:val="20"/>
          <w:szCs w:val="20"/>
        </w:rPr>
        <w:t xml:space="preserve"> </w:t>
      </w:r>
      <w:r>
        <w:t>среды, обладающие кислотным, основным или окислительным действием и вызывающие разрушение (или ухудшение параметров) материалов и (или) изделий [ГОСТ Р 51801-2001].</w:t>
      </w:r>
    </w:p>
    <w:p/>
    <w:p>
      <w:r>
        <w:rPr>
          <w:rFonts w:ascii="Arial" w:hAnsi="Arial" w:cs="Arial"/>
          <w:b/>
          <w:i/>
          <w:caps/>
          <w:sz w:val="20"/>
        </w:rPr>
        <w:t xml:space="preserve">ЕДИНЫЕ ТЕХНИЧЕСКИЕ ТРЕБОВАНИЯ </w:t>
      </w:r>
      <w:r>
        <w:t xml:space="preserve">– вид типовой заказной документации, устанавливающий единые требования Компании к различным видам (группам) материально-технических ресурсов, с учетом стандартизации, сокращения вариантности, типоразмеров и обеспечения взаимозаменяемости. </w:t>
      </w:r>
    </w:p>
    <w:p/>
    <w:p>
      <w:pPr>
        <w:pStyle w:val="S0"/>
      </w:pPr>
      <w:r>
        <w:rPr>
          <w:rFonts w:ascii="Arial" w:hAnsi="Arial" w:cs="Arial"/>
          <w:b/>
          <w:i/>
          <w:caps/>
          <w:sz w:val="20"/>
          <w:szCs w:val="20"/>
        </w:rPr>
        <w:t xml:space="preserve">ЗАВОД-ИЗГОТОВИТЕЛЬ </w:t>
      </w:r>
      <w:r>
        <w:rPr>
          <w:rFonts w:ascii="Calibri" w:hAnsi="Calibri"/>
          <w:bCs/>
        </w:rPr>
        <w:t xml:space="preserve">– </w:t>
      </w:r>
      <w:r>
        <w:t>организация, изготавливающая продукцию и несущая ответственность за соответствие изделия требованиям технических условий.</w:t>
      </w:r>
    </w:p>
    <w:p>
      <w:pPr>
        <w:rPr>
          <w:rFonts w:eastAsia="Arial"/>
          <w:lang w:eastAsia="en-US"/>
        </w:rPr>
      </w:pPr>
    </w:p>
    <w:p>
      <w:pPr>
        <w:widowControl w:val="0"/>
        <w:rPr>
          <w:rFonts w:eastAsia="Times New Roman"/>
        </w:rPr>
      </w:pPr>
      <w:r>
        <w:rPr>
          <w:rFonts w:ascii="Arial" w:eastAsia="Times New Roman" w:hAnsi="Arial" w:cs="Arial"/>
          <w:b/>
          <w:i/>
          <w:caps/>
          <w:sz w:val="20"/>
          <w:szCs w:val="20"/>
        </w:rPr>
        <w:t>запирающий элемент</w:t>
      </w:r>
      <w:r>
        <w:rPr>
          <w:rFonts w:eastAsia="Times New Roman"/>
          <w:b/>
          <w:bCs/>
        </w:rPr>
        <w:t xml:space="preserve"> </w:t>
      </w:r>
      <w:r>
        <w:rPr>
          <w:rFonts w:ascii="Calibri" w:hAnsi="Calibri"/>
          <w:bCs/>
        </w:rPr>
        <w:t xml:space="preserve">– </w:t>
      </w:r>
      <w:r>
        <w:rPr>
          <w:rFonts w:eastAsia="Times New Roman"/>
          <w:bCs/>
        </w:rPr>
        <w:t>п</w:t>
      </w:r>
      <w:r>
        <w:rPr>
          <w:rFonts w:eastAsia="Times New Roman"/>
        </w:rPr>
        <w:t xml:space="preserve">одвижная часть затвора, связанная с приводом, позволяющая при взаимодействии с седлом осуществлять управление потоком рабочих сред путем изменения проходного сечения и обеспечивать определенную герметичность </w:t>
      </w:r>
      <w:r>
        <w:rPr>
          <w:rFonts w:eastAsia="Times New Roman"/>
        </w:rPr>
        <w:br/>
      </w:r>
      <w:r>
        <w:rPr>
          <w:rFonts w:eastAsia="PMingLiU"/>
          <w:lang w:eastAsia="en-US"/>
        </w:rPr>
        <w:t>[ГОСТ 24856-2014]</w:t>
      </w:r>
      <w:r>
        <w:rPr>
          <w:spacing w:val="-1"/>
        </w:rPr>
        <w:t>.</w:t>
      </w:r>
    </w:p>
    <w:p>
      <w:pPr>
        <w:widowControl w:val="0"/>
      </w:pPr>
    </w:p>
    <w:p>
      <w:pPr>
        <w:widowControl w:val="0"/>
        <w:rPr>
          <w:bCs/>
          <w:sz w:val="22"/>
          <w:szCs w:val="20"/>
        </w:rPr>
      </w:pPr>
      <w:r>
        <w:rPr>
          <w:rFonts w:ascii="Arial" w:hAnsi="Arial" w:cs="Arial"/>
          <w:b/>
          <w:bCs/>
          <w:i/>
          <w:sz w:val="20"/>
          <w:szCs w:val="20"/>
        </w:rPr>
        <w:t xml:space="preserve">ЗАТВОР </w:t>
      </w:r>
      <w:r>
        <w:rPr>
          <w:bCs/>
          <w:sz w:val="22"/>
          <w:szCs w:val="20"/>
        </w:rPr>
        <w:t xml:space="preserve">– </w:t>
      </w:r>
      <w:r>
        <w:rPr>
          <w:rFonts w:eastAsia="Times New Roman"/>
        </w:rPr>
        <w:t>совокупность подвижных и неподвижных элементов задвижки, образующих проходное сечение и соединение, препятствующее протеканию рабочей среды</w:t>
      </w:r>
      <w:r>
        <w:rPr>
          <w:bCs/>
          <w:sz w:val="22"/>
          <w:szCs w:val="20"/>
        </w:rPr>
        <w:t>.</w:t>
      </w:r>
    </w:p>
    <w:p>
      <w:pPr>
        <w:widowControl w:val="0"/>
      </w:pPr>
    </w:p>
    <w:p>
      <w:pPr>
        <w:widowControl w:val="0"/>
      </w:pPr>
      <w:r>
        <w:rPr>
          <w:rFonts w:ascii="Arial" w:hAnsi="Arial" w:cs="Arial"/>
          <w:b/>
          <w:bCs/>
          <w:i/>
          <w:iCs/>
          <w:sz w:val="20"/>
          <w:szCs w:val="20"/>
        </w:rPr>
        <w:t xml:space="preserve">КОНСТРУКТОРСКАЯ ДОКУМЕНТАЦИЯ </w:t>
      </w:r>
      <w:r>
        <w:t>– графические и текстовые документы, которые в отдельности или в совокупности определяют состав и устройство изделия и содержат необходимые данные для его разработки или изготовления, контроля, приемки, эксплуатации и ремонта [Методические указания по организации и осуществлению надзора за конструированием и изготовлением оборудования для опасных производственных объектов в химической, нефтехимической и нефтеперерабатывающей промышленности, утвержденные приказом Госгортехнадзора РФ от 19.12.1997 № 221].</w:t>
      </w:r>
    </w:p>
    <w:p>
      <w:pPr>
        <w:pStyle w:val="TableParagraph"/>
        <w:rPr>
          <w:rFonts w:ascii="Times New Roman" w:eastAsiaTheme="minorHAnsi" w:hAnsi="Times New Roman" w:cstheme="minorBidi"/>
          <w:sz w:val="24"/>
          <w:szCs w:val="24"/>
          <w:lang w:val="ru-RU"/>
        </w:rPr>
      </w:pPr>
    </w:p>
    <w:p>
      <w:pPr>
        <w:rPr>
          <w:rFonts w:eastAsia="Times New Roman"/>
        </w:rPr>
      </w:pPr>
      <w:r>
        <w:rPr>
          <w:rFonts w:ascii="Arial" w:eastAsia="Times New Roman" w:hAnsi="Arial" w:cs="Arial"/>
          <w:b/>
          <w:i/>
          <w:sz w:val="20"/>
          <w:szCs w:val="20"/>
        </w:rPr>
        <w:t>КОРПОРАТИВНЫЙ СПРАВОЧНИК МАТЕРИАЛОВ</w:t>
      </w:r>
      <w:r>
        <w:rPr>
          <w:rFonts w:eastAsia="Times New Roman"/>
        </w:rPr>
        <w:t xml:space="preserve"> – систематизированный перечень позиций (объектов), объединяемых в одно множество по общему признаку, действующий в рамках периметра Компании.</w:t>
      </w:r>
    </w:p>
    <w:p>
      <w:pPr>
        <w:widowControl w:val="0"/>
      </w:pPr>
    </w:p>
    <w:p>
      <w:pPr>
        <w:widowControl w:val="0"/>
      </w:pPr>
      <w:r>
        <w:rPr>
          <w:rFonts w:ascii="Arial" w:hAnsi="Arial" w:cs="Arial"/>
          <w:b/>
          <w:bCs/>
          <w:i/>
          <w:sz w:val="20"/>
          <w:szCs w:val="20"/>
        </w:rPr>
        <w:t>КРАН</w:t>
      </w:r>
      <w:r>
        <w:t xml:space="preserve"> – </w:t>
      </w:r>
      <w:r>
        <w:rPr>
          <w:rFonts w:eastAsia="Times New Roman"/>
        </w:rPr>
        <w:t>тип арматуры, у которой запирающий или регулирующий элемент, имеющий форму тела вращения или его части, поворачивается вокруг собственной оси, произвольно расположенной по отношению к направлению потока рабочей среды</w:t>
      </w:r>
      <w:r>
        <w:rPr>
          <w:rFonts w:eastAsia="PMingLiU"/>
          <w:szCs w:val="22"/>
          <w:lang w:eastAsia="en-US"/>
        </w:rPr>
        <w:t>.</w:t>
      </w:r>
    </w:p>
    <w:p>
      <w:pPr>
        <w:rPr>
          <w:rFonts w:eastAsiaTheme="minorHAnsi"/>
          <w:lang w:eastAsia="en-US"/>
        </w:rPr>
      </w:pPr>
    </w:p>
    <w:p>
      <w:pPr>
        <w:widowControl w:val="0"/>
        <w:rPr>
          <w:rFonts w:eastAsia="Calibri"/>
          <w:szCs w:val="22"/>
          <w:lang w:eastAsia="en-US"/>
        </w:rPr>
      </w:pPr>
      <w:r>
        <w:rPr>
          <w:rFonts w:ascii="Arial" w:eastAsia="Arial" w:hAnsi="Arial" w:cs="Arial"/>
          <w:b/>
          <w:bCs/>
          <w:i/>
          <w:spacing w:val="-1"/>
          <w:sz w:val="20"/>
          <w:szCs w:val="20"/>
          <w:lang w:eastAsia="en-US"/>
        </w:rPr>
        <w:t>КРУТЯЩИЙ МОМЕНТ</w:t>
      </w:r>
      <w:r>
        <w:rPr>
          <w:rFonts w:ascii="Arial" w:eastAsia="Arial" w:hAnsi="Arial" w:cs="Arial"/>
          <w:b/>
          <w:bCs/>
          <w:spacing w:val="-1"/>
          <w:lang w:eastAsia="en-US"/>
        </w:rPr>
        <w:t xml:space="preserve"> </w:t>
      </w:r>
      <w:r>
        <w:rPr>
          <w:rFonts w:ascii="Calibri" w:eastAsia="Calibri" w:hAnsi="Calibri"/>
          <w:sz w:val="22"/>
          <w:szCs w:val="22"/>
          <w:lang w:eastAsia="en-US"/>
        </w:rPr>
        <w:t>–</w:t>
      </w:r>
      <w:r>
        <w:rPr>
          <w:rFonts w:ascii="Arial" w:eastAsia="Arial" w:hAnsi="Arial" w:cs="Arial"/>
          <w:bCs/>
          <w:spacing w:val="-1"/>
          <w:lang w:eastAsia="en-US"/>
        </w:rPr>
        <w:t xml:space="preserve"> </w:t>
      </w:r>
      <w:r>
        <w:rPr>
          <w:rFonts w:eastAsia="Arial"/>
          <w:bCs/>
          <w:spacing w:val="-1"/>
          <w:lang w:eastAsia="en-US"/>
        </w:rPr>
        <w:t>м</w:t>
      </w:r>
      <w:r>
        <w:rPr>
          <w:rFonts w:eastAsia="Arial"/>
          <w:lang w:eastAsia="en-US"/>
        </w:rPr>
        <w:t>омент,</w:t>
      </w:r>
      <w:r>
        <w:rPr>
          <w:rFonts w:eastAsia="Arial"/>
          <w:spacing w:val="38"/>
          <w:lang w:eastAsia="en-US"/>
        </w:rPr>
        <w:t xml:space="preserve"> </w:t>
      </w:r>
      <w:r>
        <w:rPr>
          <w:rFonts w:eastAsia="Arial"/>
          <w:spacing w:val="-1"/>
          <w:lang w:eastAsia="en-US"/>
        </w:rPr>
        <w:t>необходимый</w:t>
      </w:r>
      <w:r>
        <w:rPr>
          <w:rFonts w:eastAsia="Arial"/>
          <w:spacing w:val="39"/>
          <w:lang w:eastAsia="en-US"/>
        </w:rPr>
        <w:t xml:space="preserve"> </w:t>
      </w:r>
      <w:r>
        <w:rPr>
          <w:rFonts w:eastAsia="Arial"/>
          <w:spacing w:val="-1"/>
          <w:lang w:eastAsia="en-US"/>
        </w:rPr>
        <w:t>для</w:t>
      </w:r>
      <w:r>
        <w:rPr>
          <w:rFonts w:eastAsia="Arial"/>
          <w:spacing w:val="39"/>
          <w:lang w:eastAsia="en-US"/>
        </w:rPr>
        <w:t xml:space="preserve"> </w:t>
      </w:r>
      <w:r>
        <w:rPr>
          <w:rFonts w:eastAsia="Arial"/>
          <w:spacing w:val="-1"/>
          <w:lang w:eastAsia="en-US"/>
        </w:rPr>
        <w:t>функционирования</w:t>
      </w:r>
      <w:r>
        <w:rPr>
          <w:rFonts w:eastAsia="Arial"/>
          <w:spacing w:val="9"/>
          <w:lang w:eastAsia="en-US"/>
        </w:rPr>
        <w:t xml:space="preserve"> </w:t>
      </w:r>
      <w:r>
        <w:rPr>
          <w:rFonts w:eastAsia="Arial"/>
          <w:spacing w:val="-1"/>
          <w:lang w:eastAsia="en-US"/>
        </w:rPr>
        <w:t>арматуры</w:t>
      </w:r>
      <w:r>
        <w:rPr>
          <w:rFonts w:eastAsia="Arial"/>
          <w:spacing w:val="12"/>
          <w:lang w:eastAsia="en-US"/>
        </w:rPr>
        <w:t xml:space="preserve"> </w:t>
      </w:r>
      <w:r>
        <w:rPr>
          <w:rFonts w:eastAsia="Arial"/>
          <w:lang w:eastAsia="en-US"/>
        </w:rPr>
        <w:t>–</w:t>
      </w:r>
      <w:r>
        <w:rPr>
          <w:rFonts w:eastAsia="Arial"/>
          <w:spacing w:val="11"/>
          <w:lang w:eastAsia="en-US"/>
        </w:rPr>
        <w:t xml:space="preserve"> </w:t>
      </w:r>
      <w:r>
        <w:rPr>
          <w:rFonts w:eastAsia="Arial"/>
          <w:spacing w:val="-1"/>
          <w:lang w:eastAsia="en-US"/>
        </w:rPr>
        <w:t>перемещения</w:t>
      </w:r>
      <w:r>
        <w:rPr>
          <w:rFonts w:eastAsia="Arial"/>
          <w:spacing w:val="9"/>
          <w:lang w:eastAsia="en-US"/>
        </w:rPr>
        <w:t xml:space="preserve"> </w:t>
      </w:r>
      <w:r>
        <w:rPr>
          <w:rFonts w:eastAsia="Arial"/>
          <w:lang w:eastAsia="en-US"/>
        </w:rPr>
        <w:t>запираю</w:t>
      </w:r>
      <w:r>
        <w:rPr>
          <w:rFonts w:eastAsia="Arial"/>
          <w:spacing w:val="-1"/>
          <w:lang w:eastAsia="en-US"/>
        </w:rPr>
        <w:t>щего</w:t>
      </w:r>
      <w:r>
        <w:rPr>
          <w:rFonts w:eastAsia="Arial"/>
          <w:spacing w:val="44"/>
          <w:lang w:eastAsia="en-US"/>
        </w:rPr>
        <w:t xml:space="preserve"> </w:t>
      </w:r>
      <w:r>
        <w:rPr>
          <w:rFonts w:eastAsia="Arial"/>
          <w:lang w:eastAsia="en-US"/>
        </w:rPr>
        <w:t>или</w:t>
      </w:r>
      <w:r>
        <w:rPr>
          <w:rFonts w:eastAsia="Arial"/>
          <w:spacing w:val="43"/>
          <w:lang w:eastAsia="en-US"/>
        </w:rPr>
        <w:t xml:space="preserve"> </w:t>
      </w:r>
      <w:r>
        <w:rPr>
          <w:rFonts w:eastAsia="Arial"/>
          <w:spacing w:val="-1"/>
          <w:lang w:eastAsia="en-US"/>
        </w:rPr>
        <w:t>регулирующего</w:t>
      </w:r>
      <w:r>
        <w:rPr>
          <w:rFonts w:eastAsia="Arial"/>
          <w:spacing w:val="46"/>
          <w:lang w:eastAsia="en-US"/>
        </w:rPr>
        <w:t xml:space="preserve"> </w:t>
      </w:r>
      <w:r>
        <w:rPr>
          <w:rFonts w:eastAsia="Arial"/>
          <w:lang w:eastAsia="en-US"/>
        </w:rPr>
        <w:t>элемента,</w:t>
      </w:r>
      <w:r>
        <w:rPr>
          <w:rFonts w:eastAsia="Arial"/>
          <w:spacing w:val="40"/>
          <w:lang w:eastAsia="en-US"/>
        </w:rPr>
        <w:t xml:space="preserve"> </w:t>
      </w:r>
      <w:r>
        <w:rPr>
          <w:rFonts w:eastAsia="Arial"/>
          <w:spacing w:val="-1"/>
          <w:lang w:eastAsia="en-US"/>
        </w:rPr>
        <w:t>обеспечения</w:t>
      </w:r>
      <w:r>
        <w:rPr>
          <w:rFonts w:eastAsia="Arial"/>
          <w:spacing w:val="43"/>
          <w:lang w:eastAsia="en-US"/>
        </w:rPr>
        <w:t xml:space="preserve"> </w:t>
      </w:r>
      <w:r>
        <w:rPr>
          <w:rFonts w:eastAsia="Arial"/>
          <w:lang w:eastAsia="en-US"/>
        </w:rPr>
        <w:t>заданной</w:t>
      </w:r>
      <w:r>
        <w:rPr>
          <w:rFonts w:eastAsia="Arial"/>
          <w:spacing w:val="10"/>
          <w:lang w:eastAsia="en-US"/>
        </w:rPr>
        <w:t xml:space="preserve"> </w:t>
      </w:r>
      <w:r>
        <w:rPr>
          <w:rFonts w:eastAsia="Arial"/>
          <w:lang w:eastAsia="en-US"/>
        </w:rPr>
        <w:t>степени</w:t>
      </w:r>
      <w:r>
        <w:rPr>
          <w:rFonts w:eastAsia="Arial"/>
          <w:spacing w:val="9"/>
          <w:lang w:eastAsia="en-US"/>
        </w:rPr>
        <w:t xml:space="preserve"> </w:t>
      </w:r>
      <w:r>
        <w:rPr>
          <w:rFonts w:eastAsia="Arial"/>
          <w:spacing w:val="-1"/>
          <w:lang w:eastAsia="en-US"/>
        </w:rPr>
        <w:t>герметичности</w:t>
      </w:r>
      <w:r>
        <w:rPr>
          <w:rFonts w:eastAsia="Arial"/>
          <w:spacing w:val="10"/>
          <w:lang w:eastAsia="en-US"/>
        </w:rPr>
        <w:t xml:space="preserve"> </w:t>
      </w:r>
      <w:r>
        <w:rPr>
          <w:rFonts w:eastAsia="Arial"/>
          <w:lang w:eastAsia="en-US"/>
        </w:rPr>
        <w:t>затвора,</w:t>
      </w:r>
      <w:r>
        <w:rPr>
          <w:rFonts w:eastAsia="Arial"/>
          <w:spacing w:val="10"/>
          <w:lang w:eastAsia="en-US"/>
        </w:rPr>
        <w:t xml:space="preserve"> </w:t>
      </w:r>
      <w:r>
        <w:rPr>
          <w:rFonts w:eastAsia="Arial"/>
          <w:lang w:eastAsia="en-US"/>
        </w:rPr>
        <w:t>и</w:t>
      </w:r>
      <w:r>
        <w:rPr>
          <w:rFonts w:eastAsia="Arial"/>
          <w:spacing w:val="10"/>
          <w:lang w:eastAsia="en-US"/>
        </w:rPr>
        <w:t xml:space="preserve"> </w:t>
      </w:r>
      <w:r>
        <w:rPr>
          <w:rFonts w:eastAsia="Arial"/>
          <w:spacing w:val="-1"/>
          <w:lang w:eastAsia="en-US"/>
        </w:rPr>
        <w:t>приложенный</w:t>
      </w:r>
      <w:r>
        <w:rPr>
          <w:rFonts w:eastAsia="Arial"/>
          <w:spacing w:val="10"/>
          <w:lang w:eastAsia="en-US"/>
        </w:rPr>
        <w:t xml:space="preserve"> </w:t>
      </w:r>
      <w:r>
        <w:rPr>
          <w:rFonts w:eastAsia="Arial"/>
          <w:lang w:eastAsia="en-US"/>
        </w:rPr>
        <w:t>к</w:t>
      </w:r>
      <w:r>
        <w:rPr>
          <w:rFonts w:eastAsia="Arial"/>
          <w:spacing w:val="10"/>
          <w:lang w:eastAsia="en-US"/>
        </w:rPr>
        <w:t xml:space="preserve"> </w:t>
      </w:r>
      <w:r>
        <w:rPr>
          <w:rFonts w:eastAsia="Arial"/>
          <w:lang w:eastAsia="en-US"/>
        </w:rPr>
        <w:t>ве</w:t>
      </w:r>
      <w:r>
        <w:rPr>
          <w:rFonts w:eastAsia="Calibri"/>
          <w:spacing w:val="-1"/>
          <w:szCs w:val="22"/>
          <w:lang w:eastAsia="en-US"/>
        </w:rPr>
        <w:t>дущему</w:t>
      </w:r>
      <w:r>
        <w:rPr>
          <w:rFonts w:eastAsia="Calibri"/>
          <w:spacing w:val="-3"/>
          <w:szCs w:val="22"/>
          <w:lang w:eastAsia="en-US"/>
        </w:rPr>
        <w:t xml:space="preserve"> </w:t>
      </w:r>
      <w:r>
        <w:rPr>
          <w:rFonts w:eastAsia="Calibri"/>
          <w:spacing w:val="-1"/>
          <w:szCs w:val="22"/>
          <w:lang w:eastAsia="en-US"/>
        </w:rPr>
        <w:t>кинематическому</w:t>
      </w:r>
      <w:r>
        <w:rPr>
          <w:rFonts w:eastAsia="Calibri"/>
          <w:spacing w:val="-2"/>
          <w:szCs w:val="22"/>
          <w:lang w:eastAsia="en-US"/>
        </w:rPr>
        <w:t xml:space="preserve"> </w:t>
      </w:r>
      <w:r>
        <w:rPr>
          <w:rFonts w:eastAsia="Calibri"/>
          <w:szCs w:val="22"/>
          <w:lang w:eastAsia="en-US"/>
        </w:rPr>
        <w:t>звену.</w:t>
      </w:r>
    </w:p>
    <w:p>
      <w:pPr>
        <w:widowControl w:val="0"/>
        <w:rPr>
          <w:rFonts w:eastAsia="Calibri"/>
          <w:szCs w:val="22"/>
          <w:lang w:eastAsia="en-US"/>
        </w:rPr>
      </w:pPr>
    </w:p>
    <w:p>
      <w:pPr>
        <w:suppressAutoHyphens/>
        <w:rPr>
          <w:rFonts w:eastAsia="Times New Roman"/>
        </w:rPr>
      </w:pPr>
      <w:r>
        <w:rPr>
          <w:rFonts w:ascii="Arial" w:hAnsi="Arial" w:cs="Arial"/>
          <w:b/>
          <w:i/>
          <w:sz w:val="20"/>
          <w:szCs w:val="20"/>
        </w:rPr>
        <w:t xml:space="preserve">МАТЕРИАЛЬНО-ТЕХНИЧЕСКИЕ РЕСУРСЫ </w:t>
      </w:r>
      <w:r>
        <w:t>– продукция производственно-технического назначения, используемая в производственной и инвестиционной деятельности. В случае строительного производства к материально-техническим ресурсам относят материалы, изделия, конструкции и оборудование, необходимые для осуществления строительства</w:t>
      </w:r>
      <w:r>
        <w:rPr>
          <w:rFonts w:eastAsia="Times New Roman"/>
        </w:rPr>
        <w:t>.</w:t>
      </w:r>
    </w:p>
    <w:p>
      <w:pPr>
        <w:rPr>
          <w:rFonts w:eastAsia="Times New Roman"/>
        </w:rPr>
      </w:pPr>
    </w:p>
    <w:p>
      <w:pPr>
        <w:pStyle w:val="a7"/>
        <w:widowControl w:val="0"/>
        <w:spacing w:after="0"/>
        <w:ind w:right="108"/>
      </w:pPr>
      <w:r>
        <w:rPr>
          <w:rFonts w:ascii="Arial" w:hAnsi="Arial" w:cs="Arial"/>
          <w:b/>
          <w:bCs/>
          <w:i/>
          <w:sz w:val="20"/>
          <w:szCs w:val="20"/>
        </w:rPr>
        <w:t>НОМИНАЛЬНОЕ ДАВЛЕНИЕ</w:t>
      </w:r>
      <w:r>
        <w:rPr>
          <w:b/>
          <w:i/>
        </w:rPr>
        <w:t xml:space="preserve"> </w:t>
      </w:r>
      <w:r>
        <w:rPr>
          <w:rFonts w:ascii="Arial" w:hAnsi="Arial" w:cs="Arial"/>
          <w:b/>
          <w:bCs/>
          <w:i/>
          <w:sz w:val="20"/>
          <w:szCs w:val="20"/>
        </w:rPr>
        <w:t>(PN)</w:t>
      </w:r>
      <w:r>
        <w:rPr>
          <w:b/>
          <w:i/>
        </w:rPr>
        <w:t xml:space="preserve"> </w:t>
      </w:r>
      <w:r>
        <w:t xml:space="preserve">– </w:t>
      </w:r>
      <w:r>
        <w:rPr>
          <w:rFonts w:eastAsia="Times New Roman"/>
        </w:rPr>
        <w:t>наибольшее избыточное давление, выраженное в кгс/см</w:t>
      </w:r>
      <w:r>
        <w:rPr>
          <w:rFonts w:eastAsia="Times New Roman"/>
          <w:vertAlign w:val="superscript"/>
        </w:rPr>
        <w:t>2</w:t>
      </w:r>
      <w:r>
        <w:rPr>
          <w:rFonts w:eastAsia="Times New Roman"/>
        </w:rPr>
        <w:t xml:space="preserve">, </w:t>
      </w:r>
      <w:r>
        <w:rPr>
          <w:rFonts w:eastAsia="Times New Roman"/>
        </w:rPr>
        <w:lastRenderedPageBreak/>
        <w:t>при температуре рабочей среды 20 °С, при котором обеспечивается заданный срок службы (ресурс) корпусных деталей арматуры, имеющих определенные размеры, обоснованные расчетом на прочность при выбранных материалах и характеристиках прочности их при температуре 20 °С</w:t>
      </w:r>
      <w:r>
        <w:t xml:space="preserve"> </w:t>
      </w:r>
      <w:r>
        <w:rPr>
          <w:rFonts w:eastAsia="PMingLiU"/>
          <w:szCs w:val="22"/>
          <w:lang w:eastAsia="en-US"/>
        </w:rPr>
        <w:t>[ГОСТ</w:t>
      </w:r>
      <w:r>
        <w:t> </w:t>
      </w:r>
      <w:r>
        <w:rPr>
          <w:rFonts w:eastAsia="PMingLiU"/>
          <w:szCs w:val="22"/>
          <w:lang w:eastAsia="en-US"/>
        </w:rPr>
        <w:t>24856-2014].</w:t>
      </w:r>
    </w:p>
    <w:p/>
    <w:p>
      <w:pPr>
        <w:pStyle w:val="a7"/>
        <w:widowControl w:val="0"/>
        <w:spacing w:after="0"/>
        <w:ind w:right="108"/>
      </w:pPr>
      <w:r>
        <w:rPr>
          <w:rFonts w:ascii="Arial" w:hAnsi="Arial" w:cs="Arial"/>
          <w:b/>
          <w:i/>
          <w:sz w:val="20"/>
          <w:szCs w:val="20"/>
        </w:rPr>
        <w:t>НОМИНАЛЬНЫЙ ДИАМЕТР</w:t>
      </w:r>
      <w:r>
        <w:rPr>
          <w:b/>
        </w:rPr>
        <w:t xml:space="preserve"> </w:t>
      </w:r>
      <w:r>
        <w:rPr>
          <w:rFonts w:ascii="Arial" w:hAnsi="Arial" w:cs="Arial"/>
          <w:b/>
          <w:i/>
          <w:sz w:val="20"/>
          <w:szCs w:val="20"/>
        </w:rPr>
        <w:t xml:space="preserve">(DN) </w:t>
      </w:r>
      <w:r>
        <w:t>–</w:t>
      </w:r>
      <w:r>
        <w:rPr>
          <w:b/>
        </w:rPr>
        <w:t xml:space="preserve"> </w:t>
      </w:r>
      <w:r>
        <w:rPr>
          <w:rFonts w:eastAsia="Times New Roman"/>
        </w:rPr>
        <w:t>параметр, применяемый для трубопроводных систем в качестве характеристики присоединяемых частей арматуры</w:t>
      </w:r>
      <w:r>
        <w:rPr>
          <w:rFonts w:eastAsia="PMingLiU"/>
          <w:szCs w:val="22"/>
          <w:lang w:eastAsia="en-US"/>
        </w:rPr>
        <w:t xml:space="preserve"> [ГОСТ 24856-2014].</w:t>
      </w:r>
    </w:p>
    <w:p/>
    <w:p>
      <w:pPr>
        <w:rPr>
          <w:caps/>
          <w:szCs w:val="20"/>
        </w:rPr>
      </w:pPr>
      <w:r>
        <w:rPr>
          <w:rFonts w:ascii="Arial" w:hAnsi="Arial" w:cs="Arial"/>
          <w:b/>
          <w:i/>
          <w:caps/>
          <w:sz w:val="20"/>
          <w:szCs w:val="20"/>
        </w:rPr>
        <w:t xml:space="preserve">ОТДЕЛ ТЕХНИЧЕСКОГО КОНТРОЛЯ </w:t>
      </w:r>
      <w:r>
        <w:rPr>
          <w:b/>
          <w:i/>
          <w:caps/>
          <w:szCs w:val="20"/>
        </w:rPr>
        <w:t xml:space="preserve">– </w:t>
      </w:r>
      <w:r>
        <w:rPr>
          <w:szCs w:val="20"/>
        </w:rPr>
        <w:t>служба технического контроля изготовителя или другая служба, персонал или отдельные специалисты, на которых возлагается контроль качества продукции [</w:t>
      </w:r>
      <w:r>
        <w:t>ГОСТ</w:t>
      </w:r>
      <w:r>
        <w:rPr>
          <w:lang w:val="en-US"/>
        </w:rPr>
        <w:t> </w:t>
      </w:r>
      <w:r>
        <w:t>8179-98]</w:t>
      </w:r>
      <w:r>
        <w:rPr>
          <w:szCs w:val="20"/>
        </w:rPr>
        <w:t>.</w:t>
      </w:r>
    </w:p>
    <w:p>
      <w:pPr>
        <w:rPr>
          <w:rFonts w:eastAsia="Arial"/>
          <w:lang w:eastAsia="en-US"/>
        </w:rPr>
      </w:pPr>
    </w:p>
    <w:p>
      <w:pPr>
        <w:rPr>
          <w:rFonts w:eastAsia="Arial"/>
          <w:bCs/>
          <w:lang w:eastAsia="en-US"/>
        </w:rPr>
      </w:pPr>
      <w:r>
        <w:rPr>
          <w:rFonts w:ascii="Arial" w:eastAsia="Arial" w:hAnsi="Arial" w:cs="Arial"/>
          <w:b/>
          <w:bCs/>
          <w:i/>
          <w:sz w:val="20"/>
          <w:szCs w:val="20"/>
          <w:lang w:eastAsia="en-US"/>
        </w:rPr>
        <w:t>ПРИЕМО-СДАТОЧНЫЕ ИСПЫТАНИЯ</w:t>
      </w:r>
      <w:r>
        <w:rPr>
          <w:rFonts w:eastAsia="Arial"/>
          <w:b/>
          <w:bCs/>
          <w:lang w:eastAsia="en-US"/>
        </w:rPr>
        <w:t xml:space="preserve"> </w:t>
      </w:r>
      <w:r>
        <w:rPr>
          <w:rFonts w:ascii="Calibri" w:eastAsia="Times New Roman" w:hAnsi="Calibri"/>
          <w:bCs/>
        </w:rPr>
        <w:t>–</w:t>
      </w:r>
      <w:r>
        <w:rPr>
          <w:rFonts w:eastAsia="Arial"/>
          <w:b/>
          <w:bCs/>
          <w:lang w:eastAsia="en-US"/>
        </w:rPr>
        <w:t xml:space="preserve"> </w:t>
      </w:r>
      <w:r>
        <w:rPr>
          <w:rFonts w:eastAsia="Arial"/>
          <w:bCs/>
          <w:lang w:eastAsia="en-US"/>
        </w:rPr>
        <w:t xml:space="preserve">контрольные испытания арматуры при приемочном контроле </w:t>
      </w:r>
      <w:r>
        <w:rPr>
          <w:rFonts w:eastAsia="PMingLiU"/>
          <w:szCs w:val="22"/>
          <w:lang w:eastAsia="en-US"/>
        </w:rPr>
        <w:t>[ГОСТ</w:t>
      </w:r>
      <w:r>
        <w:rPr>
          <w:rFonts w:eastAsia="PMingLiU"/>
          <w:szCs w:val="22"/>
          <w:lang w:val="en-US" w:eastAsia="en-US"/>
        </w:rPr>
        <w:t> </w:t>
      </w:r>
      <w:r>
        <w:rPr>
          <w:rFonts w:eastAsia="PMingLiU"/>
          <w:szCs w:val="22"/>
          <w:lang w:eastAsia="en-US"/>
        </w:rPr>
        <w:t>24856-2014]</w:t>
      </w:r>
      <w:r>
        <w:rPr>
          <w:rFonts w:eastAsia="Arial"/>
          <w:bCs/>
          <w:lang w:eastAsia="en-US"/>
        </w:rPr>
        <w:t>.</w:t>
      </w:r>
    </w:p>
    <w:p>
      <w:pPr>
        <w:rPr>
          <w:rFonts w:eastAsia="PMingLiU"/>
          <w:lang w:eastAsia="en-US"/>
        </w:rPr>
      </w:pPr>
    </w:p>
    <w:p>
      <w:pPr>
        <w:widowControl w:val="0"/>
        <w:rPr>
          <w:rFonts w:eastAsia="PMingLiU"/>
          <w:szCs w:val="22"/>
          <w:lang w:eastAsia="en-US"/>
        </w:rPr>
      </w:pPr>
      <w:r>
        <w:rPr>
          <w:rFonts w:ascii="Arial" w:hAnsi="Arial" w:cs="Arial"/>
          <w:b/>
          <w:bCs/>
          <w:i/>
          <w:sz w:val="20"/>
          <w:szCs w:val="20"/>
        </w:rPr>
        <w:t xml:space="preserve">ПРОБНОЕ ДАВЛЕНИЕ </w:t>
      </w:r>
      <w:r>
        <w:rPr>
          <w:b/>
          <w:i/>
          <w:caps/>
          <w:szCs w:val="20"/>
        </w:rPr>
        <w:t>–</w:t>
      </w:r>
      <w:r>
        <w:t xml:space="preserve"> </w:t>
      </w:r>
      <w:r>
        <w:rPr>
          <w:rFonts w:eastAsia="Times New Roman"/>
        </w:rPr>
        <w:t>избыточное давление, при котором следует проводить испытание арматуры на прочность и плотность водой при температуре от 5 до 70 °С, если в документации не указаны другие температуры</w:t>
      </w:r>
      <w:r>
        <w:rPr>
          <w:rFonts w:eastAsia="PMingLiU"/>
          <w:szCs w:val="22"/>
          <w:lang w:eastAsia="en-US"/>
        </w:rPr>
        <w:t>.</w:t>
      </w:r>
    </w:p>
    <w:p>
      <w:pPr>
        <w:widowControl w:val="0"/>
      </w:pPr>
    </w:p>
    <w:p>
      <w:pPr>
        <w:rPr>
          <w:i/>
        </w:rPr>
      </w:pPr>
      <w:r>
        <w:rPr>
          <w:rFonts w:ascii="Arial" w:hAnsi="Arial" w:cs="Arial"/>
          <w:b/>
          <w:i/>
          <w:sz w:val="20"/>
          <w:szCs w:val="20"/>
        </w:rPr>
        <w:t>ПРОИЗВОДСТВЕННЫЕ ОБЪЕКТЫ</w:t>
      </w:r>
      <w:r>
        <w:rPr>
          <w:i/>
        </w:rPr>
        <w:t xml:space="preserve"> </w:t>
      </w:r>
      <w:r>
        <w:t>–</w:t>
      </w:r>
      <w:r>
        <w:rPr>
          <w:i/>
        </w:rPr>
        <w:t xml:space="preserve"> </w:t>
      </w:r>
      <w:r>
        <w:t>объекты производственного назначения, непосредственно обеспечивающие выполнение основной производственной деятельности.</w:t>
      </w:r>
    </w:p>
    <w:p>
      <w:pPr>
        <w:ind w:right="108"/>
        <w:rPr>
          <w:rFonts w:eastAsia="PMingLiU"/>
          <w:szCs w:val="22"/>
          <w:highlight w:val="yellow"/>
          <w:lang w:eastAsia="en-US"/>
        </w:rPr>
      </w:pPr>
    </w:p>
    <w:p>
      <w:pPr>
        <w:rPr>
          <w:rFonts w:eastAsia="PMingLiU"/>
          <w:szCs w:val="22"/>
          <w:lang w:eastAsia="en-US"/>
        </w:rPr>
      </w:pPr>
      <w:r>
        <w:rPr>
          <w:rFonts w:ascii="Arial" w:eastAsia="Calibri" w:hAnsi="Arial" w:cs="Arial"/>
          <w:b/>
          <w:i/>
          <w:caps/>
          <w:sz w:val="20"/>
        </w:rPr>
        <w:t>РАБОЧАЯ СРЕДА</w:t>
      </w:r>
      <w:r>
        <w:rPr>
          <w:rFonts w:eastAsia="PMingLiU"/>
          <w:szCs w:val="22"/>
          <w:lang w:eastAsia="en-US"/>
        </w:rPr>
        <w:t xml:space="preserve"> – </w:t>
      </w:r>
      <w:r>
        <w:rPr>
          <w:rFonts w:eastAsia="Times New Roman"/>
        </w:rPr>
        <w:t>среда, для управления которой предназначена арматура</w:t>
      </w:r>
      <w:r>
        <w:rPr>
          <w:rFonts w:eastAsia="PMingLiU"/>
          <w:szCs w:val="22"/>
          <w:lang w:eastAsia="en-US"/>
        </w:rPr>
        <w:t xml:space="preserve"> </w:t>
      </w:r>
      <w:r>
        <w:rPr>
          <w:rFonts w:eastAsia="PMingLiU"/>
          <w:szCs w:val="22"/>
          <w:lang w:eastAsia="en-US"/>
        </w:rPr>
        <w:br/>
        <w:t>[ГОСТ 24856-2014].</w:t>
      </w:r>
    </w:p>
    <w:p/>
    <w:p>
      <w:pPr>
        <w:pStyle w:val="TableParagraph"/>
        <w:rPr>
          <w:rFonts w:ascii="Times New Roman" w:eastAsia="PMingLiU" w:hAnsi="Times New Roman"/>
          <w:sz w:val="24"/>
          <w:szCs w:val="24"/>
          <w:lang w:val="ru-RU"/>
        </w:rPr>
      </w:pPr>
      <w:r>
        <w:rPr>
          <w:rFonts w:ascii="Arial" w:hAnsi="Arial"/>
          <w:b/>
          <w:i/>
          <w:spacing w:val="-1"/>
          <w:sz w:val="20"/>
          <w:szCs w:val="20"/>
          <w:lang w:val="ru-RU"/>
        </w:rPr>
        <w:t xml:space="preserve">РАБОЧЕЕ ДАВЛЕНИЕ </w:t>
      </w:r>
      <w:r>
        <w:rPr>
          <w:lang w:val="ru-RU"/>
        </w:rPr>
        <w:t>–</w:t>
      </w:r>
      <w:r>
        <w:rPr>
          <w:rFonts w:ascii="Arial" w:hAnsi="Arial"/>
          <w:b/>
          <w:spacing w:val="-1"/>
          <w:sz w:val="24"/>
          <w:lang w:val="ru-RU"/>
        </w:rPr>
        <w:t xml:space="preserve"> </w:t>
      </w:r>
      <w:r>
        <w:rPr>
          <w:rFonts w:ascii="Times New Roman" w:hAnsi="Times New Roman"/>
          <w:spacing w:val="-1"/>
          <w:sz w:val="24"/>
          <w:szCs w:val="24"/>
          <w:lang w:val="ru-RU"/>
        </w:rPr>
        <w:t>наибольшее</w:t>
      </w:r>
      <w:r>
        <w:rPr>
          <w:rFonts w:ascii="Times New Roman" w:hAnsi="Times New Roman"/>
          <w:spacing w:val="11"/>
          <w:sz w:val="24"/>
          <w:szCs w:val="24"/>
          <w:lang w:val="ru-RU"/>
        </w:rPr>
        <w:t xml:space="preserve"> </w:t>
      </w:r>
      <w:r>
        <w:rPr>
          <w:rFonts w:ascii="Times New Roman" w:hAnsi="Times New Roman"/>
          <w:spacing w:val="-1"/>
          <w:sz w:val="24"/>
          <w:szCs w:val="24"/>
          <w:lang w:val="ru-RU"/>
        </w:rPr>
        <w:t>избыточное</w:t>
      </w:r>
      <w:r>
        <w:rPr>
          <w:rFonts w:ascii="Times New Roman" w:hAnsi="Times New Roman"/>
          <w:spacing w:val="43"/>
          <w:sz w:val="24"/>
          <w:szCs w:val="24"/>
          <w:lang w:val="ru-RU"/>
        </w:rPr>
        <w:t xml:space="preserve"> </w:t>
      </w:r>
      <w:r>
        <w:rPr>
          <w:rFonts w:ascii="Times New Roman" w:hAnsi="Times New Roman"/>
          <w:spacing w:val="-1"/>
          <w:sz w:val="24"/>
          <w:szCs w:val="24"/>
          <w:lang w:val="ru-RU"/>
        </w:rPr>
        <w:t>давление,</w:t>
      </w:r>
      <w:r>
        <w:rPr>
          <w:rFonts w:ascii="Times New Roman" w:hAnsi="Times New Roman"/>
          <w:spacing w:val="27"/>
          <w:sz w:val="24"/>
          <w:szCs w:val="24"/>
          <w:lang w:val="ru-RU"/>
        </w:rPr>
        <w:t xml:space="preserve"> </w:t>
      </w:r>
      <w:r>
        <w:rPr>
          <w:rFonts w:ascii="Times New Roman" w:hAnsi="Times New Roman"/>
          <w:sz w:val="24"/>
          <w:szCs w:val="24"/>
          <w:lang w:val="ru-RU"/>
        </w:rPr>
        <w:t>при</w:t>
      </w:r>
      <w:r>
        <w:rPr>
          <w:rFonts w:ascii="Times New Roman" w:hAnsi="Times New Roman"/>
          <w:spacing w:val="24"/>
          <w:sz w:val="24"/>
          <w:szCs w:val="24"/>
          <w:lang w:val="ru-RU"/>
        </w:rPr>
        <w:t xml:space="preserve"> </w:t>
      </w:r>
      <w:r>
        <w:rPr>
          <w:rFonts w:ascii="Times New Roman" w:hAnsi="Times New Roman"/>
          <w:spacing w:val="-1"/>
          <w:sz w:val="24"/>
          <w:szCs w:val="24"/>
          <w:lang w:val="ru-RU"/>
        </w:rPr>
        <w:t>котором</w:t>
      </w:r>
      <w:r>
        <w:rPr>
          <w:rFonts w:ascii="Times New Roman" w:hAnsi="Times New Roman"/>
          <w:spacing w:val="27"/>
          <w:sz w:val="24"/>
          <w:szCs w:val="24"/>
          <w:lang w:val="ru-RU"/>
        </w:rPr>
        <w:t xml:space="preserve"> </w:t>
      </w:r>
      <w:r>
        <w:rPr>
          <w:rFonts w:ascii="Times New Roman" w:hAnsi="Times New Roman"/>
          <w:spacing w:val="-1"/>
          <w:sz w:val="24"/>
          <w:szCs w:val="24"/>
          <w:lang w:val="ru-RU"/>
        </w:rPr>
        <w:t>возможна</w:t>
      </w:r>
      <w:r>
        <w:rPr>
          <w:rFonts w:ascii="Times New Roman" w:hAnsi="Times New Roman"/>
          <w:spacing w:val="27"/>
          <w:sz w:val="24"/>
          <w:szCs w:val="24"/>
          <w:lang w:val="ru-RU"/>
        </w:rPr>
        <w:t xml:space="preserve"> </w:t>
      </w:r>
      <w:r>
        <w:rPr>
          <w:rFonts w:ascii="Times New Roman" w:hAnsi="Times New Roman"/>
          <w:spacing w:val="-1"/>
          <w:sz w:val="24"/>
          <w:szCs w:val="24"/>
          <w:lang w:val="ru-RU"/>
        </w:rPr>
        <w:t>длительная</w:t>
      </w:r>
      <w:r>
        <w:rPr>
          <w:rFonts w:ascii="Times New Roman" w:hAnsi="Times New Roman"/>
          <w:spacing w:val="26"/>
          <w:sz w:val="24"/>
          <w:szCs w:val="24"/>
          <w:lang w:val="ru-RU"/>
        </w:rPr>
        <w:t xml:space="preserve"> </w:t>
      </w:r>
      <w:r>
        <w:rPr>
          <w:rFonts w:ascii="Times New Roman" w:hAnsi="Times New Roman"/>
          <w:spacing w:val="-1"/>
          <w:sz w:val="24"/>
          <w:szCs w:val="24"/>
          <w:lang w:val="ru-RU"/>
        </w:rPr>
        <w:t>работа</w:t>
      </w:r>
      <w:r>
        <w:rPr>
          <w:rFonts w:ascii="Times New Roman" w:hAnsi="Times New Roman"/>
          <w:spacing w:val="27"/>
          <w:sz w:val="24"/>
          <w:szCs w:val="24"/>
          <w:lang w:val="ru-RU"/>
        </w:rPr>
        <w:t xml:space="preserve"> </w:t>
      </w:r>
      <w:r>
        <w:rPr>
          <w:rFonts w:ascii="Times New Roman" w:hAnsi="Times New Roman"/>
          <w:sz w:val="24"/>
          <w:szCs w:val="24"/>
          <w:lang w:val="ru-RU"/>
        </w:rPr>
        <w:t>ар</w:t>
      </w:r>
      <w:r>
        <w:rPr>
          <w:rFonts w:ascii="Times New Roman" w:hAnsi="Times New Roman"/>
          <w:spacing w:val="-1"/>
          <w:sz w:val="24"/>
          <w:szCs w:val="24"/>
          <w:lang w:val="ru-RU"/>
        </w:rPr>
        <w:t>матуры</w:t>
      </w:r>
      <w:r>
        <w:rPr>
          <w:rFonts w:ascii="Times New Roman" w:hAnsi="Times New Roman"/>
          <w:spacing w:val="19"/>
          <w:sz w:val="24"/>
          <w:szCs w:val="24"/>
          <w:lang w:val="ru-RU"/>
        </w:rPr>
        <w:t xml:space="preserve"> </w:t>
      </w:r>
      <w:r>
        <w:rPr>
          <w:rFonts w:ascii="Times New Roman" w:hAnsi="Times New Roman"/>
          <w:sz w:val="24"/>
          <w:szCs w:val="24"/>
          <w:lang w:val="ru-RU"/>
        </w:rPr>
        <w:t>при</w:t>
      </w:r>
      <w:r>
        <w:rPr>
          <w:rFonts w:ascii="Times New Roman" w:hAnsi="Times New Roman"/>
          <w:spacing w:val="20"/>
          <w:sz w:val="24"/>
          <w:szCs w:val="24"/>
          <w:lang w:val="ru-RU"/>
        </w:rPr>
        <w:t xml:space="preserve"> </w:t>
      </w:r>
      <w:r>
        <w:rPr>
          <w:rFonts w:ascii="Times New Roman" w:hAnsi="Times New Roman"/>
          <w:spacing w:val="-1"/>
          <w:sz w:val="24"/>
          <w:szCs w:val="24"/>
          <w:lang w:val="ru-RU"/>
        </w:rPr>
        <w:t>выбранных</w:t>
      </w:r>
      <w:r>
        <w:rPr>
          <w:rFonts w:ascii="Times New Roman" w:hAnsi="Times New Roman"/>
          <w:spacing w:val="17"/>
          <w:sz w:val="24"/>
          <w:szCs w:val="24"/>
          <w:lang w:val="ru-RU"/>
        </w:rPr>
        <w:t xml:space="preserve"> </w:t>
      </w:r>
      <w:r>
        <w:rPr>
          <w:rFonts w:ascii="Times New Roman" w:hAnsi="Times New Roman"/>
          <w:sz w:val="24"/>
          <w:szCs w:val="24"/>
          <w:lang w:val="ru-RU"/>
        </w:rPr>
        <w:t>материалах</w:t>
      </w:r>
      <w:r>
        <w:rPr>
          <w:rFonts w:ascii="Times New Roman" w:hAnsi="Times New Roman"/>
          <w:spacing w:val="17"/>
          <w:sz w:val="24"/>
          <w:szCs w:val="24"/>
          <w:lang w:val="ru-RU"/>
        </w:rPr>
        <w:t xml:space="preserve"> </w:t>
      </w:r>
      <w:r>
        <w:rPr>
          <w:rFonts w:ascii="Times New Roman" w:hAnsi="Times New Roman"/>
          <w:sz w:val="24"/>
          <w:szCs w:val="24"/>
          <w:lang w:val="ru-RU"/>
        </w:rPr>
        <w:t>и</w:t>
      </w:r>
      <w:r>
        <w:rPr>
          <w:rFonts w:ascii="Times New Roman" w:hAnsi="Times New Roman"/>
          <w:spacing w:val="19"/>
          <w:sz w:val="24"/>
          <w:szCs w:val="24"/>
          <w:lang w:val="ru-RU"/>
        </w:rPr>
        <w:t xml:space="preserve"> </w:t>
      </w:r>
      <w:r>
        <w:rPr>
          <w:rFonts w:ascii="Times New Roman" w:hAnsi="Times New Roman"/>
          <w:spacing w:val="-1"/>
          <w:sz w:val="24"/>
          <w:szCs w:val="24"/>
          <w:lang w:val="ru-RU"/>
        </w:rPr>
        <w:t>заданной</w:t>
      </w:r>
      <w:r>
        <w:rPr>
          <w:rFonts w:ascii="Times New Roman" w:hAnsi="Times New Roman"/>
          <w:spacing w:val="20"/>
          <w:sz w:val="24"/>
          <w:szCs w:val="24"/>
          <w:lang w:val="ru-RU"/>
        </w:rPr>
        <w:t xml:space="preserve"> </w:t>
      </w:r>
      <w:r>
        <w:rPr>
          <w:rFonts w:ascii="Times New Roman" w:hAnsi="Times New Roman"/>
          <w:sz w:val="24"/>
          <w:szCs w:val="24"/>
          <w:lang w:val="ru-RU"/>
        </w:rPr>
        <w:t>темпера</w:t>
      </w:r>
      <w:r>
        <w:rPr>
          <w:rFonts w:ascii="Times New Roman" w:hAnsi="Times New Roman"/>
          <w:spacing w:val="-1"/>
          <w:sz w:val="24"/>
          <w:szCs w:val="24"/>
          <w:lang w:val="ru-RU"/>
        </w:rPr>
        <w:t xml:space="preserve">туре </w:t>
      </w:r>
      <w:r>
        <w:rPr>
          <w:rFonts w:ascii="Times New Roman" w:hAnsi="Times New Roman"/>
          <w:spacing w:val="-1"/>
          <w:sz w:val="24"/>
          <w:szCs w:val="24"/>
          <w:lang w:val="ru-RU"/>
        </w:rPr>
        <w:br/>
      </w:r>
      <w:r>
        <w:rPr>
          <w:rFonts w:ascii="Times New Roman" w:eastAsia="PMingLiU" w:hAnsi="Times New Roman"/>
          <w:sz w:val="24"/>
          <w:szCs w:val="24"/>
          <w:lang w:val="ru-RU"/>
        </w:rPr>
        <w:t>[ГОСТ 24856-2014].</w:t>
      </w:r>
    </w:p>
    <w:p>
      <w:pPr>
        <w:ind w:right="108"/>
        <w:rPr>
          <w:rFonts w:eastAsia="PMingLiU"/>
          <w:szCs w:val="22"/>
          <w:highlight w:val="yellow"/>
          <w:lang w:eastAsia="en-US"/>
        </w:rPr>
      </w:pPr>
    </w:p>
    <w:p>
      <w:pPr>
        <w:shd w:val="clear" w:color="auto" w:fill="FFFFFF" w:themeFill="background1"/>
        <w:rPr>
          <w:rFonts w:eastAsia="Calibri"/>
        </w:rPr>
      </w:pPr>
      <w:r>
        <w:rPr>
          <w:rFonts w:ascii="Arial" w:eastAsia="Calibri" w:hAnsi="Arial" w:cs="Arial"/>
          <w:b/>
          <w:i/>
          <w:caps/>
          <w:sz w:val="20"/>
        </w:rPr>
        <w:t xml:space="preserve">СЕДЛО </w:t>
      </w:r>
      <w:r>
        <w:rPr>
          <w:rFonts w:eastAsia="Calibri"/>
        </w:rPr>
        <w:t xml:space="preserve">– неподвижный или подвижный элемент затвора, установленный или сформированный в корпусе арматуры </w:t>
      </w:r>
      <w:r>
        <w:rPr>
          <w:rFonts w:eastAsia="PMingLiU"/>
          <w:szCs w:val="22"/>
          <w:lang w:eastAsia="en-US"/>
        </w:rPr>
        <w:t>[ГОСТ 24856-2014].</w:t>
      </w:r>
    </w:p>
    <w:p>
      <w:pPr>
        <w:ind w:right="108"/>
        <w:rPr>
          <w:rFonts w:eastAsia="PMingLiU"/>
          <w:szCs w:val="22"/>
          <w:highlight w:val="yellow"/>
          <w:lang w:eastAsia="en-US"/>
        </w:rPr>
      </w:pPr>
    </w:p>
    <w:p>
      <w:pPr>
        <w:shd w:val="clear" w:color="auto" w:fill="FFFFFF" w:themeFill="background1"/>
        <w:rPr>
          <w:rFonts w:eastAsia="Calibri"/>
          <w:caps/>
        </w:rPr>
      </w:pPr>
      <w:r>
        <w:rPr>
          <w:rFonts w:ascii="Arial" w:eastAsia="Calibri" w:hAnsi="Arial" w:cs="Arial"/>
          <w:b/>
          <w:i/>
          <w:caps/>
          <w:sz w:val="20"/>
        </w:rPr>
        <w:t xml:space="preserve">сейсмопрочность </w:t>
      </w:r>
      <w:r>
        <w:rPr>
          <w:rFonts w:eastAsia="Calibri"/>
        </w:rPr>
        <w:t>–</w:t>
      </w:r>
      <w:r>
        <w:rPr>
          <w:rFonts w:ascii="Arial" w:eastAsia="Calibri" w:hAnsi="Arial" w:cs="Arial"/>
          <w:b/>
          <w:i/>
          <w:caps/>
          <w:sz w:val="20"/>
        </w:rPr>
        <w:t xml:space="preserve"> </w:t>
      </w:r>
      <w:r>
        <w:rPr>
          <w:rFonts w:eastAsia="Calibri"/>
        </w:rPr>
        <w:t>свойство арматуры сохранять прочность и герметичность относительно внешней среды во время и после землетрясения [ГОСТ 31901-2013].</w:t>
      </w:r>
    </w:p>
    <w:p>
      <w:pPr>
        <w:ind w:right="108"/>
        <w:rPr>
          <w:rFonts w:eastAsia="PMingLiU"/>
          <w:szCs w:val="22"/>
          <w:highlight w:val="yellow"/>
          <w:lang w:eastAsia="en-US"/>
        </w:rPr>
      </w:pPr>
    </w:p>
    <w:p>
      <w:pPr>
        <w:shd w:val="clear" w:color="auto" w:fill="FFFFFF" w:themeFill="background1"/>
        <w:rPr>
          <w:rFonts w:eastAsia="Calibri"/>
          <w:caps/>
        </w:rPr>
      </w:pPr>
      <w:r>
        <w:rPr>
          <w:rFonts w:ascii="Arial" w:eastAsia="Calibri" w:hAnsi="Arial" w:cs="Arial"/>
          <w:b/>
          <w:i/>
          <w:caps/>
          <w:sz w:val="20"/>
        </w:rPr>
        <w:t xml:space="preserve">СЕЙСМОСТОЙКОСТЬ </w:t>
      </w:r>
      <w:r>
        <w:rPr>
          <w:rFonts w:eastAsia="Calibri"/>
        </w:rPr>
        <w:t>– свойство арматуры сохранять прочность, герметичность относительно внешней среды и функционирование (работоспособность) вовремя и после землетрясения [ГОСТ</w:t>
      </w:r>
      <w:r>
        <w:rPr>
          <w:rFonts w:eastAsia="Calibri"/>
          <w:lang w:val="en-US"/>
        </w:rPr>
        <w:t> </w:t>
      </w:r>
      <w:r>
        <w:rPr>
          <w:rFonts w:eastAsia="Calibri"/>
        </w:rPr>
        <w:t>31901-2013].</w:t>
      </w:r>
    </w:p>
    <w:p>
      <w:pPr>
        <w:rPr>
          <w:rFonts w:eastAsia="Calibri"/>
        </w:rPr>
      </w:pPr>
    </w:p>
    <w:p>
      <w:pPr>
        <w:autoSpaceDE w:val="0"/>
        <w:autoSpaceDN w:val="0"/>
        <w:adjustRightInd w:val="0"/>
      </w:pPr>
      <w:r>
        <w:rPr>
          <w:rFonts w:ascii="Arial" w:hAnsi="Arial" w:cs="Arial"/>
          <w:b/>
          <w:bCs/>
          <w:i/>
          <w:sz w:val="20"/>
          <w:szCs w:val="20"/>
        </w:rPr>
        <w:t xml:space="preserve">СТРОИТЕЛЬНАЯ ДЛИНА </w:t>
      </w:r>
      <w:r>
        <w:t xml:space="preserve">– </w:t>
      </w:r>
      <w:r>
        <w:rPr>
          <w:rFonts w:eastAsia="Times New Roman"/>
        </w:rPr>
        <w:t xml:space="preserve">линейный размер арматуры между наружными торцевыми плоскостями ее присоединительных частей к трубопроводу или оборудованию </w:t>
      </w:r>
      <w:r>
        <w:rPr>
          <w:rFonts w:eastAsia="Times New Roman"/>
        </w:rPr>
        <w:br/>
      </w:r>
      <w:r>
        <w:rPr>
          <w:rFonts w:eastAsia="PMingLiU"/>
          <w:szCs w:val="22"/>
          <w:lang w:eastAsia="en-US"/>
        </w:rPr>
        <w:t>[ГОСТ</w:t>
      </w:r>
      <w:r>
        <w:rPr>
          <w:rFonts w:eastAsia="PMingLiU"/>
          <w:szCs w:val="22"/>
          <w:lang w:val="en-US" w:eastAsia="en-US"/>
        </w:rPr>
        <w:t> </w:t>
      </w:r>
      <w:r>
        <w:rPr>
          <w:rFonts w:eastAsia="PMingLiU"/>
          <w:szCs w:val="22"/>
          <w:lang w:eastAsia="en-US"/>
        </w:rPr>
        <w:t>24856-2014].</w:t>
      </w:r>
    </w:p>
    <w:p>
      <w:pPr>
        <w:rPr>
          <w:rFonts w:eastAsia="Arial"/>
          <w:lang w:eastAsia="en-US"/>
        </w:rPr>
      </w:pPr>
    </w:p>
    <w:p>
      <w:pPr>
        <w:widowControl w:val="0"/>
        <w:rPr>
          <w:rFonts w:eastAsia="Times New Roman"/>
        </w:rPr>
      </w:pPr>
      <w:r>
        <w:rPr>
          <w:rFonts w:ascii="Arial" w:hAnsi="Arial" w:cs="Arial"/>
          <w:b/>
          <w:bCs/>
          <w:i/>
          <w:sz w:val="20"/>
          <w:szCs w:val="20"/>
        </w:rPr>
        <w:t>УГЛЕРОДНЫЙ ЭКВИВАЛЕНТ</w:t>
      </w:r>
      <w:r>
        <w:rPr>
          <w:rFonts w:eastAsia="Times New Roman"/>
          <w:b/>
          <w:bCs/>
        </w:rPr>
        <w:t xml:space="preserve"> </w:t>
      </w:r>
      <w:r>
        <w:t>– т</w:t>
      </w:r>
      <w:r>
        <w:rPr>
          <w:rFonts w:eastAsia="Times New Roman"/>
        </w:rPr>
        <w:t xml:space="preserve">ехнологический показатель для оценки склонности металла к появлению холодных трещин, характеризующий свариваемость сталей </w:t>
      </w:r>
      <w:r>
        <w:rPr>
          <w:rFonts w:eastAsia="PMingLiU"/>
          <w:szCs w:val="22"/>
          <w:lang w:eastAsia="en-US"/>
        </w:rPr>
        <w:t>[</w:t>
      </w:r>
      <w:r>
        <w:rPr>
          <w:rFonts w:eastAsia="PMingLiU"/>
          <w:lang w:eastAsia="en-US"/>
        </w:rPr>
        <w:t>ГОСТ</w:t>
      </w:r>
      <w:r>
        <w:rPr>
          <w:rFonts w:eastAsia="PMingLiU"/>
          <w:lang w:val="en-US" w:eastAsia="en-US"/>
        </w:rPr>
        <w:t> </w:t>
      </w:r>
      <w:r>
        <w:rPr>
          <w:rFonts w:eastAsia="PMingLiU"/>
          <w:lang w:eastAsia="en-US"/>
        </w:rPr>
        <w:t>33260-2015</w:t>
      </w:r>
      <w:r>
        <w:rPr>
          <w:rFonts w:eastAsia="PMingLiU"/>
          <w:szCs w:val="22"/>
          <w:lang w:eastAsia="en-US"/>
        </w:rPr>
        <w:t>]</w:t>
      </w:r>
      <w:r>
        <w:rPr>
          <w:rFonts w:eastAsia="Times New Roman"/>
        </w:rPr>
        <w:t>.</w:t>
      </w:r>
    </w:p>
    <w:p>
      <w:pPr>
        <w:widowControl w:val="0"/>
        <w:rPr>
          <w:rFonts w:eastAsia="Times New Roman"/>
        </w:rPr>
      </w:pPr>
    </w:p>
    <w:p>
      <w:pPr>
        <w:widowControl w:val="0"/>
        <w:rPr>
          <w:rFonts w:eastAsia="PMingLiU"/>
          <w:szCs w:val="22"/>
          <w:lang w:eastAsia="en-US"/>
        </w:rPr>
      </w:pPr>
      <w:r>
        <w:rPr>
          <w:rFonts w:ascii="Arial" w:hAnsi="Arial" w:cs="Arial"/>
          <w:b/>
          <w:bCs/>
          <w:i/>
          <w:sz w:val="20"/>
          <w:szCs w:val="20"/>
        </w:rPr>
        <w:t>ШАРОВОЙ КРАН</w:t>
      </w:r>
      <w:r>
        <w:t xml:space="preserve"> – кран, запирающий или регулирующий элемент которого имеет сферическую форму </w:t>
      </w:r>
      <w:r>
        <w:rPr>
          <w:rFonts w:eastAsia="PMingLiU"/>
          <w:szCs w:val="22"/>
          <w:lang w:eastAsia="en-US"/>
        </w:rPr>
        <w:t>[ГОСТ</w:t>
      </w:r>
      <w:r>
        <w:rPr>
          <w:rFonts w:eastAsia="PMingLiU"/>
          <w:szCs w:val="22"/>
          <w:lang w:val="en-US" w:eastAsia="en-US"/>
        </w:rPr>
        <w:t> </w:t>
      </w:r>
      <w:r>
        <w:rPr>
          <w:rFonts w:eastAsia="PMingLiU"/>
          <w:szCs w:val="22"/>
          <w:lang w:eastAsia="en-US"/>
        </w:rPr>
        <w:t>24856-2014].</w:t>
      </w:r>
    </w:p>
    <w:p>
      <w:pPr>
        <w:widowControl w:val="0"/>
        <w:rPr>
          <w:rFonts w:eastAsia="PMingLiU"/>
          <w:szCs w:val="22"/>
          <w:lang w:eastAsia="en-US"/>
        </w:rPr>
      </w:pPr>
    </w:p>
    <w:p>
      <w:pPr>
        <w:widowControl w:val="0"/>
        <w:rPr>
          <w:rFonts w:eastAsia="Times New Roman"/>
        </w:rPr>
      </w:pPr>
      <w:r>
        <w:rPr>
          <w:rFonts w:ascii="Arial" w:hAnsi="Arial" w:cs="Arial"/>
          <w:b/>
          <w:bCs/>
          <w:i/>
          <w:sz w:val="20"/>
          <w:szCs w:val="20"/>
        </w:rPr>
        <w:t>ШАРОВОЙ КРАН С ПЛАВАЮЩЕЙ ПРОБКОЙ</w:t>
      </w:r>
      <w:r>
        <w:rPr>
          <w:rFonts w:eastAsia="Times New Roman"/>
        </w:rPr>
        <w:t xml:space="preserve"> </w:t>
      </w:r>
      <w:r>
        <w:t xml:space="preserve">– </w:t>
      </w:r>
      <w:r>
        <w:rPr>
          <w:rFonts w:eastAsia="Times New Roman"/>
        </w:rPr>
        <w:t xml:space="preserve">шаровой кран, пробка которого фиксируется уплотнительными седлами </w:t>
      </w:r>
      <w:r>
        <w:rPr>
          <w:rFonts w:eastAsia="PMingLiU"/>
          <w:lang w:eastAsia="en-US"/>
        </w:rPr>
        <w:t>[ГОСТ</w:t>
      </w:r>
      <w:r>
        <w:rPr>
          <w:rFonts w:eastAsia="PMingLiU"/>
          <w:lang w:val="en-US" w:eastAsia="en-US"/>
        </w:rPr>
        <w:t> </w:t>
      </w:r>
      <w:r>
        <w:rPr>
          <w:rFonts w:eastAsia="PMingLiU"/>
          <w:lang w:eastAsia="en-US"/>
        </w:rPr>
        <w:t>24856-2014]</w:t>
      </w:r>
      <w:r>
        <w:rPr>
          <w:spacing w:val="-1"/>
        </w:rPr>
        <w:t>.</w:t>
      </w:r>
    </w:p>
    <w:p>
      <w:pPr>
        <w:widowControl w:val="0"/>
      </w:pPr>
      <w:r>
        <w:rPr>
          <w:rFonts w:ascii="Arial" w:eastAsia="Times New Roman" w:hAnsi="Arial" w:cs="Arial"/>
          <w:b/>
          <w:bCs/>
          <w:i/>
          <w:sz w:val="20"/>
          <w:szCs w:val="20"/>
        </w:rPr>
        <w:lastRenderedPageBreak/>
        <w:t>ШАРОВОЙ КРАН С ПРОБКОЙ В ОПОРАХ</w:t>
      </w:r>
      <w:r>
        <w:rPr>
          <w:rFonts w:eastAsia="Times New Roman"/>
        </w:rPr>
        <w:t xml:space="preserve"> </w:t>
      </w:r>
      <w:r>
        <w:t xml:space="preserve">– </w:t>
      </w:r>
      <w:r>
        <w:rPr>
          <w:rFonts w:eastAsia="Times New Roman"/>
        </w:rPr>
        <w:t xml:space="preserve">шаровой кран, пробка которого фиксируется цапфами в крышке и корпусе крана </w:t>
      </w:r>
      <w:r>
        <w:rPr>
          <w:rFonts w:eastAsia="PMingLiU"/>
          <w:lang w:eastAsia="en-US"/>
        </w:rPr>
        <w:t>[ГОСТ</w:t>
      </w:r>
      <w:r>
        <w:rPr>
          <w:rFonts w:eastAsia="PMingLiU"/>
          <w:lang w:val="en-US" w:eastAsia="en-US"/>
        </w:rPr>
        <w:t> </w:t>
      </w:r>
      <w:r>
        <w:rPr>
          <w:rFonts w:eastAsia="PMingLiU"/>
          <w:lang w:eastAsia="en-US"/>
        </w:rPr>
        <w:t>24856-2014]</w:t>
      </w:r>
      <w:r>
        <w:rPr>
          <w:spacing w:val="-1"/>
        </w:rPr>
        <w:t>.</w:t>
      </w:r>
    </w:p>
    <w:p>
      <w:pPr>
        <w:autoSpaceDE w:val="0"/>
        <w:autoSpaceDN w:val="0"/>
        <w:adjustRightInd w:val="0"/>
      </w:pPr>
    </w:p>
    <w:p>
      <w:pPr>
        <w:pStyle w:val="TableParagraph"/>
        <w:rPr>
          <w:rFonts w:ascii="Times New Roman" w:eastAsia="Arial" w:hAnsi="Times New Roman"/>
          <w:sz w:val="24"/>
          <w:szCs w:val="24"/>
          <w:lang w:val="ru-RU"/>
        </w:rPr>
      </w:pPr>
      <w:r>
        <w:rPr>
          <w:rFonts w:ascii="Arial" w:hAnsi="Arial"/>
          <w:b/>
          <w:i/>
          <w:spacing w:val="-1"/>
          <w:sz w:val="20"/>
          <w:szCs w:val="20"/>
          <w:lang w:val="ru-RU"/>
        </w:rPr>
        <w:t xml:space="preserve">ФЛАНЕЦ </w:t>
      </w:r>
      <w:r>
        <w:rPr>
          <w:lang w:val="ru-RU"/>
        </w:rPr>
        <w:t>–</w:t>
      </w:r>
      <w:r>
        <w:rPr>
          <w:rFonts w:ascii="Arial" w:hAnsi="Arial"/>
          <w:spacing w:val="-1"/>
          <w:sz w:val="24"/>
          <w:lang w:val="ru-RU"/>
        </w:rPr>
        <w:t xml:space="preserve"> </w:t>
      </w:r>
      <w:r>
        <w:rPr>
          <w:rFonts w:ascii="Times New Roman" w:hAnsi="Times New Roman"/>
          <w:spacing w:val="-1"/>
          <w:sz w:val="24"/>
          <w:lang w:val="ru-RU"/>
        </w:rPr>
        <w:t>элемент</w:t>
      </w:r>
      <w:r>
        <w:rPr>
          <w:rFonts w:ascii="Times New Roman" w:hAnsi="Times New Roman"/>
          <w:spacing w:val="34"/>
          <w:sz w:val="24"/>
          <w:lang w:val="ru-RU"/>
        </w:rPr>
        <w:t xml:space="preserve"> </w:t>
      </w:r>
      <w:r>
        <w:rPr>
          <w:rFonts w:ascii="Times New Roman" w:hAnsi="Times New Roman"/>
          <w:spacing w:val="-1"/>
          <w:sz w:val="24"/>
          <w:lang w:val="ru-RU"/>
        </w:rPr>
        <w:t>арматуры</w:t>
      </w:r>
      <w:r>
        <w:rPr>
          <w:rFonts w:ascii="Times New Roman" w:hAnsi="Times New Roman"/>
          <w:spacing w:val="34"/>
          <w:sz w:val="24"/>
          <w:lang w:val="ru-RU"/>
        </w:rPr>
        <w:t xml:space="preserve"> </w:t>
      </w:r>
      <w:r>
        <w:rPr>
          <w:rFonts w:ascii="Times New Roman" w:hAnsi="Times New Roman"/>
          <w:spacing w:val="-1"/>
          <w:sz w:val="24"/>
          <w:lang w:val="ru-RU"/>
        </w:rPr>
        <w:t>для</w:t>
      </w:r>
      <w:r>
        <w:rPr>
          <w:rFonts w:ascii="Times New Roman" w:hAnsi="Times New Roman"/>
          <w:spacing w:val="32"/>
          <w:sz w:val="24"/>
          <w:lang w:val="ru-RU"/>
        </w:rPr>
        <w:t xml:space="preserve"> </w:t>
      </w:r>
      <w:r>
        <w:rPr>
          <w:rFonts w:ascii="Times New Roman" w:hAnsi="Times New Roman"/>
          <w:spacing w:val="-1"/>
          <w:sz w:val="24"/>
          <w:lang w:val="ru-RU"/>
        </w:rPr>
        <w:t>соединения</w:t>
      </w:r>
      <w:r>
        <w:rPr>
          <w:rFonts w:ascii="Times New Roman" w:hAnsi="Times New Roman"/>
          <w:spacing w:val="37"/>
          <w:sz w:val="24"/>
          <w:lang w:val="ru-RU"/>
        </w:rPr>
        <w:t xml:space="preserve"> </w:t>
      </w:r>
      <w:r>
        <w:rPr>
          <w:rFonts w:ascii="Times New Roman" w:hAnsi="Times New Roman"/>
          <w:sz w:val="24"/>
          <w:lang w:val="ru-RU"/>
        </w:rPr>
        <w:t>с</w:t>
      </w:r>
      <w:r>
        <w:rPr>
          <w:rFonts w:ascii="Times New Roman" w:hAnsi="Times New Roman"/>
          <w:spacing w:val="34"/>
          <w:sz w:val="24"/>
          <w:lang w:val="ru-RU"/>
        </w:rPr>
        <w:t xml:space="preserve"> </w:t>
      </w:r>
      <w:r>
        <w:rPr>
          <w:rFonts w:ascii="Times New Roman" w:hAnsi="Times New Roman"/>
          <w:spacing w:val="-2"/>
          <w:sz w:val="24"/>
          <w:lang w:val="ru-RU"/>
        </w:rPr>
        <w:t>тру</w:t>
      </w:r>
      <w:r>
        <w:rPr>
          <w:rFonts w:ascii="Times New Roman" w:hAnsi="Times New Roman"/>
          <w:spacing w:val="-1"/>
          <w:sz w:val="24"/>
          <w:lang w:val="ru-RU"/>
        </w:rPr>
        <w:t>бопроводом</w:t>
      </w:r>
      <w:r>
        <w:rPr>
          <w:rFonts w:ascii="Times New Roman" w:hAnsi="Times New Roman"/>
          <w:spacing w:val="15"/>
          <w:sz w:val="24"/>
          <w:lang w:val="ru-RU"/>
        </w:rPr>
        <w:t xml:space="preserve"> </w:t>
      </w:r>
      <w:r>
        <w:rPr>
          <w:rFonts w:ascii="Times New Roman" w:hAnsi="Times New Roman"/>
          <w:sz w:val="24"/>
          <w:lang w:val="ru-RU"/>
        </w:rPr>
        <w:t>или</w:t>
      </w:r>
      <w:r>
        <w:rPr>
          <w:rFonts w:ascii="Times New Roman" w:hAnsi="Times New Roman"/>
          <w:spacing w:val="14"/>
          <w:sz w:val="24"/>
          <w:lang w:val="ru-RU"/>
        </w:rPr>
        <w:t xml:space="preserve"> </w:t>
      </w:r>
      <w:r>
        <w:rPr>
          <w:rFonts w:ascii="Times New Roman" w:hAnsi="Times New Roman"/>
          <w:spacing w:val="-1"/>
          <w:sz w:val="24"/>
          <w:lang w:val="ru-RU"/>
        </w:rPr>
        <w:t>оборудованием,</w:t>
      </w:r>
      <w:r>
        <w:rPr>
          <w:rFonts w:ascii="Times New Roman" w:hAnsi="Times New Roman"/>
          <w:spacing w:val="15"/>
          <w:sz w:val="24"/>
          <w:lang w:val="ru-RU"/>
        </w:rPr>
        <w:t xml:space="preserve"> </w:t>
      </w:r>
      <w:r>
        <w:rPr>
          <w:rFonts w:ascii="Times New Roman" w:hAnsi="Times New Roman"/>
          <w:spacing w:val="-1"/>
          <w:sz w:val="24"/>
          <w:lang w:val="ru-RU"/>
        </w:rPr>
        <w:t>выполненный</w:t>
      </w:r>
      <w:r>
        <w:rPr>
          <w:rFonts w:ascii="Times New Roman" w:hAnsi="Times New Roman"/>
          <w:spacing w:val="15"/>
          <w:sz w:val="24"/>
          <w:lang w:val="ru-RU"/>
        </w:rPr>
        <w:t xml:space="preserve"> </w:t>
      </w:r>
      <w:r>
        <w:rPr>
          <w:rFonts w:ascii="Times New Roman" w:hAnsi="Times New Roman"/>
          <w:sz w:val="24"/>
          <w:lang w:val="ru-RU"/>
        </w:rPr>
        <w:t>в</w:t>
      </w:r>
      <w:r>
        <w:rPr>
          <w:rFonts w:ascii="Times New Roman" w:hAnsi="Times New Roman"/>
          <w:spacing w:val="14"/>
          <w:sz w:val="24"/>
          <w:lang w:val="ru-RU"/>
        </w:rPr>
        <w:t xml:space="preserve"> </w:t>
      </w:r>
      <w:r>
        <w:rPr>
          <w:rFonts w:ascii="Times New Roman" w:hAnsi="Times New Roman"/>
          <w:spacing w:val="-1"/>
          <w:sz w:val="24"/>
          <w:lang w:val="ru-RU"/>
        </w:rPr>
        <w:t>виде</w:t>
      </w:r>
      <w:r>
        <w:rPr>
          <w:rFonts w:ascii="Times New Roman" w:hAnsi="Times New Roman"/>
          <w:spacing w:val="61"/>
          <w:sz w:val="24"/>
          <w:lang w:val="ru-RU"/>
        </w:rPr>
        <w:t xml:space="preserve"> </w:t>
      </w:r>
      <w:r>
        <w:rPr>
          <w:rFonts w:ascii="Times New Roman" w:hAnsi="Times New Roman"/>
          <w:spacing w:val="-1"/>
          <w:sz w:val="24"/>
          <w:lang w:val="ru-RU"/>
        </w:rPr>
        <w:t>плоского</w:t>
      </w:r>
      <w:r>
        <w:rPr>
          <w:rFonts w:ascii="Times New Roman" w:hAnsi="Times New Roman"/>
          <w:spacing w:val="15"/>
          <w:sz w:val="24"/>
          <w:lang w:val="ru-RU"/>
        </w:rPr>
        <w:t xml:space="preserve"> </w:t>
      </w:r>
      <w:r>
        <w:rPr>
          <w:rFonts w:ascii="Times New Roman" w:hAnsi="Times New Roman"/>
          <w:spacing w:val="-1"/>
          <w:sz w:val="24"/>
          <w:lang w:val="ru-RU"/>
        </w:rPr>
        <w:t>кольца</w:t>
      </w:r>
      <w:r>
        <w:rPr>
          <w:rFonts w:ascii="Times New Roman" w:hAnsi="Times New Roman"/>
          <w:spacing w:val="13"/>
          <w:sz w:val="24"/>
          <w:lang w:val="ru-RU"/>
        </w:rPr>
        <w:t xml:space="preserve"> </w:t>
      </w:r>
      <w:r>
        <w:rPr>
          <w:rFonts w:ascii="Times New Roman" w:hAnsi="Times New Roman"/>
          <w:sz w:val="24"/>
          <w:lang w:val="ru-RU"/>
        </w:rPr>
        <w:t>с</w:t>
      </w:r>
      <w:r>
        <w:rPr>
          <w:rFonts w:ascii="Times New Roman" w:hAnsi="Times New Roman"/>
          <w:spacing w:val="15"/>
          <w:sz w:val="24"/>
          <w:lang w:val="ru-RU"/>
        </w:rPr>
        <w:t xml:space="preserve"> </w:t>
      </w:r>
      <w:r>
        <w:rPr>
          <w:rFonts w:ascii="Times New Roman" w:hAnsi="Times New Roman"/>
          <w:spacing w:val="-1"/>
          <w:sz w:val="24"/>
          <w:lang w:val="ru-RU"/>
        </w:rPr>
        <w:t>уплотнительной</w:t>
      </w:r>
      <w:r>
        <w:rPr>
          <w:rFonts w:ascii="Times New Roman" w:hAnsi="Times New Roman"/>
          <w:spacing w:val="15"/>
          <w:sz w:val="24"/>
          <w:lang w:val="ru-RU"/>
        </w:rPr>
        <w:t xml:space="preserve"> </w:t>
      </w:r>
      <w:r>
        <w:rPr>
          <w:rFonts w:ascii="Times New Roman" w:hAnsi="Times New Roman"/>
          <w:spacing w:val="-1"/>
          <w:sz w:val="24"/>
          <w:lang w:val="ru-RU"/>
        </w:rPr>
        <w:t>поверхностью</w:t>
      </w:r>
      <w:r>
        <w:rPr>
          <w:rFonts w:ascii="Times New Roman" w:hAnsi="Times New Roman"/>
          <w:spacing w:val="14"/>
          <w:sz w:val="24"/>
          <w:lang w:val="ru-RU"/>
        </w:rPr>
        <w:t xml:space="preserve"> </w:t>
      </w:r>
      <w:r>
        <w:rPr>
          <w:rFonts w:ascii="Times New Roman" w:hAnsi="Times New Roman"/>
          <w:sz w:val="24"/>
          <w:lang w:val="ru-RU"/>
        </w:rPr>
        <w:t>и</w:t>
      </w:r>
      <w:r>
        <w:rPr>
          <w:rFonts w:ascii="Times New Roman" w:hAnsi="Times New Roman"/>
          <w:spacing w:val="28"/>
          <w:sz w:val="24"/>
          <w:lang w:val="ru-RU"/>
        </w:rPr>
        <w:t xml:space="preserve"> </w:t>
      </w:r>
      <w:r>
        <w:rPr>
          <w:rFonts w:ascii="Times New Roman" w:hAnsi="Times New Roman"/>
          <w:sz w:val="24"/>
          <w:lang w:val="ru-RU"/>
        </w:rPr>
        <w:t>с</w:t>
      </w:r>
      <w:r>
        <w:rPr>
          <w:rFonts w:ascii="Times New Roman" w:hAnsi="Times New Roman"/>
          <w:spacing w:val="49"/>
          <w:sz w:val="24"/>
          <w:lang w:val="ru-RU"/>
        </w:rPr>
        <w:t xml:space="preserve"> </w:t>
      </w:r>
      <w:r>
        <w:rPr>
          <w:rFonts w:ascii="Times New Roman" w:hAnsi="Times New Roman"/>
          <w:spacing w:val="-1"/>
          <w:sz w:val="24"/>
          <w:lang w:val="ru-RU"/>
        </w:rPr>
        <w:t>расположенными</w:t>
      </w:r>
      <w:r>
        <w:rPr>
          <w:rFonts w:ascii="Times New Roman" w:hAnsi="Times New Roman"/>
          <w:sz w:val="24"/>
          <w:lang w:val="ru-RU"/>
        </w:rPr>
        <w:t xml:space="preserve"> </w:t>
      </w:r>
      <w:r>
        <w:rPr>
          <w:rFonts w:ascii="Times New Roman" w:hAnsi="Times New Roman"/>
          <w:spacing w:val="-1"/>
          <w:sz w:val="24"/>
          <w:lang w:val="ru-RU"/>
        </w:rPr>
        <w:t>отверстиями</w:t>
      </w:r>
      <w:r>
        <w:rPr>
          <w:rFonts w:ascii="Times New Roman" w:hAnsi="Times New Roman"/>
          <w:spacing w:val="-3"/>
          <w:sz w:val="24"/>
          <w:lang w:val="ru-RU"/>
        </w:rPr>
        <w:t xml:space="preserve"> </w:t>
      </w:r>
      <w:r>
        <w:rPr>
          <w:rFonts w:ascii="Times New Roman" w:hAnsi="Times New Roman"/>
          <w:spacing w:val="-1"/>
          <w:sz w:val="24"/>
          <w:lang w:val="ru-RU"/>
        </w:rPr>
        <w:t>для</w:t>
      </w:r>
      <w:r>
        <w:rPr>
          <w:rFonts w:ascii="Times New Roman" w:hAnsi="Times New Roman"/>
          <w:sz w:val="24"/>
          <w:lang w:val="ru-RU"/>
        </w:rPr>
        <w:t xml:space="preserve"> </w:t>
      </w:r>
      <w:r>
        <w:rPr>
          <w:rFonts w:ascii="Times New Roman" w:hAnsi="Times New Roman"/>
          <w:spacing w:val="-1"/>
          <w:sz w:val="24"/>
          <w:lang w:val="ru-RU"/>
        </w:rPr>
        <w:t>крепежных</w:t>
      </w:r>
      <w:r>
        <w:rPr>
          <w:rFonts w:ascii="Times New Roman" w:hAnsi="Times New Roman"/>
          <w:spacing w:val="-3"/>
          <w:sz w:val="24"/>
          <w:lang w:val="ru-RU"/>
        </w:rPr>
        <w:t xml:space="preserve"> </w:t>
      </w:r>
      <w:r>
        <w:rPr>
          <w:rFonts w:ascii="Times New Roman" w:hAnsi="Times New Roman"/>
          <w:spacing w:val="-1"/>
          <w:sz w:val="24"/>
          <w:szCs w:val="24"/>
          <w:lang w:val="ru-RU"/>
        </w:rPr>
        <w:t>деталей [ГОСТ</w:t>
      </w:r>
      <w:r>
        <w:rPr>
          <w:rFonts w:ascii="Times New Roman" w:hAnsi="Times New Roman"/>
          <w:spacing w:val="-1"/>
          <w:sz w:val="24"/>
          <w:szCs w:val="24"/>
        </w:rPr>
        <w:t> </w:t>
      </w:r>
      <w:r>
        <w:rPr>
          <w:rFonts w:ascii="Times New Roman" w:hAnsi="Times New Roman"/>
          <w:spacing w:val="-1"/>
          <w:sz w:val="24"/>
          <w:szCs w:val="24"/>
          <w:lang w:val="ru-RU"/>
        </w:rPr>
        <w:t>24856-2014]</w:t>
      </w:r>
      <w:r>
        <w:rPr>
          <w:rFonts w:ascii="Times New Roman" w:eastAsia="PMingLiU" w:hAnsi="Times New Roman"/>
          <w:sz w:val="24"/>
          <w:szCs w:val="24"/>
          <w:lang w:val="ru-RU"/>
        </w:rPr>
        <w:t>.</w:t>
      </w:r>
    </w:p>
    <w:p>
      <w:pPr>
        <w:pStyle w:val="S0"/>
      </w:pPr>
    </w:p>
    <w:p>
      <w:pPr>
        <w:pStyle w:val="S0"/>
      </w:pPr>
    </w:p>
    <w:p>
      <w:pPr>
        <w:pStyle w:val="S0"/>
        <w:rPr>
          <w:rFonts w:ascii="Arial" w:hAnsi="Arial" w:cs="Arial"/>
          <w:b/>
          <w:caps/>
        </w:rPr>
      </w:pPr>
      <w:bookmarkStart w:id="50" w:name="_Toc401843511"/>
      <w:r>
        <w:rPr>
          <w:rFonts w:ascii="Arial" w:hAnsi="Arial" w:cs="Arial"/>
          <w:b/>
          <w:caps/>
        </w:rPr>
        <w:t>ТЕРМИНЫ И ОПРЕДЕЛЕНИЯ ДЛЯ ЦЕЛЕЙ НАСТОЯЩЕГО ДОКУМЕНТА</w:t>
      </w:r>
      <w:bookmarkEnd w:id="50"/>
    </w:p>
    <w:p>
      <w:pPr>
        <w:pStyle w:val="S0"/>
      </w:pPr>
    </w:p>
    <w:p>
      <w:pPr>
        <w:widowControl w:val="0"/>
        <w:rPr>
          <w:bCs/>
          <w:szCs w:val="20"/>
        </w:rPr>
      </w:pPr>
      <w:r>
        <w:rPr>
          <w:rFonts w:ascii="Arial" w:hAnsi="Arial" w:cs="Arial"/>
          <w:b/>
          <w:bCs/>
          <w:i/>
          <w:sz w:val="20"/>
          <w:szCs w:val="20"/>
        </w:rPr>
        <w:t xml:space="preserve">ВОДОРОДНОЕ РАСТРЕСКИВАНИЕ </w:t>
      </w:r>
      <w:r>
        <w:rPr>
          <w:bCs/>
          <w:szCs w:val="20"/>
        </w:rPr>
        <w:t>– плоскостное растрескивание, которое происходит в углеродистых и низколегированных сталях, когда атомный водород диффундирует в сталь, а затем химически соединяется, образуя молекулярный водород в узлах ловушках.</w:t>
      </w:r>
    </w:p>
    <w:p>
      <w:pPr>
        <w:widowControl w:val="0"/>
        <w:rPr>
          <w:bCs/>
          <w:szCs w:val="20"/>
        </w:rPr>
      </w:pPr>
    </w:p>
    <w:p>
      <w:pPr>
        <w:rPr>
          <w:rFonts w:eastAsia="Times New Roman"/>
          <w:bCs/>
        </w:rPr>
      </w:pPr>
      <w:r>
        <w:rPr>
          <w:rFonts w:ascii="Arial" w:eastAsia="Times New Roman" w:hAnsi="Arial" w:cs="Arial"/>
          <w:b/>
          <w:i/>
          <w:sz w:val="20"/>
          <w:szCs w:val="20"/>
        </w:rPr>
        <w:t xml:space="preserve">ОПРОСНЫЙ ЛИСТ </w:t>
      </w:r>
      <w:r>
        <w:rPr>
          <w:rFonts w:ascii="Calibri" w:eastAsia="Times New Roman" w:hAnsi="Calibri"/>
          <w:bCs/>
        </w:rPr>
        <w:t xml:space="preserve">– </w:t>
      </w:r>
      <w:r>
        <w:rPr>
          <w:rFonts w:eastAsia="Times New Roman"/>
          <w:bCs/>
        </w:rPr>
        <w:t>документ в составе заказной документации, устанавливающий технические параметры и другие необходимые требования к серийно выпускаемым оборудованию и изделиям.</w:t>
      </w:r>
    </w:p>
    <w:p>
      <w:pPr>
        <w:widowControl w:val="0"/>
        <w:rPr>
          <w:bCs/>
          <w:szCs w:val="20"/>
        </w:rPr>
      </w:pPr>
    </w:p>
    <w:p>
      <w:pPr>
        <w:widowControl w:val="0"/>
        <w:rPr>
          <w:rFonts w:ascii="Arial" w:hAnsi="Arial" w:cs="Arial"/>
          <w:b/>
          <w:bCs/>
          <w:i/>
          <w:sz w:val="20"/>
          <w:szCs w:val="20"/>
        </w:rPr>
      </w:pPr>
      <w:r>
        <w:rPr>
          <w:rFonts w:ascii="Arial" w:hAnsi="Arial" w:cs="Arial"/>
          <w:b/>
          <w:bCs/>
          <w:i/>
          <w:sz w:val="20"/>
          <w:szCs w:val="20"/>
        </w:rPr>
        <w:t xml:space="preserve">ОСНОВНЫЕ ДЕТАЛИ КРАНА ШАРОВОГО </w:t>
      </w:r>
      <w:r>
        <w:rPr>
          <w:bCs/>
          <w:szCs w:val="20"/>
        </w:rPr>
        <w:t xml:space="preserve">– </w:t>
      </w:r>
      <w:r>
        <w:rPr>
          <w:rFonts w:eastAsia="Times New Roman"/>
        </w:rPr>
        <w:t>детали арматуры, разрушение которых может привести к разгерметизации арматуры по отношению к окружающей среде</w:t>
      </w:r>
      <w:r>
        <w:rPr>
          <w:bCs/>
          <w:szCs w:val="20"/>
        </w:rPr>
        <w:t xml:space="preserve"> и невозможности функционирования (например, корпус, крышка, крепеж, шпиндель).</w:t>
      </w:r>
    </w:p>
    <w:p>
      <w:pPr>
        <w:pStyle w:val="S0"/>
        <w:rPr>
          <w:rFonts w:eastAsia="PMingLiU"/>
          <w:lang w:eastAsia="en-US"/>
        </w:rPr>
        <w:sectPr>
          <w:headerReference w:type="even" r:id="rId21"/>
          <w:headerReference w:type="default" r:id="rId22"/>
          <w:headerReference w:type="first" r:id="rId23"/>
          <w:pgSz w:w="11906" w:h="16838" w:code="9"/>
          <w:pgMar w:top="510" w:right="1021" w:bottom="567" w:left="1247" w:header="737" w:footer="680" w:gutter="0"/>
          <w:cols w:space="708"/>
          <w:docGrid w:linePitch="360"/>
        </w:sectPr>
      </w:pPr>
    </w:p>
    <w:p>
      <w:pPr>
        <w:pStyle w:val="S13"/>
        <w:numPr>
          <w:ilvl w:val="0"/>
          <w:numId w:val="6"/>
        </w:numPr>
        <w:ind w:left="0" w:firstLine="0"/>
      </w:pPr>
      <w:bookmarkStart w:id="51" w:name="_Toc149979455"/>
      <w:bookmarkStart w:id="52" w:name="_Toc149981756"/>
      <w:bookmarkStart w:id="53" w:name="_Toc149983144"/>
      <w:bookmarkStart w:id="54" w:name="_Toc256007196"/>
      <w:bookmarkStart w:id="55" w:name="_Toc326675495"/>
      <w:bookmarkStart w:id="56" w:name="_Toc400458563"/>
      <w:bookmarkStart w:id="57" w:name="_Toc481662363"/>
      <w:bookmarkStart w:id="58" w:name="_Toc514169504"/>
      <w:r>
        <w:rPr>
          <w:caps w:val="0"/>
        </w:rPr>
        <w:lastRenderedPageBreak/>
        <w:t>ОБОЗНАЧЕНИЯ И СОКРАЩЕНИЯ</w:t>
      </w:r>
      <w:bookmarkEnd w:id="51"/>
      <w:bookmarkEnd w:id="52"/>
      <w:bookmarkEnd w:id="53"/>
      <w:bookmarkEnd w:id="54"/>
      <w:bookmarkEnd w:id="55"/>
      <w:bookmarkEnd w:id="56"/>
      <w:bookmarkEnd w:id="57"/>
      <w:bookmarkEnd w:id="58"/>
    </w:p>
    <w:p>
      <w:pPr>
        <w:pStyle w:val="S0"/>
      </w:pPr>
    </w:p>
    <w:p>
      <w:pPr>
        <w:pStyle w:val="S0"/>
      </w:pPr>
    </w:p>
    <w:p>
      <w:pPr>
        <w:ind w:right="108"/>
        <w:rPr>
          <w:rFonts w:eastAsia="PMingLiU"/>
          <w:szCs w:val="22"/>
          <w:lang w:eastAsia="en-US"/>
        </w:rPr>
      </w:pPr>
      <w:r>
        <w:rPr>
          <w:rFonts w:ascii="Arial" w:eastAsia="PMingLiU" w:hAnsi="Arial" w:cs="Arial"/>
          <w:b/>
          <w:i/>
          <w:sz w:val="20"/>
          <w:szCs w:val="20"/>
          <w:lang w:eastAsia="en-US"/>
        </w:rPr>
        <w:t xml:space="preserve">АКП </w:t>
      </w:r>
      <w:r>
        <w:rPr>
          <w:rFonts w:eastAsia="PMingLiU"/>
          <w:szCs w:val="22"/>
          <w:lang w:eastAsia="en-US"/>
        </w:rPr>
        <w:t>– антикоррозионное покрытие.</w:t>
      </w:r>
    </w:p>
    <w:p/>
    <w:p>
      <w:pPr>
        <w:rPr>
          <w:rFonts w:eastAsia="Calibri"/>
          <w:bCs/>
        </w:rPr>
      </w:pPr>
      <w:r>
        <w:rPr>
          <w:rFonts w:ascii="Arial" w:eastAsia="Calibri" w:hAnsi="Arial" w:cs="Arial"/>
          <w:b/>
          <w:i/>
          <w:sz w:val="20"/>
          <w:szCs w:val="20"/>
        </w:rPr>
        <w:t xml:space="preserve">ВИК </w:t>
      </w:r>
      <w:r>
        <w:rPr>
          <w:rFonts w:ascii="Arial" w:eastAsia="Calibri" w:hAnsi="Arial" w:cs="Arial"/>
          <w:sz w:val="20"/>
          <w:szCs w:val="20"/>
        </w:rPr>
        <w:t>–</w:t>
      </w:r>
      <w:r>
        <w:rPr>
          <w:rFonts w:ascii="Arial" w:eastAsia="Calibri" w:hAnsi="Arial" w:cs="Arial"/>
          <w:b/>
          <w:i/>
          <w:sz w:val="20"/>
          <w:szCs w:val="20"/>
        </w:rPr>
        <w:t xml:space="preserve"> </w:t>
      </w:r>
      <w:r>
        <w:rPr>
          <w:rFonts w:eastAsia="Calibri"/>
          <w:bCs/>
        </w:rPr>
        <w:t>визуальный и измерительный контроль.</w:t>
      </w:r>
    </w:p>
    <w:p>
      <w:pPr>
        <w:rPr>
          <w:rFonts w:eastAsia="Calibri"/>
          <w:bCs/>
        </w:rPr>
      </w:pPr>
    </w:p>
    <w:p>
      <w:r>
        <w:rPr>
          <w:rFonts w:ascii="Arial" w:eastAsia="Calibri" w:hAnsi="Arial" w:cs="Arial"/>
          <w:b/>
          <w:i/>
          <w:sz w:val="20"/>
          <w:szCs w:val="20"/>
        </w:rPr>
        <w:t xml:space="preserve">ВР </w:t>
      </w:r>
      <w:r>
        <w:rPr>
          <w:rFonts w:eastAsia="Calibri"/>
        </w:rPr>
        <w:t>– водородное растрескивание</w:t>
      </w:r>
      <w:r>
        <w:t>.</w:t>
      </w:r>
    </w:p>
    <w:p>
      <w:pPr>
        <w:pStyle w:val="S0"/>
        <w:rPr>
          <w:rFonts w:eastAsia="PMingLiU"/>
          <w:lang w:eastAsia="en-US"/>
        </w:rPr>
      </w:pPr>
    </w:p>
    <w:p>
      <w:pPr>
        <w:rPr>
          <w:rFonts w:ascii="Arial" w:eastAsia="Calibri" w:hAnsi="Arial" w:cs="Arial"/>
          <w:b/>
          <w:i/>
          <w:sz w:val="20"/>
          <w:szCs w:val="20"/>
        </w:rPr>
      </w:pPr>
      <w:r>
        <w:rPr>
          <w:rFonts w:ascii="Arial" w:eastAsia="Calibri" w:hAnsi="Arial" w:cs="Arial"/>
          <w:b/>
          <w:i/>
          <w:sz w:val="20"/>
          <w:szCs w:val="20"/>
        </w:rPr>
        <w:t xml:space="preserve">ЖК – </w:t>
      </w:r>
      <w:r>
        <w:rPr>
          <w:rFonts w:eastAsia="Calibri"/>
        </w:rPr>
        <w:t>жидкокристаллический.</w:t>
      </w:r>
    </w:p>
    <w:p/>
    <w:p>
      <w:pPr>
        <w:ind w:right="108"/>
        <w:rPr>
          <w:rFonts w:eastAsia="PMingLiU"/>
          <w:szCs w:val="22"/>
          <w:lang w:eastAsia="en-US"/>
        </w:rPr>
      </w:pPr>
      <w:r>
        <w:rPr>
          <w:rFonts w:ascii="Arial" w:eastAsia="PMingLiU" w:hAnsi="Arial" w:cs="Arial"/>
          <w:b/>
          <w:i/>
          <w:sz w:val="20"/>
          <w:szCs w:val="20"/>
          <w:lang w:eastAsia="en-US"/>
        </w:rPr>
        <w:t>ЗИП</w:t>
      </w:r>
      <w:r>
        <w:rPr>
          <w:rFonts w:eastAsia="PMingLiU"/>
          <w:b/>
          <w:szCs w:val="22"/>
          <w:lang w:eastAsia="en-US"/>
        </w:rPr>
        <w:t xml:space="preserve"> </w:t>
      </w:r>
      <w:r>
        <w:rPr>
          <w:rFonts w:eastAsia="PMingLiU"/>
          <w:szCs w:val="22"/>
          <w:lang w:eastAsia="en-US"/>
        </w:rPr>
        <w:t xml:space="preserve">– </w:t>
      </w:r>
      <w:hyperlink r:id="rId24" w:tooltip="Запасная часть (изделие) (страница отсутствует)" w:history="1">
        <w:r>
          <w:rPr>
            <w:rFonts w:eastAsia="PMingLiU"/>
            <w:szCs w:val="22"/>
            <w:lang w:eastAsia="en-US"/>
          </w:rPr>
          <w:t>запасные части</w:t>
        </w:r>
      </w:hyperlink>
      <w:r>
        <w:rPr>
          <w:rFonts w:eastAsia="PMingLiU"/>
          <w:szCs w:val="22"/>
          <w:lang w:eastAsia="en-US"/>
        </w:rPr>
        <w:t xml:space="preserve">, </w:t>
      </w:r>
      <w:hyperlink r:id="rId25" w:tooltip="Инструмент" w:history="1">
        <w:r>
          <w:rPr>
            <w:rFonts w:eastAsia="PMingLiU"/>
            <w:szCs w:val="22"/>
            <w:lang w:eastAsia="en-US"/>
          </w:rPr>
          <w:t>инструменты</w:t>
        </w:r>
      </w:hyperlink>
      <w:r>
        <w:rPr>
          <w:rFonts w:eastAsia="PMingLiU"/>
          <w:szCs w:val="22"/>
          <w:lang w:eastAsia="en-US"/>
        </w:rPr>
        <w:t xml:space="preserve"> и принадлежности.</w:t>
      </w:r>
    </w:p>
    <w:p>
      <w:pPr>
        <w:pStyle w:val="S0"/>
        <w:rPr>
          <w:rFonts w:eastAsia="PMingLiU"/>
          <w:lang w:eastAsia="en-US"/>
        </w:rPr>
      </w:pPr>
    </w:p>
    <w:p>
      <w:pPr>
        <w:rPr>
          <w:rFonts w:eastAsia="PMingLiU"/>
          <w:szCs w:val="22"/>
          <w:lang w:eastAsia="en-US"/>
        </w:rPr>
      </w:pPr>
      <w:r>
        <w:rPr>
          <w:rFonts w:ascii="Arial" w:eastAsia="Times New Roman" w:hAnsi="Arial" w:cs="Arial"/>
          <w:b/>
          <w:i/>
          <w:caps/>
          <w:sz w:val="20"/>
          <w:szCs w:val="20"/>
        </w:rPr>
        <w:t xml:space="preserve">КД </w:t>
      </w:r>
      <w:r>
        <w:rPr>
          <w:rFonts w:ascii="Arial" w:eastAsia="Times New Roman" w:hAnsi="Arial" w:cs="Arial"/>
          <w:caps/>
          <w:sz w:val="20"/>
          <w:szCs w:val="20"/>
        </w:rPr>
        <w:t>–</w:t>
      </w:r>
      <w:r>
        <w:rPr>
          <w:rFonts w:ascii="Arial" w:eastAsia="Times New Roman" w:hAnsi="Arial" w:cs="Arial"/>
          <w:b/>
          <w:i/>
          <w:caps/>
          <w:sz w:val="20"/>
          <w:szCs w:val="20"/>
        </w:rPr>
        <w:t xml:space="preserve"> </w:t>
      </w:r>
      <w:r>
        <w:rPr>
          <w:rFonts w:eastAsia="PMingLiU"/>
          <w:szCs w:val="22"/>
          <w:lang w:eastAsia="en-US"/>
        </w:rPr>
        <w:t>конструкторская документация.</w:t>
      </w:r>
    </w:p>
    <w:p>
      <w:pPr>
        <w:rPr>
          <w:rFonts w:eastAsia="PMingLiU"/>
          <w:szCs w:val="22"/>
          <w:lang w:eastAsia="en-US"/>
        </w:rPr>
      </w:pPr>
    </w:p>
    <w:p>
      <w:r>
        <w:rPr>
          <w:rFonts w:ascii="Arial" w:hAnsi="Arial" w:cs="Arial"/>
          <w:b/>
          <w:i/>
          <w:sz w:val="20"/>
          <w:szCs w:val="20"/>
        </w:rPr>
        <w:t>КОМПАНИЯ</w:t>
      </w:r>
      <w:r>
        <w:t xml:space="preserve"> –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p>
      <w:pPr>
        <w:rPr>
          <w:rFonts w:ascii="Arial" w:hAnsi="Arial" w:cs="Arial"/>
          <w:b/>
          <w:i/>
          <w:sz w:val="20"/>
          <w:szCs w:val="20"/>
        </w:rPr>
      </w:pPr>
      <w:r>
        <w:rPr>
          <w:rFonts w:ascii="Arial" w:hAnsi="Arial" w:cs="Arial"/>
          <w:b/>
          <w:i/>
          <w:sz w:val="20"/>
          <w:szCs w:val="20"/>
        </w:rPr>
        <w:t xml:space="preserve">КФК </w:t>
      </w:r>
      <w:r>
        <w:rPr>
          <w:lang w:val="x-none"/>
        </w:rPr>
        <w:t>– корпоративный функциональный классификатор.</w:t>
      </w:r>
    </w:p>
    <w:p>
      <w:pPr>
        <w:pStyle w:val="S0"/>
        <w:rPr>
          <w:rFonts w:eastAsia="PMingLiU"/>
          <w:lang w:eastAsia="en-US"/>
        </w:rPr>
      </w:pPr>
    </w:p>
    <w:p>
      <w:pPr>
        <w:pStyle w:val="S0"/>
        <w:rPr>
          <w:rFonts w:eastAsia="PMingLiU"/>
          <w:lang w:eastAsia="en-US"/>
        </w:rPr>
      </w:pPr>
      <w:r>
        <w:rPr>
          <w:rFonts w:ascii="Arial" w:hAnsi="Arial" w:cs="Arial"/>
          <w:b/>
          <w:i/>
          <w:caps/>
          <w:sz w:val="20"/>
          <w:szCs w:val="20"/>
        </w:rPr>
        <w:t xml:space="preserve">МКК </w:t>
      </w:r>
      <w:r>
        <w:rPr>
          <w:rFonts w:eastAsia="PMingLiU"/>
          <w:lang w:eastAsia="en-US"/>
        </w:rPr>
        <w:t>– межкристаллитная коррозия.</w:t>
      </w:r>
    </w:p>
    <w:p>
      <w:pPr>
        <w:tabs>
          <w:tab w:val="left" w:pos="540"/>
        </w:tabs>
        <w:ind w:right="-7"/>
        <w:rPr>
          <w:rFonts w:eastAsia="PMingLiU"/>
        </w:rPr>
      </w:pPr>
    </w:p>
    <w:p>
      <w:pPr>
        <w:tabs>
          <w:tab w:val="left" w:pos="540"/>
        </w:tabs>
        <w:ind w:right="-7"/>
        <w:rPr>
          <w:rFonts w:eastAsia="PMingLiU"/>
        </w:rPr>
      </w:pPr>
      <w:r>
        <w:rPr>
          <w:rFonts w:ascii="Arial" w:eastAsia="PMingLiU" w:hAnsi="Arial" w:cs="Arial"/>
          <w:b/>
          <w:i/>
          <w:sz w:val="20"/>
          <w:szCs w:val="20"/>
        </w:rPr>
        <w:t xml:space="preserve">МТР </w:t>
      </w:r>
      <w:r>
        <w:rPr>
          <w:rFonts w:eastAsia="PMingLiU"/>
          <w:spacing w:val="-1"/>
        </w:rPr>
        <w:t>– материально-технические ресурсы.</w:t>
      </w:r>
    </w:p>
    <w:p>
      <w:pPr>
        <w:pStyle w:val="S0"/>
        <w:rPr>
          <w:rFonts w:eastAsia="PMingLiU"/>
          <w:lang w:eastAsia="en-US"/>
        </w:rPr>
      </w:pPr>
    </w:p>
    <w:p>
      <w:r>
        <w:rPr>
          <w:rStyle w:val="afffb"/>
          <w:rFonts w:ascii="Arial" w:eastAsia="Calibri" w:hAnsi="Arial" w:cs="Arial"/>
          <w:sz w:val="20"/>
        </w:rPr>
        <w:t xml:space="preserve">НД </w:t>
      </w:r>
      <w:r>
        <w:t>– нормативная документация.</w:t>
      </w:r>
    </w:p>
    <w:p>
      <w:pPr>
        <w:pStyle w:val="S0"/>
        <w:rPr>
          <w:rFonts w:eastAsia="PMingLiU"/>
          <w:lang w:eastAsia="en-US"/>
        </w:rPr>
      </w:pPr>
    </w:p>
    <w:p>
      <w:pPr>
        <w:tabs>
          <w:tab w:val="left" w:pos="0"/>
        </w:tabs>
        <w:rPr>
          <w:rFonts w:eastAsia="Times New Roman"/>
        </w:rPr>
      </w:pPr>
      <w:r>
        <w:rPr>
          <w:rFonts w:ascii="Arial" w:eastAsia="Times New Roman" w:hAnsi="Arial" w:cs="Arial"/>
          <w:b/>
          <w:bCs/>
          <w:i/>
          <w:iCs/>
          <w:sz w:val="20"/>
          <w:szCs w:val="20"/>
        </w:rPr>
        <w:t>ОБЩЕСТВО ГРУППЫ (ОГ)</w:t>
      </w:r>
      <w:r>
        <w:rPr>
          <w:rFonts w:eastAsia="Times New Roman"/>
        </w:rPr>
        <w:t xml:space="preserve"> – </w:t>
      </w:r>
      <w:r>
        <w:rPr>
          <w:rStyle w:val="apple-style-span"/>
        </w:rPr>
        <w:t>хозяйственное общество, прямая и (или) косвенная доля владения ПАО «НК «Роснефть» акциями или долями в уставном капитале которого составляет 20 процентов и более</w:t>
      </w:r>
      <w:r>
        <w:rPr>
          <w:rFonts w:eastAsia="Times New Roman"/>
        </w:rPr>
        <w:t>.</w:t>
      </w:r>
    </w:p>
    <w:p>
      <w:pPr>
        <w:pStyle w:val="S0"/>
        <w:rPr>
          <w:rFonts w:eastAsia="PMingLiU"/>
          <w:lang w:eastAsia="en-US"/>
        </w:rPr>
      </w:pPr>
    </w:p>
    <w:p>
      <w:pPr>
        <w:rPr>
          <w:rFonts w:eastAsia="PMingLiU"/>
          <w:spacing w:val="-1"/>
          <w:lang w:eastAsia="en-US"/>
        </w:rPr>
      </w:pPr>
      <w:r>
        <w:rPr>
          <w:rFonts w:ascii="Arial" w:eastAsia="PMingLiU" w:hAnsi="Arial" w:cs="Arial"/>
          <w:b/>
          <w:i/>
          <w:spacing w:val="-1"/>
          <w:sz w:val="20"/>
          <w:szCs w:val="20"/>
          <w:lang w:eastAsia="en-US"/>
        </w:rPr>
        <w:t>ОТК</w:t>
      </w:r>
      <w:r>
        <w:rPr>
          <w:rFonts w:eastAsia="PMingLiU"/>
          <w:spacing w:val="-1"/>
          <w:lang w:eastAsia="en-US"/>
        </w:rPr>
        <w:t xml:space="preserve"> </w:t>
      </w:r>
      <w:r>
        <w:rPr>
          <w:rFonts w:eastAsia="PMingLiU"/>
          <w:szCs w:val="22"/>
          <w:lang w:eastAsia="en-US"/>
        </w:rPr>
        <w:t>–</w:t>
      </w:r>
      <w:r>
        <w:rPr>
          <w:rFonts w:eastAsia="PMingLiU"/>
          <w:spacing w:val="-1"/>
          <w:lang w:eastAsia="en-US"/>
        </w:rPr>
        <w:t xml:space="preserve"> отдел технического</w:t>
      </w:r>
      <w:r>
        <w:rPr>
          <w:rFonts w:eastAsia="PMingLiU"/>
          <w:spacing w:val="-3"/>
          <w:lang w:eastAsia="en-US"/>
        </w:rPr>
        <w:t xml:space="preserve"> </w:t>
      </w:r>
      <w:r>
        <w:rPr>
          <w:rFonts w:eastAsia="PMingLiU"/>
          <w:spacing w:val="-1"/>
          <w:lang w:eastAsia="en-US"/>
        </w:rPr>
        <w:t>контроля.</w:t>
      </w:r>
    </w:p>
    <w:p>
      <w:pPr>
        <w:rPr>
          <w:rFonts w:eastAsia="PMingLiU"/>
          <w:spacing w:val="-1"/>
          <w:lang w:eastAsia="en-US"/>
        </w:rPr>
      </w:pPr>
    </w:p>
    <w:p>
      <w:pPr>
        <w:rPr>
          <w:rFonts w:eastAsia="PMingLiU"/>
          <w:spacing w:val="-1"/>
          <w:lang w:eastAsia="en-US"/>
        </w:rPr>
      </w:pPr>
      <w:r>
        <w:rPr>
          <w:rFonts w:ascii="Arial" w:eastAsia="PMingLiU" w:hAnsi="Arial" w:cs="Arial"/>
          <w:b/>
          <w:i/>
          <w:spacing w:val="-1"/>
          <w:sz w:val="20"/>
          <w:szCs w:val="20"/>
          <w:lang w:eastAsia="en-US"/>
        </w:rPr>
        <w:t>ПАЗ</w:t>
      </w:r>
      <w:r>
        <w:rPr>
          <w:rFonts w:eastAsia="PMingLiU"/>
          <w:spacing w:val="-1"/>
          <w:lang w:eastAsia="en-US"/>
        </w:rPr>
        <w:t xml:space="preserve"> – противоаварийная защита.</w:t>
      </w:r>
    </w:p>
    <w:p>
      <w:pPr>
        <w:rPr>
          <w:rFonts w:eastAsia="PMingLiU"/>
          <w:spacing w:val="-1"/>
          <w:lang w:eastAsia="en-US"/>
        </w:rPr>
      </w:pPr>
    </w:p>
    <w:p>
      <w:pPr>
        <w:rPr>
          <w:rFonts w:eastAsia="PMingLiU"/>
          <w:spacing w:val="-1"/>
          <w:lang w:eastAsia="en-US"/>
        </w:rPr>
      </w:pPr>
      <w:r>
        <w:rPr>
          <w:rFonts w:ascii="Arial" w:eastAsia="PMingLiU" w:hAnsi="Arial" w:cs="Arial"/>
          <w:b/>
          <w:i/>
          <w:spacing w:val="-1"/>
          <w:sz w:val="20"/>
          <w:szCs w:val="20"/>
        </w:rPr>
        <w:t>ПВК</w:t>
      </w:r>
      <w:r>
        <w:t xml:space="preserve"> – капиллярный контроль.</w:t>
      </w:r>
    </w:p>
    <w:p>
      <w:pPr>
        <w:rPr>
          <w:rFonts w:eastAsia="PMingLiU"/>
          <w:spacing w:val="-1"/>
          <w:lang w:eastAsia="en-US"/>
        </w:rPr>
      </w:pPr>
    </w:p>
    <w:p>
      <w:pPr>
        <w:rPr>
          <w:rFonts w:eastAsia="PMingLiU"/>
          <w:spacing w:val="-1"/>
          <w:lang w:eastAsia="en-US"/>
        </w:rPr>
      </w:pPr>
      <w:r>
        <w:rPr>
          <w:rFonts w:ascii="Arial" w:eastAsia="PMingLiU" w:hAnsi="Arial" w:cs="Arial"/>
          <w:b/>
          <w:i/>
          <w:spacing w:val="-2"/>
          <w:sz w:val="20"/>
          <w:szCs w:val="20"/>
          <w:lang w:eastAsia="en-US"/>
        </w:rPr>
        <w:t xml:space="preserve">ПМ </w:t>
      </w:r>
      <w:r>
        <w:rPr>
          <w:rFonts w:eastAsia="PMingLiU"/>
          <w:spacing w:val="-1"/>
          <w:lang w:eastAsia="en-US"/>
        </w:rPr>
        <w:t>– программа и методика испытаний.</w:t>
      </w:r>
    </w:p>
    <w:p>
      <w:pPr>
        <w:rPr>
          <w:rFonts w:eastAsia="PMingLiU"/>
          <w:lang w:eastAsia="en-US"/>
        </w:rPr>
      </w:pPr>
    </w:p>
    <w:p>
      <w:pPr>
        <w:rPr>
          <w:rFonts w:eastAsia="Times New Roman"/>
        </w:rPr>
      </w:pPr>
      <w:r>
        <w:rPr>
          <w:rFonts w:ascii="Arial" w:eastAsia="PMingLiU" w:hAnsi="Arial" w:cs="Arial"/>
          <w:b/>
          <w:i/>
          <w:spacing w:val="-1"/>
          <w:sz w:val="20"/>
          <w:szCs w:val="20"/>
          <w:lang w:eastAsia="en-US"/>
        </w:rPr>
        <w:t xml:space="preserve">ПП </w:t>
      </w:r>
      <w:r>
        <w:rPr>
          <w:rFonts w:eastAsia="Times New Roman"/>
        </w:rPr>
        <w:t>– пневматический привод.</w:t>
      </w:r>
    </w:p>
    <w:p>
      <w:pPr>
        <w:rPr>
          <w:rFonts w:eastAsia="PMingLiU"/>
          <w:spacing w:val="-1"/>
          <w:lang w:eastAsia="en-US"/>
        </w:rPr>
      </w:pPr>
    </w:p>
    <w:p>
      <w:pPr>
        <w:rPr>
          <w:rFonts w:eastAsia="Times New Roman"/>
          <w:bCs/>
        </w:rPr>
      </w:pPr>
      <w:r>
        <w:rPr>
          <w:rFonts w:ascii="Arial" w:eastAsia="Times New Roman" w:hAnsi="Arial" w:cs="Arial"/>
          <w:b/>
          <w:bCs/>
          <w:i/>
          <w:caps/>
          <w:sz w:val="20"/>
          <w:szCs w:val="20"/>
        </w:rPr>
        <w:t xml:space="preserve">РК </w:t>
      </w:r>
      <w:r>
        <w:rPr>
          <w:rFonts w:eastAsia="Times New Roman"/>
          <w:bCs/>
        </w:rPr>
        <w:t>– радиационный контроль.</w:t>
      </w:r>
    </w:p>
    <w:p>
      <w:pPr>
        <w:pStyle w:val="S0"/>
        <w:rPr>
          <w:rFonts w:eastAsia="PMingLiU"/>
          <w:lang w:eastAsia="en-US"/>
        </w:rPr>
      </w:pPr>
    </w:p>
    <w:p>
      <w:pPr>
        <w:rPr>
          <w:rFonts w:eastAsia="PMingLiU"/>
          <w:spacing w:val="-2"/>
          <w:lang w:eastAsia="en-US"/>
        </w:rPr>
      </w:pPr>
      <w:r>
        <w:rPr>
          <w:rFonts w:ascii="Arial" w:eastAsia="PMingLiU" w:hAnsi="Arial" w:cs="Arial"/>
          <w:b/>
          <w:i/>
          <w:spacing w:val="-2"/>
          <w:sz w:val="20"/>
          <w:szCs w:val="20"/>
          <w:lang w:eastAsia="en-US"/>
        </w:rPr>
        <w:t>РД</w:t>
      </w:r>
      <w:r>
        <w:t xml:space="preserve"> –</w:t>
      </w:r>
      <w:r>
        <w:rPr>
          <w:rFonts w:ascii="Arial" w:eastAsia="PMingLiU" w:hAnsi="Arial" w:cs="Arial"/>
          <w:b/>
          <w:i/>
          <w:spacing w:val="-2"/>
          <w:sz w:val="20"/>
          <w:szCs w:val="20"/>
          <w:lang w:eastAsia="en-US"/>
        </w:rPr>
        <w:t xml:space="preserve"> </w:t>
      </w:r>
      <w:r>
        <w:rPr>
          <w:rFonts w:eastAsia="PMingLiU"/>
          <w:spacing w:val="-2"/>
          <w:lang w:eastAsia="en-US"/>
        </w:rPr>
        <w:t>разрешительная документация.</w:t>
      </w:r>
    </w:p>
    <w:p>
      <w:pPr>
        <w:rPr>
          <w:rFonts w:eastAsia="PMingLiU"/>
          <w:lang w:eastAsia="en-US"/>
        </w:rPr>
      </w:pPr>
    </w:p>
    <w:p>
      <w:pPr>
        <w:rPr>
          <w:rFonts w:eastAsia="PMingLiU"/>
          <w:szCs w:val="22"/>
          <w:lang w:eastAsia="en-US"/>
        </w:rPr>
      </w:pPr>
      <w:r>
        <w:rPr>
          <w:rFonts w:ascii="Arial" w:eastAsia="PMingLiU" w:hAnsi="Arial" w:cs="Arial"/>
          <w:b/>
          <w:i/>
          <w:spacing w:val="-2"/>
          <w:sz w:val="20"/>
          <w:szCs w:val="20"/>
          <w:lang w:eastAsia="en-US"/>
        </w:rPr>
        <w:t xml:space="preserve">РЭ </w:t>
      </w:r>
      <w:r>
        <w:rPr>
          <w:rFonts w:eastAsia="PMingLiU"/>
          <w:szCs w:val="22"/>
          <w:lang w:eastAsia="en-US"/>
        </w:rPr>
        <w:t>– руководство по эксплуатации.</w:t>
      </w:r>
    </w:p>
    <w:p>
      <w:pPr>
        <w:rPr>
          <w:rFonts w:eastAsia="PMingLiU"/>
          <w:szCs w:val="22"/>
          <w:lang w:eastAsia="en-US"/>
        </w:rPr>
      </w:pPr>
    </w:p>
    <w:p>
      <w:pPr>
        <w:rPr>
          <w:rFonts w:eastAsia="PMingLiU"/>
          <w:szCs w:val="22"/>
          <w:lang w:eastAsia="en-US"/>
        </w:rPr>
      </w:pPr>
      <w:r>
        <w:rPr>
          <w:rFonts w:ascii="Arial" w:eastAsia="PMingLiU" w:hAnsi="Arial" w:cs="Arial"/>
          <w:b/>
          <w:i/>
          <w:spacing w:val="-2"/>
          <w:sz w:val="20"/>
          <w:szCs w:val="20"/>
          <w:lang w:eastAsia="en-US"/>
        </w:rPr>
        <w:t xml:space="preserve">СМО </w:t>
      </w:r>
      <w:r>
        <w:rPr>
          <w:rFonts w:eastAsia="PMingLiU"/>
          <w:szCs w:val="22"/>
          <w:lang w:eastAsia="en-US"/>
        </w:rPr>
        <w:t xml:space="preserve">– </w:t>
      </w:r>
      <w:r>
        <w:t>специализированной материаловедческой организации.</w:t>
      </w:r>
    </w:p>
    <w:p>
      <w:pPr>
        <w:rPr>
          <w:rFonts w:eastAsia="PMingLiU"/>
          <w:szCs w:val="22"/>
          <w:lang w:eastAsia="en-US"/>
        </w:rPr>
      </w:pPr>
    </w:p>
    <w:p>
      <w:pPr>
        <w:rPr>
          <w:rFonts w:eastAsia="PMingLiU"/>
          <w:spacing w:val="-1"/>
          <w:lang w:eastAsia="en-US"/>
        </w:rPr>
      </w:pPr>
      <w:r>
        <w:rPr>
          <w:rFonts w:ascii="Arial" w:eastAsia="PMingLiU" w:hAnsi="Arial" w:cs="Arial"/>
          <w:b/>
          <w:i/>
          <w:spacing w:val="-2"/>
          <w:sz w:val="20"/>
          <w:szCs w:val="20"/>
          <w:lang w:eastAsia="en-US"/>
        </w:rPr>
        <w:t>СКРН</w:t>
      </w:r>
      <w:r>
        <w:rPr>
          <w:rFonts w:eastAsia="PMingLiU"/>
          <w:spacing w:val="-2"/>
          <w:lang w:eastAsia="en-US"/>
        </w:rPr>
        <w:t xml:space="preserve"> </w:t>
      </w:r>
      <w:r>
        <w:rPr>
          <w:rFonts w:eastAsia="PMingLiU"/>
          <w:szCs w:val="22"/>
          <w:lang w:eastAsia="en-US"/>
        </w:rPr>
        <w:t>–</w:t>
      </w:r>
      <w:r>
        <w:rPr>
          <w:rFonts w:eastAsia="PMingLiU"/>
          <w:spacing w:val="-2"/>
          <w:lang w:eastAsia="en-US"/>
        </w:rPr>
        <w:t xml:space="preserve"> </w:t>
      </w:r>
      <w:r>
        <w:rPr>
          <w:rFonts w:eastAsia="PMingLiU"/>
          <w:szCs w:val="22"/>
          <w:lang w:eastAsia="en-US"/>
        </w:rPr>
        <w:t>сульфидное коррозионное растрескивание под напряжением</w:t>
      </w:r>
      <w:r>
        <w:rPr>
          <w:rFonts w:eastAsia="PMingLiU"/>
          <w:spacing w:val="-1"/>
          <w:lang w:eastAsia="en-US"/>
        </w:rPr>
        <w:t>.</w:t>
      </w:r>
    </w:p>
    <w:p/>
    <w:p>
      <w:pPr>
        <w:rPr>
          <w:rFonts w:eastAsia="PMingLiU"/>
          <w:spacing w:val="-1"/>
          <w:lang w:eastAsia="en-US"/>
        </w:rPr>
      </w:pPr>
      <w:r>
        <w:rPr>
          <w:rFonts w:ascii="Arial" w:eastAsia="PMingLiU" w:hAnsi="Arial" w:cs="Arial"/>
          <w:b/>
          <w:i/>
          <w:spacing w:val="-2"/>
          <w:sz w:val="20"/>
          <w:szCs w:val="20"/>
          <w:lang w:eastAsia="en-US"/>
        </w:rPr>
        <w:lastRenderedPageBreak/>
        <w:t>С.К.</w:t>
      </w:r>
      <w:r>
        <w:rPr>
          <w:rFonts w:eastAsia="PMingLiU"/>
          <w:spacing w:val="-1"/>
          <w:lang w:eastAsia="en-US"/>
        </w:rPr>
        <w:t xml:space="preserve"> – сухой контакт.</w:t>
      </w:r>
    </w:p>
    <w:p>
      <w:pPr>
        <w:widowControl w:val="0"/>
        <w:rPr>
          <w:rFonts w:eastAsia="Times New Roman"/>
        </w:rPr>
      </w:pPr>
    </w:p>
    <w:p>
      <w:pPr>
        <w:rPr>
          <w:rFonts w:eastAsia="PMingLiU"/>
          <w:spacing w:val="-1"/>
          <w:lang w:eastAsia="en-US"/>
        </w:rPr>
      </w:pPr>
      <w:r>
        <w:rPr>
          <w:rFonts w:ascii="Arial" w:eastAsia="PMingLiU" w:hAnsi="Arial" w:cs="Arial"/>
          <w:b/>
          <w:i/>
          <w:spacing w:val="-1"/>
          <w:sz w:val="20"/>
          <w:szCs w:val="20"/>
          <w:lang w:eastAsia="en-US"/>
        </w:rPr>
        <w:t>УЗК</w:t>
      </w:r>
      <w:r>
        <w:rPr>
          <w:rFonts w:eastAsia="PMingLiU"/>
          <w:spacing w:val="-1"/>
          <w:lang w:eastAsia="en-US"/>
        </w:rPr>
        <w:t xml:space="preserve"> – ультразвуковой контроль.</w:t>
      </w:r>
    </w:p>
    <w:p>
      <w:pPr>
        <w:widowControl w:val="0"/>
        <w:rPr>
          <w:rFonts w:eastAsia="Times New Roman"/>
        </w:rPr>
      </w:pPr>
    </w:p>
    <w:p>
      <w:pPr>
        <w:rPr>
          <w:rFonts w:ascii="Arial" w:eastAsia="PMingLiU" w:hAnsi="Arial" w:cs="Arial"/>
          <w:b/>
          <w:i/>
          <w:sz w:val="20"/>
          <w:szCs w:val="20"/>
          <w:lang w:eastAsia="en-US"/>
        </w:rPr>
      </w:pPr>
      <w:r>
        <w:rPr>
          <w:rFonts w:ascii="Arial" w:eastAsia="PMingLiU" w:hAnsi="Arial" w:cs="Arial"/>
          <w:b/>
          <w:i/>
          <w:sz w:val="20"/>
          <w:szCs w:val="20"/>
          <w:lang w:eastAsia="en-US"/>
        </w:rPr>
        <w:t xml:space="preserve">ЭД </w:t>
      </w:r>
      <w:r>
        <w:rPr>
          <w:rFonts w:eastAsia="PMingLiU"/>
          <w:lang w:eastAsia="en-US"/>
        </w:rPr>
        <w:t>– эксплуатационная документация.</w:t>
      </w:r>
    </w:p>
    <w:p>
      <w:pPr>
        <w:rPr>
          <w:rFonts w:eastAsia="PMingLiU"/>
          <w:lang w:eastAsia="en-US"/>
        </w:rPr>
      </w:pPr>
    </w:p>
    <w:p>
      <w:pPr>
        <w:rPr>
          <w:rFonts w:ascii="Arial" w:eastAsia="PMingLiU" w:hAnsi="Arial" w:cs="Arial"/>
          <w:b/>
          <w:i/>
          <w:sz w:val="20"/>
          <w:szCs w:val="20"/>
          <w:lang w:eastAsia="en-US"/>
        </w:rPr>
      </w:pPr>
      <w:r>
        <w:rPr>
          <w:rFonts w:ascii="Arial" w:eastAsia="PMingLiU" w:hAnsi="Arial" w:cs="Arial"/>
          <w:b/>
          <w:i/>
          <w:sz w:val="20"/>
          <w:szCs w:val="20"/>
          <w:lang w:eastAsia="en-US"/>
        </w:rPr>
        <w:t xml:space="preserve">ЭП </w:t>
      </w:r>
      <w:r>
        <w:rPr>
          <w:rFonts w:ascii="Arial" w:eastAsia="PMingLiU" w:hAnsi="Arial" w:cs="Arial"/>
          <w:i/>
          <w:sz w:val="20"/>
          <w:szCs w:val="20"/>
          <w:lang w:eastAsia="en-US"/>
        </w:rPr>
        <w:t>–</w:t>
      </w:r>
      <w:r>
        <w:rPr>
          <w:rFonts w:ascii="Arial" w:eastAsia="PMingLiU" w:hAnsi="Arial" w:cs="Arial"/>
          <w:b/>
          <w:i/>
          <w:sz w:val="20"/>
          <w:szCs w:val="20"/>
          <w:lang w:eastAsia="en-US"/>
        </w:rPr>
        <w:t xml:space="preserve"> </w:t>
      </w:r>
      <w:r>
        <w:rPr>
          <w:rFonts w:eastAsia="PMingLiU"/>
          <w:lang w:eastAsia="en-US"/>
        </w:rPr>
        <w:t>электрический привод.</w:t>
      </w:r>
    </w:p>
    <w:p>
      <w:pPr>
        <w:pStyle w:val="S0"/>
        <w:rPr>
          <w:rFonts w:eastAsia="PMingLiU"/>
          <w:lang w:eastAsia="en-US"/>
        </w:rPr>
      </w:pPr>
    </w:p>
    <w:p>
      <w:pPr>
        <w:rPr>
          <w:rFonts w:eastAsia="PMingLiU"/>
          <w:lang w:eastAsia="en-US"/>
        </w:rPr>
      </w:pPr>
      <w:r>
        <w:rPr>
          <w:rFonts w:ascii="Arial" w:eastAsia="PMingLiU" w:hAnsi="Arial" w:cs="Arial"/>
          <w:b/>
          <w:i/>
          <w:sz w:val="20"/>
          <w:szCs w:val="20"/>
          <w:lang w:eastAsia="en-US"/>
        </w:rPr>
        <w:t>С</w:t>
      </w:r>
      <w:r>
        <w:rPr>
          <w:rFonts w:ascii="Arial" w:eastAsia="PMingLiU" w:hAnsi="Arial" w:cs="Arial"/>
          <w:b/>
          <w:i/>
          <w:sz w:val="20"/>
          <w:szCs w:val="20"/>
          <w:vertAlign w:val="subscript"/>
          <w:lang w:eastAsia="en-US"/>
        </w:rPr>
        <w:t xml:space="preserve">экв </w:t>
      </w:r>
      <w:r>
        <w:rPr>
          <w:rFonts w:ascii="Arial" w:eastAsia="PMingLiU" w:hAnsi="Arial" w:cs="Arial"/>
          <w:b/>
          <w:i/>
          <w:sz w:val="20"/>
          <w:szCs w:val="20"/>
          <w:lang w:eastAsia="en-US"/>
        </w:rPr>
        <w:t xml:space="preserve"> </w:t>
      </w:r>
      <w:r>
        <w:rPr>
          <w:rFonts w:eastAsia="PMingLiU"/>
          <w:szCs w:val="22"/>
          <w:lang w:eastAsia="en-US"/>
        </w:rPr>
        <w:t xml:space="preserve">– </w:t>
      </w:r>
      <w:r>
        <w:rPr>
          <w:rFonts w:eastAsia="PMingLiU"/>
          <w:lang w:eastAsia="en-US"/>
        </w:rPr>
        <w:t>углеродный эквивалент.</w:t>
      </w:r>
    </w:p>
    <w:p>
      <w:pPr>
        <w:pStyle w:val="S0"/>
        <w:rPr>
          <w:rFonts w:eastAsia="PMingLiU"/>
          <w:lang w:eastAsia="en-US"/>
        </w:rPr>
      </w:pPr>
    </w:p>
    <w:p>
      <w:pPr>
        <w:rPr>
          <w:rFonts w:eastAsia="PMingLiU"/>
          <w:szCs w:val="22"/>
          <w:lang w:eastAsia="en-US"/>
        </w:rPr>
      </w:pPr>
      <w:r>
        <w:rPr>
          <w:rFonts w:ascii="Arial" w:eastAsia="PMingLiU" w:hAnsi="Arial" w:cs="Arial"/>
          <w:b/>
          <w:bCs/>
          <w:i/>
          <w:iCs/>
          <w:sz w:val="20"/>
          <w:szCs w:val="20"/>
        </w:rPr>
        <w:t>KC</w:t>
      </w:r>
      <w:r>
        <w:rPr>
          <w:rFonts w:ascii="Arial" w:eastAsia="PMingLiU" w:hAnsi="Arial" w:cs="Arial"/>
          <w:b/>
          <w:bCs/>
          <w:i/>
          <w:iCs/>
          <w:sz w:val="20"/>
          <w:szCs w:val="20"/>
          <w:lang w:val="en-US"/>
        </w:rPr>
        <w:t>U</w:t>
      </w:r>
      <w:r>
        <w:rPr>
          <w:rFonts w:ascii="Arial" w:eastAsia="PMingLiU" w:hAnsi="Arial" w:cs="Arial"/>
          <w:b/>
          <w:bCs/>
          <w:i/>
          <w:iCs/>
          <w:sz w:val="20"/>
          <w:szCs w:val="20"/>
        </w:rPr>
        <w:t xml:space="preserve"> (</w:t>
      </w:r>
      <w:r>
        <w:rPr>
          <w:rFonts w:ascii="Arial" w:eastAsia="PMingLiU" w:hAnsi="Arial" w:cs="Arial"/>
          <w:b/>
          <w:bCs/>
          <w:i/>
          <w:iCs/>
          <w:sz w:val="20"/>
          <w:szCs w:val="20"/>
          <w:lang w:val="en-US"/>
        </w:rPr>
        <w:t>KCV</w:t>
      </w:r>
      <w:r>
        <w:rPr>
          <w:rFonts w:ascii="Arial" w:eastAsia="PMingLiU" w:hAnsi="Arial" w:cs="Arial"/>
          <w:b/>
          <w:bCs/>
          <w:i/>
          <w:iCs/>
          <w:sz w:val="20"/>
          <w:szCs w:val="20"/>
        </w:rPr>
        <w:t>)</w:t>
      </w:r>
      <w:r>
        <w:rPr>
          <w:rFonts w:eastAsia="PMingLiU"/>
          <w:szCs w:val="22"/>
          <w:lang w:eastAsia="en-US"/>
        </w:rPr>
        <w:t xml:space="preserve"> – ударная вязкость, определенная на образце с концентратором вида U (V).</w:t>
      </w:r>
    </w:p>
    <w:p>
      <w:pPr>
        <w:rPr>
          <w:rFonts w:eastAsia="PMingLiU"/>
          <w:spacing w:val="-1"/>
          <w:lang w:eastAsia="en-US"/>
        </w:rPr>
      </w:pPr>
    </w:p>
    <w:p>
      <w:pPr>
        <w:rPr>
          <w:rFonts w:eastAsia="PMingLiU"/>
          <w:spacing w:val="-1"/>
          <w:lang w:eastAsia="en-US"/>
        </w:rPr>
      </w:pPr>
      <w:r>
        <w:rPr>
          <w:rFonts w:ascii="Arial" w:eastAsia="PMingLiU" w:hAnsi="Arial" w:cs="Arial"/>
          <w:b/>
          <w:i/>
          <w:spacing w:val="-2"/>
          <w:position w:val="4"/>
          <w:sz w:val="20"/>
          <w:szCs w:val="20"/>
          <w:lang w:eastAsia="en-US"/>
        </w:rPr>
        <w:t>Р</w:t>
      </w:r>
      <w:r>
        <w:rPr>
          <w:rFonts w:ascii="Arial" w:eastAsia="PMingLiU" w:hAnsi="Arial" w:cs="Arial"/>
          <w:b/>
          <w:i/>
          <w:spacing w:val="-2"/>
          <w:sz w:val="20"/>
          <w:szCs w:val="20"/>
          <w:lang w:eastAsia="en-US"/>
        </w:rPr>
        <w:t>пр</w:t>
      </w:r>
      <w:r>
        <w:rPr>
          <w:rFonts w:ascii="Arial" w:eastAsia="PMingLiU" w:hAnsi="Arial" w:cs="Arial"/>
          <w:b/>
          <w:spacing w:val="-2"/>
          <w:sz w:val="20"/>
          <w:szCs w:val="20"/>
          <w:lang w:eastAsia="en-US"/>
        </w:rPr>
        <w:t xml:space="preserve"> </w:t>
      </w:r>
      <w:r>
        <w:rPr>
          <w:rFonts w:eastAsia="PMingLiU"/>
          <w:szCs w:val="22"/>
          <w:lang w:eastAsia="en-US"/>
        </w:rPr>
        <w:t>–</w:t>
      </w:r>
      <w:r>
        <w:rPr>
          <w:rFonts w:eastAsia="PMingLiU"/>
          <w:spacing w:val="-2"/>
          <w:lang w:eastAsia="en-US"/>
        </w:rPr>
        <w:t xml:space="preserve"> </w:t>
      </w:r>
      <w:r>
        <w:rPr>
          <w:rFonts w:eastAsia="PMingLiU"/>
          <w:spacing w:val="-1"/>
          <w:lang w:eastAsia="en-US"/>
        </w:rPr>
        <w:t>давление</w:t>
      </w:r>
      <w:r>
        <w:rPr>
          <w:rFonts w:eastAsia="PMingLiU"/>
          <w:lang w:eastAsia="en-US"/>
        </w:rPr>
        <w:t xml:space="preserve"> </w:t>
      </w:r>
      <w:r>
        <w:rPr>
          <w:rFonts w:eastAsia="PMingLiU"/>
          <w:spacing w:val="-1"/>
          <w:lang w:eastAsia="en-US"/>
        </w:rPr>
        <w:t>пробное.</w:t>
      </w:r>
    </w:p>
    <w:p>
      <w:pPr>
        <w:rPr>
          <w:rFonts w:eastAsia="PMingLiU"/>
          <w:spacing w:val="-1"/>
          <w:lang w:eastAsia="en-US"/>
        </w:rPr>
      </w:pPr>
    </w:p>
    <w:p>
      <w:pPr>
        <w:rPr>
          <w:rFonts w:eastAsia="PMingLiU"/>
          <w:spacing w:val="-1"/>
          <w:lang w:eastAsia="en-US"/>
        </w:rPr>
      </w:pPr>
      <w:r>
        <w:rPr>
          <w:rFonts w:ascii="Arial" w:eastAsia="PMingLiU" w:hAnsi="Arial" w:cs="Arial"/>
          <w:b/>
          <w:i/>
          <w:spacing w:val="-2"/>
          <w:position w:val="4"/>
          <w:sz w:val="20"/>
          <w:szCs w:val="20"/>
          <w:lang w:eastAsia="en-US"/>
        </w:rPr>
        <w:t>Рр</w:t>
      </w:r>
      <w:r>
        <w:rPr>
          <w:rFonts w:eastAsia="PMingLiU"/>
          <w:spacing w:val="-1"/>
          <w:lang w:eastAsia="en-US"/>
        </w:rPr>
        <w:t xml:space="preserve"> – рабочее давление.</w:t>
      </w:r>
    </w:p>
    <w:p>
      <w:pPr>
        <w:pStyle w:val="S0"/>
        <w:rPr>
          <w:rFonts w:eastAsia="PMingLiU"/>
          <w:lang w:eastAsia="en-US"/>
        </w:rPr>
      </w:pPr>
    </w:p>
    <w:p>
      <w:pPr>
        <w:rPr>
          <w:rFonts w:eastAsia="PMingLiU"/>
          <w:lang w:eastAsia="en-US"/>
        </w:rPr>
      </w:pPr>
      <w:r>
        <w:rPr>
          <w:rFonts w:ascii="Arial" w:eastAsia="PMingLiU" w:hAnsi="Arial" w:cs="Arial"/>
          <w:b/>
          <w:i/>
          <w:spacing w:val="-1"/>
          <w:sz w:val="20"/>
          <w:szCs w:val="20"/>
          <w:lang w:eastAsia="en-US"/>
        </w:rPr>
        <w:t>ΔР</w:t>
      </w:r>
      <w:r>
        <w:rPr>
          <w:rFonts w:eastAsia="PMingLiU"/>
          <w:i/>
          <w:spacing w:val="-1"/>
          <w:lang w:eastAsia="en-US"/>
        </w:rPr>
        <w:t xml:space="preserve"> </w:t>
      </w:r>
      <w:r>
        <w:rPr>
          <w:rFonts w:eastAsia="PMingLiU"/>
          <w:szCs w:val="22"/>
          <w:lang w:eastAsia="en-US"/>
        </w:rPr>
        <w:t>–</w:t>
      </w:r>
      <w:r>
        <w:rPr>
          <w:rFonts w:eastAsia="PMingLiU"/>
          <w:i/>
          <w:spacing w:val="-1"/>
          <w:lang w:eastAsia="en-US"/>
        </w:rPr>
        <w:t xml:space="preserve"> </w:t>
      </w:r>
      <w:r>
        <w:rPr>
          <w:rFonts w:eastAsia="PMingLiU"/>
          <w:lang w:eastAsia="en-US"/>
        </w:rPr>
        <w:t>максимальный перепад</w:t>
      </w:r>
      <w:r>
        <w:rPr>
          <w:rFonts w:eastAsia="PMingLiU"/>
          <w:spacing w:val="1"/>
          <w:lang w:eastAsia="en-US"/>
        </w:rPr>
        <w:t xml:space="preserve"> </w:t>
      </w:r>
      <w:r>
        <w:rPr>
          <w:rFonts w:eastAsia="PMingLiU"/>
          <w:lang w:eastAsia="en-US"/>
        </w:rPr>
        <w:t>давления на</w:t>
      </w:r>
      <w:r>
        <w:rPr>
          <w:rFonts w:eastAsia="PMingLiU"/>
          <w:spacing w:val="4"/>
          <w:lang w:eastAsia="en-US"/>
        </w:rPr>
        <w:t xml:space="preserve"> </w:t>
      </w:r>
      <w:r>
        <w:rPr>
          <w:rFonts w:eastAsia="PMingLiU"/>
          <w:lang w:eastAsia="en-US"/>
        </w:rPr>
        <w:t xml:space="preserve">затворе </w:t>
      </w:r>
      <w:r>
        <w:rPr>
          <w:rFonts w:eastAsia="PMingLiU"/>
          <w:spacing w:val="8"/>
          <w:lang w:eastAsia="en-US"/>
        </w:rPr>
        <w:t xml:space="preserve"> </w:t>
      </w:r>
      <w:r>
        <w:rPr>
          <w:rFonts w:eastAsia="PMingLiU"/>
          <w:lang w:eastAsia="en-US"/>
        </w:rPr>
        <w:t>при открытии.</w:t>
      </w:r>
    </w:p>
    <w:p>
      <w:pPr>
        <w:rPr>
          <w:rFonts w:eastAsia="PMingLiU"/>
          <w:lang w:eastAsia="en-US"/>
        </w:rPr>
      </w:pPr>
    </w:p>
    <w:p>
      <w:pPr>
        <w:rPr>
          <w:rFonts w:eastAsia="PMingLiU"/>
          <w:szCs w:val="22"/>
          <w:lang w:eastAsia="en-US"/>
        </w:rPr>
      </w:pPr>
      <w:r>
        <w:rPr>
          <w:rFonts w:ascii="Arial" w:eastAsia="PMingLiU" w:hAnsi="Arial" w:cs="Arial"/>
          <w:b/>
          <w:sz w:val="20"/>
          <w:szCs w:val="20"/>
          <w:lang w:eastAsia="en-US"/>
        </w:rPr>
        <w:t>ζ</w:t>
      </w:r>
      <w:r>
        <w:rPr>
          <w:rFonts w:eastAsia="PMingLiU"/>
          <w:lang w:eastAsia="en-US"/>
        </w:rPr>
        <w:t xml:space="preserve"> </w:t>
      </w:r>
      <w:r>
        <w:rPr>
          <w:rFonts w:eastAsia="PMingLiU"/>
          <w:szCs w:val="22"/>
          <w:lang w:eastAsia="en-US"/>
        </w:rPr>
        <w:t xml:space="preserve">– </w:t>
      </w:r>
      <w:r>
        <w:rPr>
          <w:rFonts w:eastAsia="PMingLiU"/>
          <w:spacing w:val="-1"/>
          <w:lang w:eastAsia="en-US"/>
        </w:rPr>
        <w:t>коэффициент сопротивления.</w:t>
      </w:r>
    </w:p>
    <w:p>
      <w:pPr>
        <w:pStyle w:val="S0"/>
      </w:pPr>
    </w:p>
    <w:p>
      <w:pPr>
        <w:pStyle w:val="S0"/>
        <w:sectPr>
          <w:headerReference w:type="even" r:id="rId26"/>
          <w:headerReference w:type="default" r:id="rId27"/>
          <w:headerReference w:type="first" r:id="rId28"/>
          <w:pgSz w:w="11906" w:h="16838" w:code="9"/>
          <w:pgMar w:top="510" w:right="1021" w:bottom="567" w:left="1247" w:header="737" w:footer="680" w:gutter="0"/>
          <w:cols w:space="708"/>
          <w:docGrid w:linePitch="360"/>
        </w:sectPr>
      </w:pPr>
    </w:p>
    <w:p>
      <w:pPr>
        <w:pStyle w:val="S13"/>
        <w:numPr>
          <w:ilvl w:val="0"/>
          <w:numId w:val="6"/>
        </w:numPr>
        <w:ind w:left="0" w:firstLine="0"/>
      </w:pPr>
      <w:bookmarkStart w:id="59" w:name="_Toc481662364"/>
      <w:bookmarkStart w:id="60" w:name="_Toc514169505"/>
      <w:bookmarkStart w:id="61" w:name="_Toc400458564"/>
      <w:r>
        <w:rPr>
          <w:caps w:val="0"/>
        </w:rPr>
        <w:lastRenderedPageBreak/>
        <w:t>ОБЩАЯ ЧАСТЬ</w:t>
      </w:r>
      <w:bookmarkEnd w:id="59"/>
      <w:bookmarkEnd w:id="60"/>
    </w:p>
    <w:p>
      <w:pPr>
        <w:pStyle w:val="S0"/>
      </w:pPr>
    </w:p>
    <w:p>
      <w:pPr>
        <w:pStyle w:val="S0"/>
      </w:pPr>
    </w:p>
    <w:p>
      <w:pPr>
        <w:pStyle w:val="S20"/>
        <w:numPr>
          <w:ilvl w:val="1"/>
          <w:numId w:val="18"/>
        </w:numPr>
        <w:ind w:left="709" w:hanging="709"/>
        <w:rPr>
          <w:rFonts w:eastAsia="Calibri"/>
        </w:rPr>
      </w:pPr>
      <w:bookmarkStart w:id="62" w:name="_Toc481662365"/>
      <w:bookmarkStart w:id="63" w:name="_Toc514169506"/>
      <w:r>
        <w:rPr>
          <w:rFonts w:eastAsia="Calibri"/>
        </w:rPr>
        <w:t>НАЗНАЧЕНИЕ</w:t>
      </w:r>
      <w:bookmarkEnd w:id="61"/>
      <w:bookmarkEnd w:id="62"/>
      <w:bookmarkEnd w:id="63"/>
    </w:p>
    <w:p>
      <w:pPr>
        <w:pStyle w:val="S0"/>
      </w:pPr>
    </w:p>
    <w:p>
      <w:pPr>
        <w:widowControl w:val="0"/>
        <w:rPr>
          <w:rFonts w:eastAsia="Times New Roman"/>
        </w:rPr>
      </w:pPr>
      <w:r>
        <w:rPr>
          <w:rFonts w:eastAsia="Times New Roman"/>
        </w:rPr>
        <w:t>Краны шаровые предназначены для перекрытия потока рабочей среды.</w:t>
      </w:r>
    </w:p>
    <w:p>
      <w:pPr>
        <w:pStyle w:val="S0"/>
      </w:pPr>
    </w:p>
    <w:p>
      <w:pPr>
        <w:pStyle w:val="S0"/>
      </w:pPr>
    </w:p>
    <w:p>
      <w:pPr>
        <w:pStyle w:val="S20"/>
        <w:numPr>
          <w:ilvl w:val="1"/>
          <w:numId w:val="18"/>
        </w:numPr>
        <w:ind w:left="709" w:hanging="709"/>
        <w:rPr>
          <w:rFonts w:eastAsia="Calibri"/>
        </w:rPr>
      </w:pPr>
      <w:bookmarkStart w:id="64" w:name="_Toc399503278"/>
      <w:bookmarkStart w:id="65" w:name="_Toc400458566"/>
      <w:bookmarkStart w:id="66" w:name="_Toc481662366"/>
      <w:bookmarkStart w:id="67" w:name="_Toc514169507"/>
      <w:r>
        <w:rPr>
          <w:rFonts w:eastAsia="Calibri"/>
        </w:rPr>
        <w:t xml:space="preserve">КЛИМАТИЧЕСКИЕ УСЛОВИЯ РАЙОНА </w:t>
      </w:r>
      <w:bookmarkEnd w:id="64"/>
      <w:bookmarkEnd w:id="65"/>
      <w:r>
        <w:rPr>
          <w:rFonts w:eastAsia="Calibri"/>
        </w:rPr>
        <w:t>ЭКСПЛУАТАЦИИ</w:t>
      </w:r>
      <w:bookmarkEnd w:id="66"/>
      <w:bookmarkEnd w:id="67"/>
    </w:p>
    <w:p>
      <w:pPr>
        <w:pStyle w:val="S0"/>
      </w:pPr>
    </w:p>
    <w:p>
      <w:pPr>
        <w:pStyle w:val="S0"/>
        <w:rPr>
          <w:rFonts w:eastAsia="PMingLiU"/>
          <w:szCs w:val="22"/>
          <w:lang w:eastAsia="en-US"/>
        </w:rPr>
      </w:pPr>
      <w:r>
        <w:t xml:space="preserve">Климатическое исполнение и значения температуры окружающего воздуха при хранении, транспортировании, монтаже и эксплуатации крана шарового приведены в Таблице </w:t>
      </w:r>
      <w:r>
        <w:rPr>
          <w:rFonts w:eastAsia="PMingLiU"/>
          <w:szCs w:val="22"/>
          <w:lang w:eastAsia="en-US"/>
        </w:rPr>
        <w:t>1.</w:t>
      </w:r>
    </w:p>
    <w:p>
      <w:pPr>
        <w:pStyle w:val="S0"/>
        <w:rPr>
          <w:rFonts w:eastAsia="PMingLiU"/>
          <w:szCs w:val="22"/>
          <w:lang w:eastAsia="en-US"/>
        </w:rPr>
      </w:pPr>
    </w:p>
    <w:p>
      <w:pPr>
        <w:pStyle w:val="S0"/>
        <w:rPr>
          <w:rFonts w:eastAsia="PMingLiU"/>
          <w:szCs w:val="22"/>
          <w:lang w:eastAsia="en-US"/>
        </w:rPr>
      </w:pPr>
      <w:r>
        <w:rPr>
          <w:rFonts w:eastAsia="PMingLiU"/>
          <w:szCs w:val="22"/>
          <w:lang w:eastAsia="en-US"/>
        </w:rPr>
        <w:t>Краны шаровые должны быть рассчитаны для эксплуатации на открытом воздухе, с категорией размещения 1 по ГОСТ</w:t>
      </w:r>
      <w:r>
        <w:rPr>
          <w:rFonts w:eastAsia="PMingLiU"/>
          <w:szCs w:val="22"/>
          <w:lang w:val="en-US" w:eastAsia="en-US"/>
        </w:rPr>
        <w:t> </w:t>
      </w:r>
      <w:r>
        <w:rPr>
          <w:rFonts w:eastAsia="PMingLiU"/>
          <w:szCs w:val="22"/>
          <w:lang w:eastAsia="en-US"/>
        </w:rPr>
        <w:t xml:space="preserve">15150, </w:t>
      </w:r>
      <w:r>
        <w:rPr>
          <w:spacing w:val="-1"/>
        </w:rPr>
        <w:t xml:space="preserve">с выполнением эксплуатационных параметров при воздействии </w:t>
      </w:r>
      <w:r>
        <w:rPr>
          <w:spacing w:val="-2"/>
        </w:rPr>
        <w:t>совокупности климатических факторов,</w:t>
      </w:r>
      <w:r>
        <w:t xml:space="preserve"> харак</w:t>
      </w:r>
      <w:r>
        <w:rPr>
          <w:spacing w:val="-1"/>
        </w:rPr>
        <w:t>терных</w:t>
      </w:r>
      <w:r>
        <w:rPr>
          <w:spacing w:val="1"/>
        </w:rPr>
        <w:t xml:space="preserve"> </w:t>
      </w:r>
      <w:r>
        <w:t>для</w:t>
      </w:r>
      <w:r>
        <w:rPr>
          <w:spacing w:val="-3"/>
        </w:rPr>
        <w:t xml:space="preserve"> </w:t>
      </w:r>
      <w:r>
        <w:rPr>
          <w:spacing w:val="-2"/>
        </w:rPr>
        <w:t>данного</w:t>
      </w:r>
      <w:r>
        <w:rPr>
          <w:spacing w:val="1"/>
        </w:rPr>
        <w:t xml:space="preserve"> </w:t>
      </w:r>
      <w:r>
        <w:rPr>
          <w:spacing w:val="-2"/>
        </w:rPr>
        <w:t>макроклиматического</w:t>
      </w:r>
      <w:r>
        <w:rPr>
          <w:spacing w:val="-4"/>
        </w:rPr>
        <w:t xml:space="preserve"> </w:t>
      </w:r>
      <w:r>
        <w:rPr>
          <w:spacing w:val="-3"/>
        </w:rPr>
        <w:t>района</w:t>
      </w:r>
      <w:r>
        <w:rPr>
          <w:rFonts w:eastAsia="PMingLiU"/>
          <w:szCs w:val="22"/>
          <w:lang w:eastAsia="en-US"/>
        </w:rPr>
        <w:t>.</w:t>
      </w:r>
    </w:p>
    <w:p/>
    <w:p>
      <w:pPr>
        <w:pStyle w:val="Sd"/>
        <w:rPr>
          <w:rFonts w:cs="Arial"/>
          <w:szCs w:val="20"/>
        </w:rPr>
      </w:pPr>
      <w:r>
        <w:t xml:space="preserve">Таблица </w:t>
      </w:r>
      <w:fldSimple w:instr=" SEQ Таблица \* ARABIC ">
        <w:r>
          <w:rPr>
            <w:noProof/>
          </w:rPr>
          <w:t>1</w:t>
        </w:r>
      </w:fldSimple>
    </w:p>
    <w:p>
      <w:pPr>
        <w:pStyle w:val="Sd"/>
        <w:spacing w:after="60"/>
        <w:rPr>
          <w:rFonts w:cs="Arial"/>
        </w:rPr>
      </w:pPr>
      <w:r>
        <w:rPr>
          <w:rFonts w:cs="Arial"/>
        </w:rPr>
        <w:t>Климатическое исполнение</w:t>
      </w:r>
      <w:r>
        <w:rPr>
          <w:rFonts w:cs="Arial"/>
          <w:lang w:val="en-US"/>
        </w:rPr>
        <w:t xml:space="preserve"> </w:t>
      </w:r>
      <w:r>
        <w:rPr>
          <w:rFonts w:cs="Arial"/>
        </w:rPr>
        <w:t>кранов шаровых</w:t>
      </w:r>
    </w:p>
    <w:tbl>
      <w:tblPr>
        <w:tblW w:w="5000" w:type="pct"/>
        <w:tblCellMar>
          <w:left w:w="0" w:type="dxa"/>
          <w:right w:w="0" w:type="dxa"/>
        </w:tblCellMar>
        <w:tblLook w:val="01E0" w:firstRow="1" w:lastRow="1" w:firstColumn="1" w:lastColumn="1" w:noHBand="0" w:noVBand="0"/>
      </w:tblPr>
      <w:tblGrid>
        <w:gridCol w:w="3220"/>
        <w:gridCol w:w="1529"/>
        <w:gridCol w:w="1535"/>
        <w:gridCol w:w="1669"/>
        <w:gridCol w:w="1715"/>
      </w:tblGrid>
      <w:tr>
        <w:trPr>
          <w:trHeight w:val="297"/>
          <w:tblHeader/>
        </w:trPr>
        <w:tc>
          <w:tcPr>
            <w:tcW w:w="1665" w:type="pct"/>
            <w:vMerge w:val="restart"/>
            <w:tcBorders>
              <w:top w:val="single" w:sz="12" w:space="0" w:color="000000"/>
              <w:left w:val="single" w:sz="12"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lang w:val="ru-RU"/>
              </w:rPr>
            </w:pPr>
            <w:r>
              <w:rPr>
                <w:rFonts w:ascii="Arial" w:hAnsi="Arial" w:cs="Arial"/>
                <w:b/>
                <w:spacing w:val="-1"/>
                <w:sz w:val="16"/>
                <w:szCs w:val="16"/>
                <w:lang w:val="ru-RU"/>
              </w:rPr>
              <w:t>КЛИМАТИЧЕСКОЕ ИСПОЛНЕНИЕ</w:t>
            </w:r>
          </w:p>
        </w:tc>
        <w:tc>
          <w:tcPr>
            <w:tcW w:w="3335" w:type="pct"/>
            <w:gridSpan w:val="4"/>
            <w:tcBorders>
              <w:top w:val="single" w:sz="12" w:space="0" w:color="000000"/>
              <w:left w:val="single" w:sz="6" w:space="0" w:color="000000"/>
              <w:bottom w:val="single" w:sz="6" w:space="0" w:color="000000"/>
              <w:right w:val="single" w:sz="12" w:space="0" w:color="000000"/>
            </w:tcBorders>
            <w:shd w:val="clear" w:color="auto" w:fill="FFD200"/>
            <w:vAlign w:val="center"/>
          </w:tcPr>
          <w:p>
            <w:pPr>
              <w:pStyle w:val="TableParagraph"/>
              <w:spacing w:before="20" w:after="20"/>
              <w:jc w:val="center"/>
              <w:rPr>
                <w:rFonts w:ascii="Arial" w:eastAsia="Times New Roman" w:hAnsi="Arial" w:cs="Arial"/>
                <w:b/>
                <w:sz w:val="16"/>
                <w:szCs w:val="16"/>
                <w:lang w:val="ru-RU"/>
              </w:rPr>
            </w:pPr>
            <w:r>
              <w:rPr>
                <w:rFonts w:ascii="Arial" w:eastAsia="Times New Roman" w:hAnsi="Arial" w:cs="Arial"/>
                <w:b/>
                <w:sz w:val="16"/>
                <w:szCs w:val="16"/>
                <w:lang w:val="ru-RU"/>
              </w:rPr>
              <w:t>ЗНАЧЕНИЕ ТЕМПЕРАТУРЫ ОКРУЖАЮЩЕГО ВОЗДУХА, ºС</w:t>
            </w:r>
          </w:p>
        </w:tc>
      </w:tr>
      <w:tr>
        <w:trPr>
          <w:trHeight w:val="253"/>
          <w:tblHeader/>
        </w:trPr>
        <w:tc>
          <w:tcPr>
            <w:tcW w:w="1665" w:type="pct"/>
            <w:vMerge/>
            <w:tcBorders>
              <w:top w:val="single" w:sz="12" w:space="0" w:color="000000"/>
              <w:left w:val="single" w:sz="12" w:space="0" w:color="000000"/>
              <w:right w:val="single" w:sz="6" w:space="0" w:color="000000"/>
            </w:tcBorders>
            <w:shd w:val="clear" w:color="auto" w:fill="FFD200"/>
            <w:vAlign w:val="center"/>
          </w:tcPr>
          <w:p>
            <w:pPr>
              <w:pStyle w:val="TableParagraph"/>
              <w:spacing w:before="20" w:after="20"/>
              <w:jc w:val="center"/>
              <w:rPr>
                <w:rFonts w:ascii="Arial" w:eastAsia="Times New Roman" w:hAnsi="Arial" w:cs="Arial"/>
                <w:b/>
                <w:sz w:val="16"/>
                <w:szCs w:val="16"/>
                <w:lang w:val="ru-RU"/>
              </w:rPr>
            </w:pPr>
          </w:p>
        </w:tc>
        <w:tc>
          <w:tcPr>
            <w:tcW w:w="1585" w:type="pct"/>
            <w:gridSpan w:val="2"/>
            <w:tcBorders>
              <w:top w:val="single" w:sz="6" w:space="0" w:color="000000"/>
              <w:left w:val="single" w:sz="6" w:space="0" w:color="000000"/>
              <w:bottom w:val="single" w:sz="6" w:space="0" w:color="000000"/>
              <w:right w:val="single" w:sz="6" w:space="0" w:color="000000"/>
            </w:tcBorders>
            <w:shd w:val="clear" w:color="auto" w:fill="FFD200"/>
            <w:vAlign w:val="center"/>
          </w:tcPr>
          <w:p>
            <w:pPr>
              <w:pStyle w:val="TableParagraph"/>
              <w:spacing w:before="20" w:after="20"/>
              <w:jc w:val="center"/>
              <w:rPr>
                <w:rFonts w:ascii="Arial" w:eastAsia="Times New Roman" w:hAnsi="Arial" w:cs="Arial"/>
                <w:b/>
                <w:sz w:val="14"/>
                <w:szCs w:val="14"/>
                <w:lang w:val="ru-RU"/>
              </w:rPr>
            </w:pPr>
            <w:r>
              <w:rPr>
                <w:rFonts w:ascii="Arial" w:eastAsia="Times New Roman" w:hAnsi="Arial" w:cs="Arial"/>
                <w:b/>
                <w:sz w:val="14"/>
                <w:szCs w:val="14"/>
                <w:lang w:val="ru-RU"/>
              </w:rPr>
              <w:t>РАБОЧЕЕ</w:t>
            </w:r>
          </w:p>
        </w:tc>
        <w:tc>
          <w:tcPr>
            <w:tcW w:w="1750" w:type="pct"/>
            <w:gridSpan w:val="2"/>
            <w:tcBorders>
              <w:top w:val="single" w:sz="6" w:space="0" w:color="000000"/>
              <w:left w:val="single" w:sz="6" w:space="0" w:color="000000"/>
              <w:bottom w:val="single" w:sz="6" w:space="0" w:color="000000"/>
              <w:right w:val="single" w:sz="12" w:space="0" w:color="000000"/>
            </w:tcBorders>
            <w:shd w:val="clear" w:color="auto" w:fill="FFD200"/>
            <w:vAlign w:val="center"/>
          </w:tcPr>
          <w:p>
            <w:pPr>
              <w:pStyle w:val="TableParagraph"/>
              <w:spacing w:before="20" w:after="20"/>
              <w:jc w:val="center"/>
              <w:rPr>
                <w:rFonts w:ascii="Times New Roman" w:eastAsia="Times New Roman" w:hAnsi="Times New Roman"/>
                <w:sz w:val="14"/>
                <w:szCs w:val="14"/>
                <w:lang w:val="ru-RU"/>
              </w:rPr>
            </w:pPr>
            <w:r>
              <w:rPr>
                <w:rFonts w:ascii="Arial" w:eastAsia="Times New Roman" w:hAnsi="Arial" w:cs="Arial"/>
                <w:b/>
                <w:sz w:val="14"/>
                <w:szCs w:val="14"/>
                <w:lang w:val="ru-RU"/>
              </w:rPr>
              <w:t>ПРЕДЕЛЬНОЕ</w:t>
            </w:r>
          </w:p>
        </w:tc>
      </w:tr>
      <w:tr>
        <w:trPr>
          <w:trHeight w:val="216"/>
          <w:tblHeader/>
        </w:trPr>
        <w:tc>
          <w:tcPr>
            <w:tcW w:w="1665" w:type="pct"/>
            <w:vMerge/>
            <w:tcBorders>
              <w:left w:val="single" w:sz="12"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lang w:val="ru-RU"/>
              </w:rPr>
            </w:pPr>
          </w:p>
        </w:tc>
        <w:tc>
          <w:tcPr>
            <w:tcW w:w="791" w:type="pct"/>
            <w:tcBorders>
              <w:top w:val="single" w:sz="6"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4"/>
                <w:szCs w:val="14"/>
                <w:lang w:val="ru-RU"/>
              </w:rPr>
            </w:pPr>
            <w:r>
              <w:rPr>
                <w:rFonts w:ascii="Arial" w:hAnsi="Arial" w:cs="Arial"/>
                <w:b/>
                <w:spacing w:val="-1"/>
                <w:sz w:val="14"/>
                <w:szCs w:val="14"/>
                <w:lang w:val="ru-RU"/>
              </w:rPr>
              <w:t xml:space="preserve">ВЕРХНЕЕ </w:t>
            </w:r>
          </w:p>
        </w:tc>
        <w:tc>
          <w:tcPr>
            <w:tcW w:w="794" w:type="pct"/>
            <w:tcBorders>
              <w:top w:val="single" w:sz="6"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4"/>
                <w:szCs w:val="14"/>
                <w:lang w:val="ru-RU"/>
              </w:rPr>
            </w:pPr>
            <w:r>
              <w:rPr>
                <w:rFonts w:ascii="Arial" w:hAnsi="Arial" w:cs="Arial"/>
                <w:b/>
                <w:spacing w:val="-1"/>
                <w:sz w:val="14"/>
                <w:szCs w:val="14"/>
                <w:lang w:val="ru-RU"/>
              </w:rPr>
              <w:t xml:space="preserve">НИЖНЕЕ </w:t>
            </w:r>
          </w:p>
        </w:tc>
        <w:tc>
          <w:tcPr>
            <w:tcW w:w="863" w:type="pct"/>
            <w:tcBorders>
              <w:top w:val="single" w:sz="6"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4"/>
                <w:szCs w:val="14"/>
                <w:lang w:val="ru-RU"/>
              </w:rPr>
            </w:pPr>
            <w:r>
              <w:rPr>
                <w:rFonts w:ascii="Arial" w:hAnsi="Arial" w:cs="Arial"/>
                <w:b/>
                <w:spacing w:val="-1"/>
                <w:sz w:val="14"/>
                <w:szCs w:val="14"/>
                <w:lang w:val="ru-RU"/>
              </w:rPr>
              <w:t xml:space="preserve">ВЕРХНЕЕ </w:t>
            </w:r>
          </w:p>
        </w:tc>
        <w:tc>
          <w:tcPr>
            <w:tcW w:w="887" w:type="pct"/>
            <w:tcBorders>
              <w:top w:val="single" w:sz="6" w:space="0" w:color="000000"/>
              <w:left w:val="single" w:sz="6" w:space="0" w:color="000000"/>
              <w:bottom w:val="single" w:sz="12" w:space="0" w:color="000000"/>
              <w:right w:val="single" w:sz="12" w:space="0" w:color="000000"/>
            </w:tcBorders>
            <w:shd w:val="clear" w:color="auto" w:fill="FFD200"/>
            <w:vAlign w:val="center"/>
          </w:tcPr>
          <w:p>
            <w:pPr>
              <w:pStyle w:val="TableParagraph"/>
              <w:spacing w:before="20" w:after="20"/>
              <w:jc w:val="center"/>
              <w:rPr>
                <w:rFonts w:ascii="Arial" w:hAnsi="Arial" w:cs="Arial"/>
                <w:b/>
                <w:spacing w:val="-1"/>
                <w:sz w:val="14"/>
                <w:szCs w:val="14"/>
                <w:lang w:val="ru-RU"/>
              </w:rPr>
            </w:pPr>
            <w:r>
              <w:rPr>
                <w:rFonts w:ascii="Arial" w:hAnsi="Arial" w:cs="Arial"/>
                <w:b/>
                <w:spacing w:val="-1"/>
                <w:sz w:val="14"/>
                <w:szCs w:val="14"/>
                <w:lang w:val="ru-RU"/>
              </w:rPr>
              <w:t xml:space="preserve">НИЖНЕЕ </w:t>
            </w:r>
          </w:p>
        </w:tc>
      </w:tr>
      <w:tr>
        <w:trPr>
          <w:trHeight w:val="120"/>
          <w:tblHeader/>
        </w:trPr>
        <w:tc>
          <w:tcPr>
            <w:tcW w:w="1665" w:type="pct"/>
            <w:tcBorders>
              <w:left w:val="single" w:sz="12"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lang w:val="ru-RU"/>
              </w:rPr>
            </w:pPr>
            <w:r>
              <w:rPr>
                <w:rFonts w:ascii="Arial" w:hAnsi="Arial" w:cs="Arial"/>
                <w:b/>
                <w:spacing w:val="-1"/>
                <w:sz w:val="16"/>
                <w:szCs w:val="16"/>
                <w:lang w:val="ru-RU"/>
              </w:rPr>
              <w:t>1</w:t>
            </w:r>
          </w:p>
        </w:tc>
        <w:tc>
          <w:tcPr>
            <w:tcW w:w="791" w:type="pct"/>
            <w:tcBorders>
              <w:top w:val="single" w:sz="12"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rPr>
            </w:pPr>
            <w:r>
              <w:rPr>
                <w:rFonts w:ascii="Arial" w:hAnsi="Arial" w:cs="Arial"/>
                <w:b/>
                <w:spacing w:val="-1"/>
                <w:sz w:val="16"/>
                <w:szCs w:val="16"/>
              </w:rPr>
              <w:t>2</w:t>
            </w:r>
          </w:p>
        </w:tc>
        <w:tc>
          <w:tcPr>
            <w:tcW w:w="794" w:type="pct"/>
            <w:tcBorders>
              <w:top w:val="single" w:sz="12"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rPr>
            </w:pPr>
            <w:r>
              <w:rPr>
                <w:rFonts w:ascii="Arial" w:hAnsi="Arial" w:cs="Arial"/>
                <w:b/>
                <w:spacing w:val="-1"/>
                <w:sz w:val="16"/>
                <w:szCs w:val="16"/>
              </w:rPr>
              <w:t>3</w:t>
            </w:r>
          </w:p>
        </w:tc>
        <w:tc>
          <w:tcPr>
            <w:tcW w:w="863" w:type="pct"/>
            <w:tcBorders>
              <w:top w:val="single" w:sz="12" w:space="0" w:color="000000"/>
              <w:left w:val="single" w:sz="6" w:space="0" w:color="000000"/>
              <w:bottom w:val="single" w:sz="12" w:space="0" w:color="000000"/>
              <w:right w:val="single" w:sz="6" w:space="0" w:color="000000"/>
            </w:tcBorders>
            <w:shd w:val="clear" w:color="auto" w:fill="FFD200"/>
            <w:vAlign w:val="center"/>
          </w:tcPr>
          <w:p>
            <w:pPr>
              <w:pStyle w:val="TableParagraph"/>
              <w:spacing w:before="20" w:after="20"/>
              <w:jc w:val="center"/>
              <w:rPr>
                <w:rFonts w:ascii="Arial" w:hAnsi="Arial" w:cs="Arial"/>
                <w:b/>
                <w:spacing w:val="-1"/>
                <w:sz w:val="16"/>
                <w:szCs w:val="16"/>
              </w:rPr>
            </w:pPr>
            <w:r>
              <w:rPr>
                <w:rFonts w:ascii="Arial" w:hAnsi="Arial" w:cs="Arial"/>
                <w:b/>
                <w:spacing w:val="-1"/>
                <w:sz w:val="16"/>
                <w:szCs w:val="16"/>
              </w:rPr>
              <w:t>4</w:t>
            </w:r>
          </w:p>
        </w:tc>
        <w:tc>
          <w:tcPr>
            <w:tcW w:w="887" w:type="pct"/>
            <w:tcBorders>
              <w:top w:val="single" w:sz="12" w:space="0" w:color="000000"/>
              <w:left w:val="single" w:sz="6" w:space="0" w:color="000000"/>
              <w:bottom w:val="single" w:sz="12" w:space="0" w:color="000000"/>
              <w:right w:val="single" w:sz="12" w:space="0" w:color="000000"/>
            </w:tcBorders>
            <w:shd w:val="clear" w:color="auto" w:fill="FFD200"/>
            <w:vAlign w:val="center"/>
          </w:tcPr>
          <w:p>
            <w:pPr>
              <w:pStyle w:val="TableParagraph"/>
              <w:spacing w:before="20" w:after="20"/>
              <w:jc w:val="center"/>
              <w:rPr>
                <w:rFonts w:ascii="Arial" w:hAnsi="Arial" w:cs="Arial"/>
                <w:b/>
                <w:spacing w:val="-1"/>
                <w:sz w:val="16"/>
                <w:szCs w:val="16"/>
              </w:rPr>
            </w:pPr>
            <w:r>
              <w:rPr>
                <w:rFonts w:ascii="Arial" w:hAnsi="Arial" w:cs="Arial"/>
                <w:b/>
                <w:spacing w:val="-1"/>
                <w:sz w:val="16"/>
                <w:szCs w:val="16"/>
              </w:rPr>
              <w:t>5</w:t>
            </w:r>
          </w:p>
        </w:tc>
      </w:tr>
      <w:tr>
        <w:trPr>
          <w:trHeight w:val="321"/>
        </w:trPr>
        <w:tc>
          <w:tcPr>
            <w:tcW w:w="1665" w:type="pct"/>
            <w:tcBorders>
              <w:top w:val="single" w:sz="12" w:space="0" w:color="000000"/>
              <w:left w:val="single" w:sz="12" w:space="0" w:color="000000"/>
              <w:bottom w:val="single" w:sz="6"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У</w:t>
            </w:r>
          </w:p>
        </w:tc>
        <w:tc>
          <w:tcPr>
            <w:tcW w:w="791" w:type="pct"/>
            <w:tcBorders>
              <w:top w:val="single" w:sz="12" w:space="0" w:color="000000"/>
              <w:left w:val="single" w:sz="6" w:space="0" w:color="000000"/>
              <w:bottom w:val="single" w:sz="6"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Плюс 40</w:t>
            </w:r>
          </w:p>
        </w:tc>
        <w:tc>
          <w:tcPr>
            <w:tcW w:w="794" w:type="pct"/>
            <w:tcBorders>
              <w:top w:val="single" w:sz="12" w:space="0" w:color="000000"/>
              <w:left w:val="single" w:sz="6" w:space="0" w:color="000000"/>
              <w:bottom w:val="single" w:sz="6"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Минус 45</w:t>
            </w:r>
          </w:p>
        </w:tc>
        <w:tc>
          <w:tcPr>
            <w:tcW w:w="863" w:type="pct"/>
            <w:tcBorders>
              <w:top w:val="single" w:sz="12" w:space="0" w:color="000000"/>
              <w:left w:val="single" w:sz="6" w:space="0" w:color="000000"/>
              <w:bottom w:val="single" w:sz="6"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Плюс 45</w:t>
            </w:r>
          </w:p>
        </w:tc>
        <w:tc>
          <w:tcPr>
            <w:tcW w:w="887" w:type="pct"/>
            <w:tcBorders>
              <w:top w:val="single" w:sz="12" w:space="0" w:color="000000"/>
              <w:left w:val="single" w:sz="6" w:space="0" w:color="000000"/>
              <w:bottom w:val="single" w:sz="6" w:space="0" w:color="000000"/>
              <w:right w:val="single" w:sz="12"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Минус 50</w:t>
            </w:r>
          </w:p>
        </w:tc>
      </w:tr>
      <w:tr>
        <w:trPr>
          <w:trHeight w:val="283"/>
        </w:trPr>
        <w:tc>
          <w:tcPr>
            <w:tcW w:w="1665" w:type="pct"/>
            <w:tcBorders>
              <w:top w:val="single" w:sz="6" w:space="0" w:color="000000"/>
              <w:left w:val="single" w:sz="12" w:space="0" w:color="000000"/>
              <w:bottom w:val="single" w:sz="12"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УХЛ</w:t>
            </w:r>
          </w:p>
        </w:tc>
        <w:tc>
          <w:tcPr>
            <w:tcW w:w="791" w:type="pct"/>
            <w:tcBorders>
              <w:top w:val="single" w:sz="6" w:space="0" w:color="000000"/>
              <w:left w:val="single" w:sz="6" w:space="0" w:color="000000"/>
              <w:bottom w:val="single" w:sz="12"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Плюс 40</w:t>
            </w:r>
          </w:p>
        </w:tc>
        <w:tc>
          <w:tcPr>
            <w:tcW w:w="794" w:type="pct"/>
            <w:tcBorders>
              <w:top w:val="single" w:sz="6" w:space="0" w:color="000000"/>
              <w:left w:val="single" w:sz="6" w:space="0" w:color="000000"/>
              <w:bottom w:val="single" w:sz="12"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Минус 60</w:t>
            </w:r>
          </w:p>
        </w:tc>
        <w:tc>
          <w:tcPr>
            <w:tcW w:w="863" w:type="pct"/>
            <w:tcBorders>
              <w:top w:val="single" w:sz="6" w:space="0" w:color="000000"/>
              <w:left w:val="single" w:sz="6" w:space="0" w:color="000000"/>
              <w:bottom w:val="single" w:sz="12" w:space="0" w:color="000000"/>
              <w:right w:val="single" w:sz="6"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Плюс 45</w:t>
            </w:r>
          </w:p>
        </w:tc>
        <w:tc>
          <w:tcPr>
            <w:tcW w:w="887" w:type="pct"/>
            <w:tcBorders>
              <w:top w:val="single" w:sz="6" w:space="0" w:color="000000"/>
              <w:left w:val="single" w:sz="6" w:space="0" w:color="000000"/>
              <w:bottom w:val="single" w:sz="12" w:space="0" w:color="000000"/>
              <w:right w:val="single" w:sz="12" w:space="0" w:color="000000"/>
            </w:tcBorders>
            <w:shd w:val="clear" w:color="auto" w:fill="auto"/>
          </w:tcPr>
          <w:p>
            <w:pPr>
              <w:pStyle w:val="TableParagraph"/>
              <w:ind w:left="57"/>
              <w:rPr>
                <w:rFonts w:ascii="Times New Roman" w:eastAsia="Times New Roman" w:hAnsi="Times New Roman"/>
                <w:sz w:val="20"/>
                <w:szCs w:val="20"/>
                <w:lang w:val="ru-RU"/>
              </w:rPr>
            </w:pPr>
            <w:r>
              <w:rPr>
                <w:rFonts w:ascii="Times New Roman" w:eastAsia="Times New Roman" w:hAnsi="Times New Roman"/>
                <w:sz w:val="20"/>
                <w:szCs w:val="20"/>
                <w:lang w:val="ru-RU"/>
              </w:rPr>
              <w:t>Минус 70</w:t>
            </w:r>
          </w:p>
        </w:tc>
      </w:tr>
    </w:tbl>
    <w:p>
      <w:pPr>
        <w:rPr>
          <w:rFonts w:eastAsia="Times New Roman"/>
        </w:rPr>
      </w:pPr>
    </w:p>
    <w:p>
      <w:pPr>
        <w:rPr>
          <w:rFonts w:eastAsia="Times New Roman"/>
        </w:rPr>
      </w:pPr>
      <w:r>
        <w:rPr>
          <w:rFonts w:eastAsia="Times New Roman"/>
        </w:rPr>
        <w:t>При транспортировании и монтаже кран шаровой должен выдерживать колебания температур окружающего воздуха. Величина изменения температуры окружающего воздуха за 8 часов составляет для климатического исполнения У, УХЛ – 40 °С.</w:t>
      </w:r>
    </w:p>
    <w:p>
      <w:pPr>
        <w:rPr>
          <w:rFonts w:eastAsia="Times New Roman"/>
        </w:rPr>
      </w:pPr>
    </w:p>
    <w:p>
      <w:pPr>
        <w:rPr>
          <w:rFonts w:eastAsia="Times New Roman"/>
        </w:rPr>
      </w:pPr>
      <w:r>
        <w:rPr>
          <w:rFonts w:eastAsia="Times New Roman"/>
        </w:rPr>
        <w:t>Относительная влажность окружающего воздуха при транспортировании, монтаже и эксплуатации кранов шаровых может достигать 100 % при 25 °С.</w:t>
      </w:r>
    </w:p>
    <w:p>
      <w:pPr>
        <w:rPr>
          <w:rFonts w:eastAsia="Times New Roman"/>
        </w:rPr>
      </w:pPr>
    </w:p>
    <w:p>
      <w:pPr>
        <w:rPr>
          <w:rFonts w:eastAsia="Times New Roman"/>
        </w:rPr>
      </w:pPr>
      <w:r>
        <w:rPr>
          <w:rFonts w:eastAsia="Times New Roman"/>
        </w:rPr>
        <w:t xml:space="preserve">По содержанию в атмосфере на открытом воздухе коррозионно-активных агентов принять тип атмосферы </w:t>
      </w:r>
      <w:r>
        <w:rPr>
          <w:rFonts w:eastAsia="Times New Roman"/>
          <w:lang w:val="en-US"/>
        </w:rPr>
        <w:t>II</w:t>
      </w:r>
      <w:r>
        <w:rPr>
          <w:rFonts w:eastAsia="Times New Roman"/>
        </w:rPr>
        <w:t xml:space="preserve"> – промышленная  Таблица 8 по ГОСТ</w:t>
      </w:r>
      <w:r>
        <w:rPr>
          <w:rFonts w:eastAsia="Times New Roman"/>
          <w:lang w:val="en-US"/>
        </w:rPr>
        <w:t> </w:t>
      </w:r>
      <w:r>
        <w:rPr>
          <w:rFonts w:eastAsia="Times New Roman"/>
        </w:rPr>
        <w:t>15150-69:</w:t>
      </w:r>
    </w:p>
    <w:p>
      <w:pPr>
        <w:pStyle w:val="S0"/>
        <w:rPr>
          <w:rFonts w:eastAsia="PMingLiU"/>
        </w:rPr>
      </w:pPr>
    </w:p>
    <w:p>
      <w:pPr>
        <w:pStyle w:val="S0"/>
        <w:rPr>
          <w:rFonts w:eastAsia="PMingLiU"/>
        </w:rPr>
      </w:pPr>
      <w:r>
        <w:rPr>
          <w:rFonts w:eastAsia="PMingLiU"/>
        </w:rPr>
        <w:t>Условное обозначение исполнения по сейсмостойкости, значение сейсмичности района размещения по шкале MSK-64 приведены в Таблице 2.</w:t>
      </w:r>
    </w:p>
    <w:p>
      <w:pPr>
        <w:pStyle w:val="S0"/>
        <w:rPr>
          <w:rFonts w:eastAsia="PMingLiU"/>
        </w:rPr>
      </w:pPr>
    </w:p>
    <w:p>
      <w:pPr>
        <w:pStyle w:val="S0"/>
        <w:rPr>
          <w:rFonts w:eastAsia="PMingLiU"/>
          <w:lang w:eastAsia="en-US"/>
        </w:rPr>
      </w:pPr>
      <w:r>
        <w:rPr>
          <w:rFonts w:eastAsia="PMingLiU"/>
          <w:lang w:eastAsia="en-US"/>
        </w:rPr>
        <w:t>Краны шаровые должны сохранять работоспособность, прочность, герметичность по отношению к внешним воздействиям во время и после сейсмического воздействия до значения (в баллах) включительно, указанного в условном обозначении.</w:t>
      </w:r>
    </w:p>
    <w:p>
      <w:pPr>
        <w:pStyle w:val="S0"/>
        <w:rPr>
          <w:rFonts w:eastAsia="PMingLiU"/>
          <w:lang w:eastAsia="en-US"/>
        </w:rPr>
      </w:pPr>
    </w:p>
    <w:p>
      <w:pPr>
        <w:pStyle w:val="Sd"/>
        <w:rPr>
          <w:rFonts w:cs="Arial"/>
          <w:szCs w:val="20"/>
        </w:rPr>
      </w:pPr>
      <w:r>
        <w:t xml:space="preserve">Таблица </w:t>
      </w:r>
      <w:fldSimple w:instr=" SEQ Таблица \* ARABIC ">
        <w:r>
          <w:rPr>
            <w:noProof/>
          </w:rPr>
          <w:t>2</w:t>
        </w:r>
      </w:fldSimple>
    </w:p>
    <w:p>
      <w:pPr>
        <w:keepNext/>
        <w:tabs>
          <w:tab w:val="left" w:pos="1418"/>
        </w:tabs>
        <w:spacing w:after="60"/>
        <w:jc w:val="right"/>
        <w:rPr>
          <w:rFonts w:ascii="Arial" w:hAnsi="Arial" w:cs="Arial"/>
          <w:b/>
          <w:sz w:val="20"/>
        </w:rPr>
      </w:pPr>
      <w:r>
        <w:rPr>
          <w:rFonts w:ascii="Arial" w:hAnsi="Arial" w:cs="Arial"/>
          <w:b/>
          <w:sz w:val="20"/>
        </w:rPr>
        <w:t>Значения сейсмической интенсивности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383"/>
        <w:gridCol w:w="2088"/>
        <w:gridCol w:w="2786"/>
        <w:gridCol w:w="2411"/>
      </w:tblGrid>
      <w:tr>
        <w:trPr>
          <w:trHeight w:val="435"/>
          <w:tblHeader/>
        </w:trPr>
        <w:tc>
          <w:tcPr>
            <w:tcW w:w="1232" w:type="pct"/>
            <w:tcBorders>
              <w:top w:val="single" w:sz="12" w:space="0" w:color="auto"/>
              <w:bottom w:val="single" w:sz="12" w:space="0" w:color="auto"/>
            </w:tcBorders>
            <w:shd w:val="clear" w:color="auto" w:fill="FFD200"/>
            <w:tcMar>
              <w:top w:w="28" w:type="dxa"/>
              <w:bottom w:w="28" w:type="dxa"/>
            </w:tcMar>
            <w:vAlign w:val="center"/>
          </w:tcPr>
          <w:p>
            <w:pPr>
              <w:keepNext/>
              <w:jc w:val="center"/>
              <w:rPr>
                <w:rFonts w:ascii="Arial" w:hAnsi="Arial" w:cs="Arial"/>
                <w:b/>
                <w:caps/>
                <w:sz w:val="16"/>
                <w:szCs w:val="16"/>
              </w:rPr>
            </w:pPr>
            <w:r>
              <w:rPr>
                <w:rFonts w:ascii="Arial" w:hAnsi="Arial" w:cs="Arial"/>
                <w:b/>
                <w:caps/>
                <w:sz w:val="16"/>
                <w:szCs w:val="16"/>
              </w:rPr>
              <w:t>НАИМЕНОВАНИЕ ПОКАЗАТЕЛЯ</w:t>
            </w:r>
          </w:p>
        </w:tc>
        <w:tc>
          <w:tcPr>
            <w:tcW w:w="1080" w:type="pct"/>
            <w:tcBorders>
              <w:top w:val="single" w:sz="12" w:space="0" w:color="auto"/>
              <w:bottom w:val="single" w:sz="12" w:space="0" w:color="auto"/>
            </w:tcBorders>
            <w:shd w:val="clear" w:color="auto" w:fill="FFD200"/>
            <w:vAlign w:val="center"/>
          </w:tcPr>
          <w:p>
            <w:pPr>
              <w:keepNext/>
              <w:jc w:val="center"/>
              <w:rPr>
                <w:rFonts w:ascii="Arial" w:hAnsi="Arial" w:cs="Arial"/>
                <w:b/>
                <w:caps/>
                <w:sz w:val="16"/>
                <w:szCs w:val="16"/>
              </w:rPr>
            </w:pPr>
            <w:r>
              <w:rPr>
                <w:rFonts w:ascii="Arial" w:hAnsi="Arial" w:cs="Arial"/>
                <w:b/>
                <w:caps/>
                <w:sz w:val="16"/>
                <w:szCs w:val="16"/>
              </w:rPr>
              <w:t>ИСПОЛНЕНИЕ ПО ПОСЕЙСМОСТОЙКОСТИ</w:t>
            </w:r>
          </w:p>
        </w:tc>
        <w:tc>
          <w:tcPr>
            <w:tcW w:w="1441" w:type="pct"/>
            <w:tcBorders>
              <w:top w:val="single" w:sz="12" w:space="0" w:color="auto"/>
              <w:bottom w:val="single" w:sz="12" w:space="0" w:color="auto"/>
            </w:tcBorders>
            <w:shd w:val="clear" w:color="auto" w:fill="FFD200"/>
            <w:tcMar>
              <w:top w:w="28" w:type="dxa"/>
              <w:bottom w:w="28" w:type="dxa"/>
            </w:tcMar>
            <w:vAlign w:val="center"/>
          </w:tcPr>
          <w:p>
            <w:pPr>
              <w:keepNext/>
              <w:jc w:val="center"/>
              <w:rPr>
                <w:rFonts w:ascii="Arial" w:hAnsi="Arial" w:cs="Arial"/>
                <w:b/>
                <w:caps/>
                <w:sz w:val="16"/>
                <w:szCs w:val="16"/>
              </w:rPr>
            </w:pPr>
            <w:r>
              <w:rPr>
                <w:rFonts w:ascii="Arial" w:hAnsi="Arial" w:cs="Arial"/>
                <w:b/>
                <w:caps/>
                <w:sz w:val="16"/>
                <w:szCs w:val="16"/>
              </w:rPr>
              <w:t>УСЛОВНОЕ ОБОЗНАЧЕНИЕ ИСПОЛНЕНИЯ ПО СЕЙСМОСТОЙКОСТИ</w:t>
            </w:r>
          </w:p>
        </w:tc>
        <w:tc>
          <w:tcPr>
            <w:tcW w:w="1247" w:type="pct"/>
            <w:tcBorders>
              <w:top w:val="single" w:sz="12" w:space="0" w:color="auto"/>
              <w:bottom w:val="single" w:sz="12" w:space="0" w:color="auto"/>
            </w:tcBorders>
            <w:shd w:val="clear" w:color="auto" w:fill="FFD200"/>
            <w:vAlign w:val="center"/>
          </w:tcPr>
          <w:p>
            <w:pPr>
              <w:keepNext/>
              <w:jc w:val="center"/>
              <w:rPr>
                <w:rFonts w:ascii="Arial" w:hAnsi="Arial" w:cs="Arial"/>
                <w:b/>
                <w:caps/>
                <w:sz w:val="16"/>
                <w:szCs w:val="16"/>
              </w:rPr>
            </w:pPr>
            <w:r>
              <w:rPr>
                <w:rFonts w:ascii="Arial" w:hAnsi="Arial" w:cs="Arial"/>
                <w:b/>
                <w:caps/>
                <w:sz w:val="16"/>
                <w:szCs w:val="16"/>
              </w:rPr>
              <w:t xml:space="preserve">ЗНАЧЕНИЕ СЕЙСМИЧНОСТИ, В БАЛЛАХ </w:t>
            </w:r>
          </w:p>
        </w:tc>
      </w:tr>
      <w:tr>
        <w:trPr>
          <w:trHeight w:val="150"/>
          <w:tblHeader/>
        </w:trPr>
        <w:tc>
          <w:tcPr>
            <w:tcW w:w="1232" w:type="pct"/>
            <w:tcBorders>
              <w:top w:val="single" w:sz="12" w:space="0" w:color="auto"/>
              <w:bottom w:val="single" w:sz="12" w:space="0" w:color="auto"/>
            </w:tcBorders>
            <w:shd w:val="clear" w:color="auto" w:fill="FFD200"/>
            <w:tcMar>
              <w:top w:w="28" w:type="dxa"/>
              <w:bottom w:w="28" w:type="dxa"/>
            </w:tcMar>
            <w:vAlign w:val="center"/>
          </w:tcPr>
          <w:p>
            <w:pPr>
              <w:keepNext/>
              <w:jc w:val="center"/>
              <w:rPr>
                <w:rFonts w:ascii="Arial" w:hAnsi="Arial" w:cs="Arial"/>
                <w:b/>
                <w:caps/>
                <w:sz w:val="16"/>
                <w:szCs w:val="16"/>
              </w:rPr>
            </w:pPr>
            <w:r>
              <w:rPr>
                <w:rFonts w:ascii="Arial" w:hAnsi="Arial" w:cs="Arial"/>
                <w:b/>
                <w:caps/>
                <w:sz w:val="16"/>
                <w:szCs w:val="16"/>
              </w:rPr>
              <w:t>1</w:t>
            </w:r>
          </w:p>
        </w:tc>
        <w:tc>
          <w:tcPr>
            <w:tcW w:w="1080" w:type="pct"/>
            <w:tcBorders>
              <w:top w:val="single" w:sz="12" w:space="0" w:color="auto"/>
              <w:bottom w:val="single" w:sz="12" w:space="0" w:color="auto"/>
            </w:tcBorders>
            <w:shd w:val="clear" w:color="auto" w:fill="FFD200"/>
            <w:vAlign w:val="center"/>
          </w:tcPr>
          <w:p>
            <w:pPr>
              <w:keepNext/>
              <w:jc w:val="center"/>
              <w:rPr>
                <w:rFonts w:ascii="Arial" w:hAnsi="Arial" w:cs="Arial"/>
                <w:b/>
                <w:caps/>
                <w:sz w:val="16"/>
                <w:szCs w:val="16"/>
              </w:rPr>
            </w:pPr>
            <w:r>
              <w:rPr>
                <w:rFonts w:ascii="Arial" w:hAnsi="Arial" w:cs="Arial"/>
                <w:b/>
                <w:caps/>
                <w:sz w:val="16"/>
                <w:szCs w:val="16"/>
              </w:rPr>
              <w:t>2</w:t>
            </w:r>
          </w:p>
        </w:tc>
        <w:tc>
          <w:tcPr>
            <w:tcW w:w="1441" w:type="pct"/>
            <w:tcBorders>
              <w:top w:val="single" w:sz="12" w:space="0" w:color="auto"/>
              <w:bottom w:val="single" w:sz="12" w:space="0" w:color="auto"/>
            </w:tcBorders>
            <w:shd w:val="clear" w:color="auto" w:fill="FFD200"/>
            <w:tcMar>
              <w:top w:w="28" w:type="dxa"/>
              <w:bottom w:w="28" w:type="dxa"/>
            </w:tcMar>
            <w:vAlign w:val="center"/>
          </w:tcPr>
          <w:p>
            <w:pPr>
              <w:keepNext/>
              <w:jc w:val="center"/>
              <w:rPr>
                <w:rFonts w:ascii="Arial" w:hAnsi="Arial" w:cs="Arial"/>
                <w:b/>
                <w:caps/>
                <w:sz w:val="16"/>
                <w:szCs w:val="16"/>
              </w:rPr>
            </w:pPr>
            <w:r>
              <w:rPr>
                <w:rFonts w:ascii="Arial" w:hAnsi="Arial" w:cs="Arial"/>
                <w:b/>
                <w:caps/>
                <w:sz w:val="16"/>
                <w:szCs w:val="16"/>
              </w:rPr>
              <w:t>3</w:t>
            </w:r>
          </w:p>
        </w:tc>
        <w:tc>
          <w:tcPr>
            <w:tcW w:w="1247" w:type="pct"/>
            <w:tcBorders>
              <w:top w:val="single" w:sz="12" w:space="0" w:color="auto"/>
              <w:bottom w:val="single" w:sz="12" w:space="0" w:color="auto"/>
            </w:tcBorders>
            <w:shd w:val="clear" w:color="auto" w:fill="FFD200"/>
            <w:vAlign w:val="center"/>
          </w:tcPr>
          <w:p>
            <w:pPr>
              <w:keepNext/>
              <w:jc w:val="center"/>
              <w:rPr>
                <w:rFonts w:ascii="Arial" w:hAnsi="Arial" w:cs="Arial"/>
                <w:b/>
                <w:caps/>
                <w:sz w:val="16"/>
                <w:szCs w:val="16"/>
              </w:rPr>
            </w:pPr>
            <w:r>
              <w:rPr>
                <w:rFonts w:ascii="Arial" w:hAnsi="Arial" w:cs="Arial"/>
                <w:b/>
                <w:caps/>
                <w:sz w:val="16"/>
                <w:szCs w:val="16"/>
              </w:rPr>
              <w:t>4</w:t>
            </w:r>
          </w:p>
        </w:tc>
      </w:tr>
      <w:tr>
        <w:trPr>
          <w:trHeight w:val="20"/>
        </w:trPr>
        <w:tc>
          <w:tcPr>
            <w:tcW w:w="1232" w:type="pct"/>
            <w:vMerge w:val="restart"/>
            <w:tcBorders>
              <w:top w:val="single" w:sz="12" w:space="0" w:color="auto"/>
              <w:bottom w:val="single" w:sz="6" w:space="0" w:color="auto"/>
            </w:tcBorders>
            <w:shd w:val="clear" w:color="auto" w:fill="auto"/>
            <w:tcMar>
              <w:top w:w="28" w:type="dxa"/>
              <w:bottom w:w="28" w:type="dxa"/>
            </w:tcMar>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 xml:space="preserve">Сейсмичность района </w:t>
            </w:r>
            <w:r>
              <w:rPr>
                <w:rFonts w:ascii="Times New Roman" w:eastAsiaTheme="minorEastAsia" w:hAnsi="Times New Roman"/>
                <w:sz w:val="20"/>
                <w:szCs w:val="20"/>
                <w:lang w:val="ru-RU" w:eastAsia="ru-RU"/>
              </w:rPr>
              <w:lastRenderedPageBreak/>
              <w:t>размещения, баллов, по шкале сейсмической интенсивности МSK-64</w:t>
            </w:r>
          </w:p>
        </w:tc>
        <w:tc>
          <w:tcPr>
            <w:tcW w:w="1080" w:type="pct"/>
            <w:tcBorders>
              <w:top w:val="single" w:sz="12" w:space="0" w:color="auto"/>
              <w:bottom w:val="single" w:sz="6" w:space="0" w:color="auto"/>
            </w:tcBorders>
            <w:shd w:val="clear" w:color="auto" w:fill="auto"/>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lastRenderedPageBreak/>
              <w:t>Несейсмостойкое</w:t>
            </w:r>
          </w:p>
        </w:tc>
        <w:tc>
          <w:tcPr>
            <w:tcW w:w="1441" w:type="pct"/>
            <w:tcBorders>
              <w:top w:val="single" w:sz="12" w:space="0" w:color="auto"/>
              <w:bottom w:val="single" w:sz="6" w:space="0" w:color="auto"/>
            </w:tcBorders>
            <w:tcMar>
              <w:top w:w="28" w:type="dxa"/>
              <w:bottom w:w="28" w:type="dxa"/>
            </w:tcMar>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С0</w:t>
            </w:r>
          </w:p>
        </w:tc>
        <w:tc>
          <w:tcPr>
            <w:tcW w:w="1247" w:type="pct"/>
            <w:tcBorders>
              <w:top w:val="single" w:sz="12" w:space="0" w:color="auto"/>
              <w:bottom w:val="single" w:sz="6" w:space="0" w:color="auto"/>
            </w:tcBorders>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До 6 включительно</w:t>
            </w:r>
          </w:p>
        </w:tc>
      </w:tr>
      <w:tr>
        <w:trPr>
          <w:trHeight w:val="20"/>
        </w:trPr>
        <w:tc>
          <w:tcPr>
            <w:tcW w:w="1232" w:type="pct"/>
            <w:vMerge/>
            <w:tcBorders>
              <w:top w:val="single" w:sz="6" w:space="0" w:color="auto"/>
              <w:bottom w:val="single" w:sz="6" w:space="0" w:color="auto"/>
            </w:tcBorders>
            <w:shd w:val="clear" w:color="auto" w:fill="auto"/>
            <w:tcMar>
              <w:top w:w="28" w:type="dxa"/>
              <w:bottom w:w="28" w:type="dxa"/>
            </w:tcMar>
          </w:tcPr>
          <w:p>
            <w:pPr>
              <w:pStyle w:val="TableParagraph"/>
              <w:ind w:left="57"/>
              <w:jc w:val="left"/>
              <w:rPr>
                <w:sz w:val="20"/>
                <w:szCs w:val="20"/>
              </w:rPr>
            </w:pPr>
          </w:p>
        </w:tc>
        <w:tc>
          <w:tcPr>
            <w:tcW w:w="1080" w:type="pct"/>
            <w:tcBorders>
              <w:top w:val="single" w:sz="6" w:space="0" w:color="auto"/>
              <w:bottom w:val="single" w:sz="6" w:space="0" w:color="auto"/>
            </w:tcBorders>
            <w:shd w:val="clear" w:color="auto" w:fill="auto"/>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Сейсмостойкое</w:t>
            </w:r>
          </w:p>
        </w:tc>
        <w:tc>
          <w:tcPr>
            <w:tcW w:w="1441" w:type="pct"/>
            <w:tcBorders>
              <w:top w:val="single" w:sz="6" w:space="0" w:color="auto"/>
              <w:bottom w:val="single" w:sz="6" w:space="0" w:color="auto"/>
            </w:tcBorders>
            <w:tcMar>
              <w:top w:w="28" w:type="dxa"/>
              <w:bottom w:w="28" w:type="dxa"/>
            </w:tcMar>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С</w:t>
            </w:r>
          </w:p>
        </w:tc>
        <w:tc>
          <w:tcPr>
            <w:tcW w:w="1247" w:type="pct"/>
            <w:tcBorders>
              <w:top w:val="single" w:sz="6" w:space="0" w:color="auto"/>
              <w:bottom w:val="single" w:sz="6" w:space="0" w:color="auto"/>
            </w:tcBorders>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Свыше 6 до 9 включительно</w:t>
            </w:r>
          </w:p>
        </w:tc>
      </w:tr>
      <w:tr>
        <w:trPr>
          <w:trHeight w:val="20"/>
        </w:trPr>
        <w:tc>
          <w:tcPr>
            <w:tcW w:w="1232" w:type="pct"/>
            <w:vMerge/>
            <w:tcBorders>
              <w:top w:val="single" w:sz="6" w:space="0" w:color="auto"/>
              <w:bottom w:val="single" w:sz="12" w:space="0" w:color="auto"/>
            </w:tcBorders>
            <w:shd w:val="clear" w:color="auto" w:fill="auto"/>
            <w:tcMar>
              <w:top w:w="28" w:type="dxa"/>
              <w:bottom w:w="28" w:type="dxa"/>
            </w:tcMar>
          </w:tcPr>
          <w:p>
            <w:pPr>
              <w:pStyle w:val="TableParagraph"/>
              <w:ind w:left="57"/>
              <w:jc w:val="left"/>
              <w:rPr>
                <w:sz w:val="20"/>
                <w:szCs w:val="20"/>
              </w:rPr>
            </w:pPr>
          </w:p>
        </w:tc>
        <w:tc>
          <w:tcPr>
            <w:tcW w:w="1080" w:type="pct"/>
            <w:tcBorders>
              <w:top w:val="single" w:sz="6" w:space="0" w:color="auto"/>
              <w:bottom w:val="single" w:sz="12" w:space="0" w:color="auto"/>
            </w:tcBorders>
            <w:shd w:val="clear" w:color="auto" w:fill="auto"/>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Повышенной сейсмостойкости</w:t>
            </w:r>
          </w:p>
        </w:tc>
        <w:tc>
          <w:tcPr>
            <w:tcW w:w="1441" w:type="pct"/>
            <w:tcBorders>
              <w:top w:val="single" w:sz="6" w:space="0" w:color="auto"/>
              <w:bottom w:val="single" w:sz="12" w:space="0" w:color="auto"/>
            </w:tcBorders>
            <w:tcMar>
              <w:top w:w="28" w:type="dxa"/>
              <w:bottom w:w="28" w:type="dxa"/>
            </w:tcMar>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ПС</w:t>
            </w:r>
          </w:p>
        </w:tc>
        <w:tc>
          <w:tcPr>
            <w:tcW w:w="1247" w:type="pct"/>
            <w:tcBorders>
              <w:top w:val="single" w:sz="6" w:space="0" w:color="auto"/>
              <w:bottom w:val="single" w:sz="12" w:space="0" w:color="auto"/>
            </w:tcBorders>
          </w:tcPr>
          <w:p>
            <w:pPr>
              <w:pStyle w:val="TableParagraph"/>
              <w:ind w:left="57"/>
              <w:jc w:val="left"/>
              <w:rPr>
                <w:rFonts w:ascii="Times New Roman" w:eastAsiaTheme="minorEastAsia" w:hAnsi="Times New Roman"/>
                <w:sz w:val="20"/>
                <w:szCs w:val="20"/>
                <w:lang w:val="ru-RU" w:eastAsia="ru-RU"/>
              </w:rPr>
            </w:pPr>
            <w:r>
              <w:rPr>
                <w:rFonts w:ascii="Times New Roman" w:eastAsiaTheme="minorEastAsia" w:hAnsi="Times New Roman"/>
                <w:sz w:val="20"/>
                <w:szCs w:val="20"/>
                <w:lang w:val="ru-RU" w:eastAsia="ru-RU"/>
              </w:rPr>
              <w:t>Свыше 9 до 10 включительно</w:t>
            </w:r>
          </w:p>
        </w:tc>
      </w:tr>
    </w:tbl>
    <w:p>
      <w:pPr>
        <w:pStyle w:val="S0"/>
        <w:rPr>
          <w:rFonts w:eastAsia="PMingLiU"/>
          <w:b/>
          <w:lang w:eastAsia="en-US"/>
        </w:rPr>
      </w:pPr>
    </w:p>
    <w:p>
      <w:pPr>
        <w:pStyle w:val="S0"/>
      </w:pPr>
      <w:r>
        <w:rPr>
          <w:rFonts w:eastAsia="PMingLiU"/>
          <w:lang w:eastAsia="en-US"/>
        </w:rPr>
        <w:t>Сейсмопрочность крана шарового должна подтверждаться расчетами, выполненными заводом-изготовителем.</w:t>
      </w:r>
    </w:p>
    <w:p>
      <w:pPr>
        <w:pStyle w:val="formattext"/>
        <w:spacing w:before="0" w:beforeAutospacing="0" w:after="0" w:afterAutospacing="0"/>
      </w:pPr>
    </w:p>
    <w:p>
      <w:pPr>
        <w:rPr>
          <w:rFonts w:eastAsia="Times New Roman"/>
        </w:rPr>
      </w:pPr>
      <w:r>
        <w:rPr>
          <w:rFonts w:eastAsia="Times New Roman"/>
        </w:rPr>
        <w:t>Верхнее рабочее значение атмосферного давления – 106,7 кПа, нижнее предельное рабочее значение атмосферного давления – 84,0 кПа по ГОСТ 15150.</w:t>
      </w:r>
    </w:p>
    <w:p>
      <w:pPr>
        <w:pStyle w:val="S0"/>
      </w:pPr>
    </w:p>
    <w:p>
      <w:pPr>
        <w:pStyle w:val="S0"/>
      </w:pPr>
      <w:r>
        <w:t>Скорость ветра (верхнее значение) – 50 м/с.</w:t>
      </w:r>
    </w:p>
    <w:p>
      <w:pPr>
        <w:pStyle w:val="formattext"/>
        <w:spacing w:before="0" w:beforeAutospacing="0" w:after="0" w:afterAutospacing="0"/>
      </w:pPr>
    </w:p>
    <w:p>
      <w:pPr>
        <w:pStyle w:val="formattext"/>
        <w:spacing w:before="0" w:beforeAutospacing="0" w:after="0" w:afterAutospacing="0"/>
      </w:pPr>
      <w:r>
        <w:t>В расчетах должно учитываться одновременное воздействие сейсмических ускорений в вертикальном и горизонтальном направлениях, нагрузки, передаваемые от трубопровода, а также расчетное давление и усилие на затворе.</w:t>
      </w:r>
    </w:p>
    <w:p>
      <w:pPr>
        <w:rPr>
          <w:rFonts w:eastAsia="Times New Roman"/>
        </w:rPr>
      </w:pPr>
    </w:p>
    <w:p>
      <w:pPr>
        <w:pStyle w:val="S0"/>
      </w:pPr>
      <w:r>
        <w:t>При скоростях ветра, вызывающих колебание крана шарового с частотой, равной частоте собственных колебаний, необходимо проводить поверочный расчет на резонанс, выполняемый заводом-изготовителем.</w:t>
      </w:r>
    </w:p>
    <w:p>
      <w:pPr>
        <w:pStyle w:val="S0"/>
      </w:pPr>
    </w:p>
    <w:p>
      <w:pPr>
        <w:pStyle w:val="S0"/>
        <w:rPr>
          <w:rFonts w:eastAsia="PMingLiU"/>
          <w:lang w:eastAsia="en-US"/>
        </w:rPr>
      </w:pPr>
      <w:r>
        <w:t>Расчетные усилия и перемещения при резонансе должны определяться как геометрическая сумма резонансных усилий и перемещений, а также усилий и перемещений от других видов нагрузок и воздействий, включая расчетную ветровую нагрузку.</w:t>
      </w:r>
    </w:p>
    <w:p>
      <w:pPr>
        <w:pStyle w:val="formattext"/>
        <w:spacing w:before="0" w:beforeAutospacing="0" w:after="0" w:afterAutospacing="0"/>
        <w:rPr>
          <w:b/>
        </w:rPr>
      </w:pPr>
    </w:p>
    <w:p>
      <w:pPr>
        <w:pStyle w:val="formattext"/>
        <w:spacing w:before="0" w:beforeAutospacing="0" w:after="0" w:afterAutospacing="0"/>
      </w:pPr>
      <w:r>
        <w:t>При выполнении расчетов, значения ответных максимальных амплитуд ускорений по спектрам ответа в горизонтальном направлении должно приниматься в соответствии с рисунком 2А ГОСТ 30546.1-98, линия с 2 % относительным демпфированием.</w:t>
      </w:r>
    </w:p>
    <w:p>
      <w:pPr>
        <w:pStyle w:val="formattext"/>
        <w:spacing w:before="0" w:beforeAutospacing="0" w:after="0" w:afterAutospacing="0"/>
      </w:pPr>
    </w:p>
    <w:p>
      <w:pPr>
        <w:pStyle w:val="formattext"/>
        <w:spacing w:before="0" w:beforeAutospacing="0" w:after="0" w:afterAutospacing="0"/>
      </w:pPr>
      <w:r>
        <w:t>При проведении испытаний, значения максимальных амплитуд ускорений в горизонтальном направлении на места крепления крана шарового принимают по спектрам воздействий, в соответствии с рисунком 1 ГОСТ</w:t>
      </w:r>
      <w:r>
        <w:rPr>
          <w:lang w:val="en-US"/>
        </w:rPr>
        <w:t> </w:t>
      </w:r>
      <w:r>
        <w:t>30546.1-98. Значения ускорений в вертикальном направлении должны составлять 0,7 соответствующих значений ускорения в горизонтальном направлении.</w:t>
      </w:r>
    </w:p>
    <w:p>
      <w:pPr>
        <w:pStyle w:val="formattext"/>
        <w:spacing w:before="0" w:beforeAutospacing="0" w:after="0" w:afterAutospacing="0"/>
      </w:pPr>
    </w:p>
    <w:p>
      <w:pPr>
        <w:pStyle w:val="formattext"/>
        <w:spacing w:before="0" w:beforeAutospacing="0" w:after="0" w:afterAutospacing="0"/>
      </w:pPr>
      <w:r>
        <w:t>При проведении испытаний и расчетов, значения ускорений для 10 баллов по шкале МSK-64 удваивают по сравнению со значениями ускорения для 9 баллов по шкале МSK-64.</w:t>
      </w:r>
    </w:p>
    <w:p>
      <w:pPr>
        <w:pStyle w:val="formattext"/>
        <w:spacing w:before="0" w:beforeAutospacing="0" w:after="0" w:afterAutospacing="0"/>
      </w:pPr>
    </w:p>
    <w:p>
      <w:pPr>
        <w:pStyle w:val="formattext"/>
        <w:spacing w:before="0" w:beforeAutospacing="0" w:after="0" w:afterAutospacing="0"/>
      </w:pPr>
      <w:r>
        <w:t>Расчетные сейсмические нагрузки на элементы конструкции крана шарового должны определяться умножением эквивалентного расчетного максимального ускорения на инерционные характеристики крана шарового.</w:t>
      </w:r>
    </w:p>
    <w:p>
      <w:pPr>
        <w:pStyle w:val="S0"/>
      </w:pPr>
    </w:p>
    <w:p>
      <w:pPr>
        <w:pStyle w:val="S0"/>
        <w:sectPr>
          <w:headerReference w:type="even" r:id="rId29"/>
          <w:headerReference w:type="default" r:id="rId30"/>
          <w:headerReference w:type="first" r:id="rId31"/>
          <w:pgSz w:w="11906" w:h="16838" w:code="9"/>
          <w:pgMar w:top="510" w:right="1021" w:bottom="567" w:left="1247" w:header="737" w:footer="680" w:gutter="0"/>
          <w:cols w:space="708"/>
          <w:docGrid w:linePitch="360"/>
        </w:sectPr>
      </w:pPr>
    </w:p>
    <w:p>
      <w:pPr>
        <w:pStyle w:val="S13"/>
        <w:numPr>
          <w:ilvl w:val="0"/>
          <w:numId w:val="18"/>
        </w:numPr>
        <w:ind w:left="0" w:firstLine="0"/>
      </w:pPr>
      <w:bookmarkStart w:id="68" w:name="_Toc399503277"/>
      <w:bookmarkStart w:id="69" w:name="_Toc400458565"/>
      <w:bookmarkStart w:id="70" w:name="_Toc481662369"/>
      <w:bookmarkStart w:id="71" w:name="_Toc514169508"/>
      <w:bookmarkStart w:id="72" w:name="_Ref375640768"/>
      <w:r>
        <w:lastRenderedPageBreak/>
        <w:t xml:space="preserve">ТРЕБОВАНИЯ </w:t>
      </w:r>
      <w:bookmarkEnd w:id="68"/>
      <w:bookmarkEnd w:id="69"/>
      <w:r>
        <w:t>К ПРОЕКТИРОВАНИЮ, ИЗГОТОВЛЕНИЮ И ПОСТАВКЕ ОБОРУДОВАНИЯ</w:t>
      </w:r>
      <w:bookmarkEnd w:id="70"/>
      <w:bookmarkEnd w:id="71"/>
    </w:p>
    <w:p>
      <w:pPr>
        <w:pStyle w:val="S0"/>
      </w:pPr>
    </w:p>
    <w:p>
      <w:pPr>
        <w:pStyle w:val="S0"/>
      </w:pPr>
    </w:p>
    <w:p>
      <w:pPr>
        <w:pStyle w:val="S20"/>
        <w:numPr>
          <w:ilvl w:val="1"/>
          <w:numId w:val="36"/>
        </w:numPr>
        <w:tabs>
          <w:tab w:val="left" w:pos="567"/>
        </w:tabs>
        <w:ind w:left="0" w:firstLine="0"/>
        <w:rPr>
          <w:rFonts w:eastAsia="Calibri"/>
        </w:rPr>
      </w:pPr>
      <w:bookmarkStart w:id="73" w:name="_Toc393714836"/>
      <w:bookmarkStart w:id="74" w:name="_Toc421258697"/>
      <w:bookmarkStart w:id="75" w:name="_Toc481662370"/>
      <w:bookmarkStart w:id="76" w:name="_Toc514169509"/>
      <w:r>
        <w:rPr>
          <w:rFonts w:eastAsia="Calibri"/>
        </w:rPr>
        <w:t>ТЕХНИЧЕСКИЕ ХАРАКТЕРИСТИКИ</w:t>
      </w:r>
      <w:bookmarkEnd w:id="73"/>
      <w:r>
        <w:rPr>
          <w:rFonts w:eastAsia="Calibri"/>
        </w:rPr>
        <w:t xml:space="preserve"> И ОСНОВНОЙ СОСТАВ ОБОРУДОВАНИЯ</w:t>
      </w:r>
      <w:bookmarkEnd w:id="74"/>
      <w:bookmarkEnd w:id="75"/>
      <w:bookmarkEnd w:id="76"/>
    </w:p>
    <w:p>
      <w:pPr>
        <w:tabs>
          <w:tab w:val="left" w:pos="851"/>
        </w:tabs>
        <w:rPr>
          <w:rFonts w:eastAsia="PMingLiU"/>
          <w:szCs w:val="22"/>
          <w:lang w:eastAsia="en-US"/>
        </w:rPr>
      </w:pPr>
    </w:p>
    <w:p>
      <w:pPr>
        <w:tabs>
          <w:tab w:val="left" w:pos="851"/>
        </w:tabs>
        <w:rPr>
          <w:rFonts w:eastAsia="PMingLiU"/>
          <w:szCs w:val="22"/>
          <w:lang w:eastAsia="en-US"/>
        </w:rPr>
      </w:pPr>
      <w:r>
        <w:rPr>
          <w:rFonts w:eastAsia="PMingLiU"/>
          <w:szCs w:val="22"/>
          <w:lang w:eastAsia="en-US"/>
        </w:rPr>
        <w:t>Конструкция шарового крана должна обеспечивать:</w:t>
      </w:r>
    </w:p>
    <w:p>
      <w:pPr>
        <w:numPr>
          <w:ilvl w:val="0"/>
          <w:numId w:val="12"/>
        </w:numPr>
        <w:tabs>
          <w:tab w:val="left" w:pos="539"/>
        </w:tabs>
        <w:spacing w:before="120"/>
        <w:ind w:left="538" w:hanging="357"/>
      </w:pPr>
      <w:r>
        <w:t>надежность функционирования и безопасность для персонала в рабочих условиях эксплуатации;</w:t>
      </w:r>
    </w:p>
    <w:p>
      <w:pPr>
        <w:numPr>
          <w:ilvl w:val="0"/>
          <w:numId w:val="12"/>
        </w:numPr>
        <w:tabs>
          <w:tab w:val="left" w:pos="539"/>
        </w:tabs>
        <w:spacing w:before="120"/>
        <w:ind w:left="538" w:hanging="357"/>
      </w:pPr>
      <w:r>
        <w:t>ремонтопригодность;</w:t>
      </w:r>
    </w:p>
    <w:p>
      <w:pPr>
        <w:pStyle w:val="a7"/>
        <w:widowControl w:val="0"/>
        <w:numPr>
          <w:ilvl w:val="0"/>
          <w:numId w:val="30"/>
        </w:numPr>
        <w:tabs>
          <w:tab w:val="left" w:pos="539"/>
        </w:tabs>
        <w:spacing w:before="120" w:after="0"/>
        <w:ind w:left="538" w:hanging="357"/>
      </w:pPr>
      <w:r>
        <w:t>заданную прочность корпуса, в том числе при перепадах давления на затворе, при выполнении функций открытия и закрытия;</w:t>
      </w:r>
    </w:p>
    <w:p>
      <w:pPr>
        <w:pStyle w:val="a7"/>
        <w:widowControl w:val="0"/>
        <w:numPr>
          <w:ilvl w:val="0"/>
          <w:numId w:val="30"/>
        </w:numPr>
        <w:tabs>
          <w:tab w:val="left" w:pos="539"/>
          <w:tab w:val="left" w:pos="3686"/>
        </w:tabs>
        <w:spacing w:before="120" w:after="0"/>
        <w:ind w:left="538" w:hanging="357"/>
      </w:pPr>
      <w:r>
        <w:t>плотность материала корпусных деталей и сварных швов;</w:t>
      </w:r>
    </w:p>
    <w:p>
      <w:pPr>
        <w:pStyle w:val="a7"/>
        <w:widowControl w:val="0"/>
        <w:numPr>
          <w:ilvl w:val="0"/>
          <w:numId w:val="30"/>
        </w:numPr>
        <w:tabs>
          <w:tab w:val="left" w:pos="539"/>
        </w:tabs>
        <w:spacing w:before="120" w:after="0"/>
        <w:ind w:left="538" w:hanging="357"/>
      </w:pPr>
      <w:r>
        <w:t>исключение заклинивания запирающего элемента при открывании и закрывании;</w:t>
      </w:r>
    </w:p>
    <w:p>
      <w:pPr>
        <w:pStyle w:val="a7"/>
        <w:widowControl w:val="0"/>
        <w:numPr>
          <w:ilvl w:val="0"/>
          <w:numId w:val="30"/>
        </w:numPr>
        <w:tabs>
          <w:tab w:val="left" w:pos="539"/>
        </w:tabs>
        <w:spacing w:before="120" w:after="0"/>
        <w:ind w:left="538" w:hanging="357"/>
      </w:pPr>
      <w:r>
        <w:t>исключение недопустимых ударов при открывании и закрывании.</w:t>
      </w:r>
    </w:p>
    <w:p>
      <w:pPr>
        <w:pStyle w:val="S0"/>
        <w:rPr>
          <w:rFonts w:eastAsia="PMingLiU"/>
          <w:szCs w:val="22"/>
          <w:lang w:eastAsia="en-US"/>
        </w:rPr>
      </w:pPr>
    </w:p>
    <w:p>
      <w:pPr>
        <w:pStyle w:val="a7"/>
        <w:widowControl w:val="0"/>
        <w:tabs>
          <w:tab w:val="left" w:pos="539"/>
        </w:tabs>
        <w:spacing w:after="0"/>
      </w:pPr>
      <w:r>
        <w:t>Подбор крана шарового с оборудованием и деталями, удовлетворяющими требованиям настоящих Методических указаний должен осуществляться в соответствии с условным обозначением раздела 5 настоящих Методических указаний.</w:t>
      </w:r>
    </w:p>
    <w:p>
      <w:pPr>
        <w:pStyle w:val="a7"/>
        <w:widowControl w:val="0"/>
        <w:tabs>
          <w:tab w:val="left" w:pos="539"/>
        </w:tabs>
        <w:spacing w:after="0"/>
      </w:pPr>
    </w:p>
    <w:p>
      <w:pPr>
        <w:pStyle w:val="a7"/>
        <w:widowControl w:val="0"/>
        <w:spacing w:after="0"/>
        <w:rPr>
          <w:spacing w:val="-1"/>
        </w:rPr>
      </w:pPr>
      <w:bookmarkStart w:id="77" w:name="_bookmark3"/>
      <w:bookmarkEnd w:id="77"/>
      <w:r>
        <w:rPr>
          <w:spacing w:val="-1"/>
        </w:rPr>
        <w:t>Основные параметры и характеристики кранов шаровых представлены в Таблице 3.</w:t>
      </w:r>
    </w:p>
    <w:p>
      <w:pPr>
        <w:pStyle w:val="a7"/>
        <w:widowControl w:val="0"/>
        <w:tabs>
          <w:tab w:val="left" w:pos="1394"/>
        </w:tabs>
        <w:spacing w:after="0"/>
        <w:rPr>
          <w:spacing w:val="35"/>
        </w:rPr>
      </w:pPr>
    </w:p>
    <w:p>
      <w:pPr>
        <w:pStyle w:val="af3"/>
        <w:jc w:val="right"/>
        <w:rPr>
          <w:rFonts w:ascii="Arial" w:hAnsi="Arial" w:cs="Arial"/>
        </w:rPr>
      </w:pPr>
      <w:r>
        <w:rPr>
          <w:rFonts w:ascii="Arial" w:hAnsi="Arial" w:cs="Arial"/>
        </w:rPr>
        <w:t xml:space="preserve">Таблица </w:t>
      </w:r>
      <w:r>
        <w:rPr>
          <w:rFonts w:ascii="Arial" w:hAnsi="Arial" w:cs="Arial"/>
        </w:rPr>
        <w:fldChar w:fldCharType="begin"/>
      </w:r>
      <w:r>
        <w:rPr>
          <w:rFonts w:ascii="Arial" w:hAnsi="Arial" w:cs="Arial"/>
        </w:rPr>
        <w:instrText xml:space="preserve"> SEQ Таблица \* ARABIC </w:instrText>
      </w:r>
      <w:r>
        <w:rPr>
          <w:rFonts w:ascii="Arial" w:hAnsi="Arial" w:cs="Arial"/>
        </w:rPr>
        <w:fldChar w:fldCharType="separate"/>
      </w:r>
      <w:r>
        <w:rPr>
          <w:rFonts w:ascii="Arial" w:hAnsi="Arial" w:cs="Arial"/>
          <w:noProof/>
        </w:rPr>
        <w:t>3</w:t>
      </w:r>
      <w:r>
        <w:rPr>
          <w:rFonts w:ascii="Arial" w:hAnsi="Arial" w:cs="Arial"/>
        </w:rPr>
        <w:fldChar w:fldCharType="end"/>
      </w:r>
    </w:p>
    <w:p>
      <w:pPr>
        <w:pStyle w:val="af3"/>
        <w:spacing w:after="60"/>
        <w:jc w:val="right"/>
        <w:rPr>
          <w:rFonts w:ascii="Arial" w:hAnsi="Arial" w:cs="Arial"/>
        </w:rPr>
      </w:pPr>
      <w:r>
        <w:rPr>
          <w:rFonts w:ascii="Arial" w:hAnsi="Arial" w:cs="Arial"/>
        </w:rPr>
        <w:t>Основные параметры, характеристики кранов шаровых</w:t>
      </w:r>
    </w:p>
    <w:tbl>
      <w:tblPr>
        <w:tblStyle w:val="aff6"/>
        <w:tblW w:w="5000" w:type="pct"/>
        <w:tblLook w:val="04A0" w:firstRow="1" w:lastRow="0" w:firstColumn="1" w:lastColumn="0" w:noHBand="0" w:noVBand="1"/>
      </w:tblPr>
      <w:tblGrid>
        <w:gridCol w:w="579"/>
        <w:gridCol w:w="3443"/>
        <w:gridCol w:w="5832"/>
      </w:tblGrid>
      <w:tr>
        <w:trPr>
          <w:trHeight w:val="500"/>
          <w:tblHeader/>
        </w:trPr>
        <w:tc>
          <w:tcPr>
            <w:tcW w:w="294" w:type="pct"/>
            <w:tcBorders>
              <w:top w:val="single" w:sz="12" w:space="0" w:color="auto"/>
              <w:left w:val="single" w:sz="12" w:space="0" w:color="auto"/>
              <w:bottom w:val="single" w:sz="12" w:space="0" w:color="auto"/>
              <w:right w:val="single" w:sz="6" w:space="0" w:color="auto"/>
            </w:tcBorders>
            <w:shd w:val="clear" w:color="auto" w:fill="FFD200"/>
            <w:vAlign w:val="center"/>
          </w:tcPr>
          <w:p>
            <w:pPr>
              <w:jc w:val="center"/>
              <w:rPr>
                <w:rFonts w:ascii="Arial" w:eastAsia="Times New Roman" w:hAnsi="Arial" w:cs="Arial"/>
                <w:b/>
                <w:sz w:val="16"/>
                <w:szCs w:val="20"/>
              </w:rPr>
            </w:pPr>
            <w:r>
              <w:rPr>
                <w:rFonts w:ascii="Arial" w:eastAsia="Times New Roman" w:hAnsi="Arial" w:cs="Arial"/>
                <w:b/>
                <w:sz w:val="16"/>
                <w:szCs w:val="20"/>
              </w:rPr>
              <w:t>№ П/П</w:t>
            </w:r>
          </w:p>
        </w:tc>
        <w:tc>
          <w:tcPr>
            <w:tcW w:w="1747"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Times New Roman" w:hAnsi="Arial" w:cs="Arial"/>
                <w:b/>
                <w:sz w:val="16"/>
                <w:szCs w:val="20"/>
              </w:rPr>
            </w:pPr>
            <w:r>
              <w:rPr>
                <w:rFonts w:ascii="Arial" w:eastAsia="Times New Roman" w:hAnsi="Arial" w:cs="Arial"/>
                <w:b/>
                <w:sz w:val="16"/>
                <w:szCs w:val="20"/>
              </w:rPr>
              <w:t>НАИМЕНОВАНИЕ ПОКАЗАТЕЛЯ</w:t>
            </w:r>
          </w:p>
        </w:tc>
        <w:tc>
          <w:tcPr>
            <w:tcW w:w="2959" w:type="pct"/>
            <w:tcBorders>
              <w:top w:val="single" w:sz="12" w:space="0" w:color="auto"/>
              <w:left w:val="single" w:sz="6" w:space="0" w:color="auto"/>
              <w:bottom w:val="single" w:sz="12" w:space="0" w:color="auto"/>
              <w:right w:val="single" w:sz="12" w:space="0" w:color="auto"/>
            </w:tcBorders>
            <w:shd w:val="clear" w:color="auto" w:fill="FFD200"/>
            <w:vAlign w:val="center"/>
          </w:tcPr>
          <w:p>
            <w:pPr>
              <w:jc w:val="center"/>
              <w:rPr>
                <w:rFonts w:ascii="Arial" w:eastAsia="Times New Roman" w:hAnsi="Arial" w:cs="Arial"/>
                <w:b/>
                <w:sz w:val="16"/>
                <w:szCs w:val="20"/>
              </w:rPr>
            </w:pPr>
            <w:r>
              <w:rPr>
                <w:rFonts w:ascii="Arial" w:eastAsia="Times New Roman" w:hAnsi="Arial" w:cs="Arial"/>
                <w:b/>
                <w:sz w:val="16"/>
                <w:szCs w:val="20"/>
              </w:rPr>
              <w:t xml:space="preserve">ЗНАЧЕНИЕ ИЛИ </w:t>
            </w:r>
          </w:p>
          <w:p>
            <w:pPr>
              <w:jc w:val="center"/>
              <w:rPr>
                <w:rFonts w:ascii="Arial" w:eastAsia="Times New Roman" w:hAnsi="Arial" w:cs="Arial"/>
                <w:b/>
                <w:sz w:val="16"/>
                <w:szCs w:val="20"/>
              </w:rPr>
            </w:pPr>
            <w:r>
              <w:rPr>
                <w:rFonts w:ascii="Arial" w:eastAsia="Times New Roman" w:hAnsi="Arial" w:cs="Arial"/>
                <w:b/>
                <w:sz w:val="16"/>
                <w:szCs w:val="20"/>
              </w:rPr>
              <w:t>ОПРЕДЕЛЯЮЩИЙ ПОКАЗАТЕЛЬ</w:t>
            </w:r>
          </w:p>
        </w:tc>
      </w:tr>
      <w:tr>
        <w:trPr>
          <w:trHeight w:val="252"/>
          <w:tblHeader/>
        </w:trPr>
        <w:tc>
          <w:tcPr>
            <w:tcW w:w="294" w:type="pct"/>
            <w:tcBorders>
              <w:top w:val="single" w:sz="12" w:space="0" w:color="auto"/>
              <w:left w:val="single" w:sz="12" w:space="0" w:color="auto"/>
              <w:bottom w:val="single" w:sz="12" w:space="0" w:color="auto"/>
              <w:right w:val="single" w:sz="6" w:space="0" w:color="auto"/>
            </w:tcBorders>
            <w:shd w:val="clear" w:color="auto" w:fill="FFD200"/>
            <w:vAlign w:val="center"/>
          </w:tcPr>
          <w:p>
            <w:pPr>
              <w:jc w:val="center"/>
              <w:rPr>
                <w:rFonts w:ascii="Arial" w:eastAsia="Times New Roman" w:hAnsi="Arial" w:cs="Arial"/>
                <w:b/>
                <w:bCs/>
                <w:sz w:val="16"/>
                <w:szCs w:val="20"/>
                <w:lang w:val="en-US"/>
              </w:rPr>
            </w:pPr>
            <w:r>
              <w:rPr>
                <w:rFonts w:ascii="Arial" w:eastAsia="Times New Roman" w:hAnsi="Arial" w:cs="Arial"/>
                <w:b/>
                <w:bCs/>
                <w:sz w:val="16"/>
                <w:szCs w:val="20"/>
                <w:lang w:val="en-US"/>
              </w:rPr>
              <w:t>1</w:t>
            </w:r>
          </w:p>
        </w:tc>
        <w:tc>
          <w:tcPr>
            <w:tcW w:w="1747"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Times New Roman" w:hAnsi="Arial" w:cs="Arial"/>
                <w:b/>
                <w:bCs/>
                <w:sz w:val="16"/>
                <w:szCs w:val="20"/>
                <w:lang w:val="en-US"/>
              </w:rPr>
            </w:pPr>
            <w:r>
              <w:rPr>
                <w:rFonts w:ascii="Arial" w:eastAsia="Times New Roman" w:hAnsi="Arial" w:cs="Arial"/>
                <w:b/>
                <w:bCs/>
                <w:sz w:val="16"/>
                <w:szCs w:val="20"/>
                <w:lang w:val="en-US"/>
              </w:rPr>
              <w:t>2</w:t>
            </w:r>
          </w:p>
        </w:tc>
        <w:tc>
          <w:tcPr>
            <w:tcW w:w="2959" w:type="pct"/>
            <w:tcBorders>
              <w:top w:val="single" w:sz="12" w:space="0" w:color="auto"/>
              <w:left w:val="single" w:sz="6" w:space="0" w:color="auto"/>
              <w:bottom w:val="single" w:sz="12" w:space="0" w:color="auto"/>
              <w:right w:val="single" w:sz="12" w:space="0" w:color="auto"/>
            </w:tcBorders>
            <w:shd w:val="clear" w:color="auto" w:fill="FFD200"/>
            <w:vAlign w:val="center"/>
          </w:tcPr>
          <w:p>
            <w:pPr>
              <w:jc w:val="center"/>
              <w:rPr>
                <w:rFonts w:ascii="Arial" w:eastAsia="Times New Roman" w:hAnsi="Arial" w:cs="Arial"/>
                <w:b/>
                <w:bCs/>
                <w:sz w:val="16"/>
                <w:szCs w:val="20"/>
                <w:lang w:val="en-US"/>
              </w:rPr>
            </w:pPr>
            <w:r>
              <w:rPr>
                <w:rFonts w:ascii="Arial" w:eastAsia="Times New Roman" w:hAnsi="Arial" w:cs="Arial"/>
                <w:b/>
                <w:bCs/>
                <w:sz w:val="16"/>
                <w:szCs w:val="20"/>
                <w:lang w:val="en-US"/>
              </w:rPr>
              <w:t>3</w:t>
            </w:r>
          </w:p>
        </w:tc>
      </w:tr>
      <w:tr>
        <w:tc>
          <w:tcPr>
            <w:tcW w:w="294" w:type="pct"/>
            <w:tcBorders>
              <w:top w:val="single" w:sz="12"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747" w:type="pct"/>
            <w:tcBorders>
              <w:top w:val="single" w:sz="12" w:space="0" w:color="auto"/>
              <w:left w:val="single" w:sz="6" w:space="0" w:color="auto"/>
              <w:bottom w:val="single" w:sz="6" w:space="0" w:color="auto"/>
              <w:right w:val="single" w:sz="6" w:space="0" w:color="auto"/>
            </w:tcBorders>
          </w:tcPr>
          <w:p>
            <w:pPr>
              <w:ind w:left="-57" w:hanging="2"/>
              <w:jc w:val="left"/>
              <w:rPr>
                <w:rFonts w:eastAsia="Times New Roman"/>
                <w:sz w:val="20"/>
                <w:szCs w:val="20"/>
              </w:rPr>
            </w:pPr>
            <w:r>
              <w:rPr>
                <w:sz w:val="20"/>
                <w:szCs w:val="20"/>
              </w:rPr>
              <w:t>PN, МПа (кгс/см</w:t>
            </w:r>
            <w:r>
              <w:rPr>
                <w:sz w:val="20"/>
                <w:szCs w:val="20"/>
                <w:vertAlign w:val="superscript"/>
              </w:rPr>
              <w:t>2</w:t>
            </w:r>
            <w:r>
              <w:rPr>
                <w:sz w:val="20"/>
                <w:szCs w:val="20"/>
              </w:rPr>
              <w:t>)</w:t>
            </w:r>
          </w:p>
        </w:tc>
        <w:tc>
          <w:tcPr>
            <w:tcW w:w="2959" w:type="pct"/>
            <w:tcBorders>
              <w:top w:val="single" w:sz="12" w:space="0" w:color="auto"/>
              <w:left w:val="single" w:sz="6" w:space="0" w:color="auto"/>
              <w:bottom w:val="single" w:sz="6" w:space="0" w:color="auto"/>
              <w:right w:val="single" w:sz="12" w:space="0" w:color="auto"/>
            </w:tcBorders>
          </w:tcPr>
          <w:p>
            <w:pPr>
              <w:ind w:left="33"/>
              <w:jc w:val="left"/>
              <w:rPr>
                <w:rFonts w:eastAsia="Times New Roman"/>
                <w:sz w:val="20"/>
                <w:szCs w:val="20"/>
              </w:rPr>
            </w:pPr>
            <w:r>
              <w:rPr>
                <w:sz w:val="20"/>
                <w:szCs w:val="20"/>
              </w:rPr>
              <w:t>1,0 (10); 1,6 (16); 2,0 (20); 2,5 (25); 4,0 (40); 6,3 (63); 10,0 (100); 12,5 (125); 16,0 (160); 20,0 (200); 25,0 (250); 32,0 (320)</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1747" w:type="pct"/>
            <w:tcBorders>
              <w:top w:val="single" w:sz="6" w:space="0" w:color="auto"/>
              <w:left w:val="single" w:sz="6" w:space="0" w:color="auto"/>
              <w:bottom w:val="single" w:sz="6" w:space="0" w:color="auto"/>
              <w:right w:val="single" w:sz="6" w:space="0" w:color="auto"/>
            </w:tcBorders>
          </w:tcPr>
          <w:p>
            <w:pPr>
              <w:ind w:left="-57"/>
              <w:jc w:val="left"/>
              <w:rPr>
                <w:rFonts w:eastAsia="Times New Roman"/>
                <w:sz w:val="20"/>
                <w:szCs w:val="20"/>
              </w:rPr>
            </w:pPr>
            <w:r>
              <w:rPr>
                <w:rFonts w:eastAsia="Times New Roman"/>
                <w:sz w:val="20"/>
                <w:szCs w:val="20"/>
              </w:rPr>
              <w:t>DN, мм</w:t>
            </w:r>
          </w:p>
        </w:tc>
        <w:tc>
          <w:tcPr>
            <w:tcW w:w="2959" w:type="pct"/>
            <w:tcBorders>
              <w:top w:val="single" w:sz="6" w:space="0" w:color="auto"/>
              <w:left w:val="single" w:sz="6" w:space="0" w:color="auto"/>
              <w:bottom w:val="single" w:sz="6" w:space="0" w:color="auto"/>
              <w:right w:val="single" w:sz="12" w:space="0" w:color="auto"/>
            </w:tcBorders>
          </w:tcPr>
          <w:p>
            <w:pPr>
              <w:ind w:left="33"/>
              <w:jc w:val="left"/>
              <w:rPr>
                <w:rFonts w:eastAsia="Times New Roman"/>
                <w:sz w:val="20"/>
                <w:szCs w:val="20"/>
              </w:rPr>
            </w:pPr>
            <w:r>
              <w:rPr>
                <w:rFonts w:eastAsia="Times New Roman"/>
                <w:sz w:val="20"/>
                <w:szCs w:val="20"/>
              </w:rPr>
              <w:t>10; 15; 20; 25; 32; 40; 50; 65; 80; 100; 150; 200; 250; 300; 350; 400; 450; 500; 600; 700; 800; 1000, 1200</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4706" w:type="pct"/>
            <w:gridSpan w:val="2"/>
            <w:tcBorders>
              <w:top w:val="single" w:sz="6" w:space="0" w:color="auto"/>
              <w:left w:val="single" w:sz="6" w:space="0" w:color="auto"/>
              <w:bottom w:val="single" w:sz="6" w:space="0" w:color="auto"/>
              <w:right w:val="single" w:sz="12" w:space="0" w:color="auto"/>
            </w:tcBorders>
          </w:tcPr>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ΔP</w:t>
            </w:r>
            <w:r>
              <w:rPr>
                <w:rFonts w:ascii="Times New Roman" w:eastAsia="Times New Roman" w:hAnsi="Times New Roman"/>
                <w:sz w:val="20"/>
                <w:szCs w:val="20"/>
                <w:vertAlign w:val="subscript"/>
                <w:lang w:val="ru-RU" w:eastAsia="ru-RU"/>
              </w:rPr>
              <w:t>max</w:t>
            </w:r>
            <w:r>
              <w:rPr>
                <w:rFonts w:ascii="Times New Roman" w:eastAsia="Times New Roman" w:hAnsi="Times New Roman"/>
                <w:sz w:val="20"/>
                <w:szCs w:val="20"/>
                <w:lang w:val="ru-RU" w:eastAsia="ru-RU"/>
              </w:rPr>
              <w:t>:-</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3.1.</w:t>
            </w:r>
          </w:p>
        </w:tc>
        <w:tc>
          <w:tcPr>
            <w:tcW w:w="1747" w:type="pct"/>
            <w:tcBorders>
              <w:top w:val="single" w:sz="6" w:space="0" w:color="auto"/>
              <w:left w:val="single" w:sz="6" w:space="0" w:color="auto"/>
              <w:bottom w:val="single" w:sz="6" w:space="0" w:color="auto"/>
              <w:right w:val="single" w:sz="6" w:space="0" w:color="auto"/>
            </w:tcBorders>
          </w:tcPr>
          <w:p>
            <w:pPr>
              <w:pStyle w:val="TableParagraph"/>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На запирающем элементе в положении «закрыто»</w:t>
            </w:r>
          </w:p>
        </w:tc>
        <w:tc>
          <w:tcPr>
            <w:tcW w:w="2959" w:type="pct"/>
            <w:tcBorders>
              <w:top w:val="single" w:sz="6" w:space="0" w:color="auto"/>
              <w:left w:val="single" w:sz="6" w:space="0" w:color="auto"/>
              <w:bottom w:val="single" w:sz="6" w:space="0" w:color="auto"/>
              <w:right w:val="single" w:sz="12" w:space="0" w:color="auto"/>
            </w:tcBorders>
          </w:tcPr>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ΔP</w:t>
            </w:r>
            <w:r>
              <w:rPr>
                <w:rFonts w:ascii="Times New Roman" w:eastAsia="Times New Roman" w:hAnsi="Times New Roman"/>
                <w:sz w:val="20"/>
                <w:szCs w:val="20"/>
                <w:vertAlign w:val="subscript"/>
                <w:lang w:val="ru-RU" w:eastAsia="ru-RU"/>
              </w:rPr>
              <w:t>max</w:t>
            </w:r>
            <w:r>
              <w:rPr>
                <w:rFonts w:ascii="Times New Roman" w:eastAsia="Times New Roman" w:hAnsi="Times New Roman"/>
                <w:sz w:val="20"/>
                <w:szCs w:val="20"/>
                <w:lang w:val="ru-RU" w:eastAsia="ru-RU"/>
              </w:rPr>
              <w:t xml:space="preserve"> = Pр </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3.2.</w:t>
            </w:r>
          </w:p>
        </w:tc>
        <w:tc>
          <w:tcPr>
            <w:tcW w:w="1747" w:type="pct"/>
            <w:tcBorders>
              <w:top w:val="single" w:sz="6" w:space="0" w:color="auto"/>
              <w:left w:val="single" w:sz="6" w:space="0" w:color="auto"/>
              <w:bottom w:val="single" w:sz="6" w:space="0" w:color="auto"/>
              <w:right w:val="single" w:sz="6" w:space="0" w:color="auto"/>
            </w:tcBorders>
          </w:tcPr>
          <w:p>
            <w:pPr>
              <w:pStyle w:val="TableParagraph"/>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На запирающем элементе при открытии крана не должен превышать</w:t>
            </w:r>
          </w:p>
        </w:tc>
        <w:tc>
          <w:tcPr>
            <w:tcW w:w="2959" w:type="pct"/>
            <w:tcBorders>
              <w:top w:val="single" w:sz="6" w:space="0" w:color="auto"/>
              <w:left w:val="single" w:sz="6" w:space="0" w:color="auto"/>
              <w:bottom w:val="single" w:sz="6" w:space="0" w:color="auto"/>
              <w:right w:val="single" w:sz="12" w:space="0" w:color="auto"/>
            </w:tcBorders>
          </w:tcPr>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ΔP</w:t>
            </w:r>
            <w:r>
              <w:rPr>
                <w:rFonts w:ascii="Times New Roman" w:eastAsia="Times New Roman" w:hAnsi="Times New Roman"/>
                <w:sz w:val="20"/>
                <w:szCs w:val="20"/>
                <w:vertAlign w:val="subscript"/>
                <w:lang w:val="ru-RU" w:eastAsia="ru-RU"/>
              </w:rPr>
              <w:t>max</w:t>
            </w:r>
            <w:r>
              <w:rPr>
                <w:rFonts w:ascii="Times New Roman" w:eastAsia="Times New Roman" w:hAnsi="Times New Roman"/>
                <w:sz w:val="20"/>
                <w:szCs w:val="20"/>
                <w:lang w:val="ru-RU" w:eastAsia="ru-RU"/>
              </w:rPr>
              <w:t xml:space="preserve"> = PN для кранов DN 100 ÷ 400;</w:t>
            </w:r>
          </w:p>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ΔP</w:t>
            </w:r>
            <w:r>
              <w:rPr>
                <w:rFonts w:ascii="Times New Roman" w:eastAsia="Times New Roman" w:hAnsi="Times New Roman"/>
                <w:sz w:val="20"/>
                <w:szCs w:val="20"/>
                <w:vertAlign w:val="subscript"/>
                <w:lang w:val="ru-RU" w:eastAsia="ru-RU"/>
              </w:rPr>
              <w:t>max</w:t>
            </w:r>
            <w:r>
              <w:rPr>
                <w:rFonts w:ascii="Times New Roman" w:eastAsia="Times New Roman" w:hAnsi="Times New Roman"/>
                <w:sz w:val="20"/>
                <w:szCs w:val="20"/>
                <w:lang w:val="ru-RU" w:eastAsia="ru-RU"/>
              </w:rPr>
              <w:t xml:space="preserve"> = 2,0 МПа для кранов DN 500 ÷ 1200</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1747" w:type="pct"/>
            <w:tcBorders>
              <w:top w:val="single" w:sz="6" w:space="0" w:color="auto"/>
              <w:left w:val="single" w:sz="6" w:space="0" w:color="auto"/>
              <w:bottom w:val="single" w:sz="6" w:space="0" w:color="auto"/>
              <w:right w:val="single" w:sz="6" w:space="0" w:color="auto"/>
            </w:tcBorders>
          </w:tcPr>
          <w:p>
            <w:pPr>
              <w:pStyle w:val="TableParagraph"/>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Рпр</w:t>
            </w:r>
          </w:p>
        </w:tc>
        <w:tc>
          <w:tcPr>
            <w:tcW w:w="2959" w:type="pct"/>
            <w:tcBorders>
              <w:top w:val="single" w:sz="6" w:space="0" w:color="auto"/>
              <w:left w:val="single" w:sz="6" w:space="0" w:color="auto"/>
              <w:bottom w:val="single" w:sz="6" w:space="0" w:color="auto"/>
              <w:right w:val="single" w:sz="12" w:space="0" w:color="auto"/>
            </w:tcBorders>
          </w:tcPr>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В соответствии с Таблицей 1 ГОСТ 356-80</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c>
          <w:tcPr>
            <w:tcW w:w="1747" w:type="pct"/>
            <w:tcBorders>
              <w:top w:val="single" w:sz="6" w:space="0" w:color="auto"/>
              <w:left w:val="single" w:sz="6" w:space="0" w:color="auto"/>
              <w:bottom w:val="single" w:sz="6" w:space="0" w:color="auto"/>
              <w:right w:val="single" w:sz="6" w:space="0" w:color="auto"/>
            </w:tcBorders>
          </w:tcPr>
          <w:p>
            <w:pPr>
              <w:pStyle w:val="TableParagraph"/>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Коэффициент сопротивления ζ</w:t>
            </w:r>
          </w:p>
        </w:tc>
        <w:tc>
          <w:tcPr>
            <w:tcW w:w="2959" w:type="pct"/>
            <w:tcBorders>
              <w:top w:val="single" w:sz="6" w:space="0" w:color="auto"/>
              <w:left w:val="single" w:sz="6" w:space="0" w:color="auto"/>
              <w:bottom w:val="single" w:sz="6" w:space="0" w:color="auto"/>
              <w:right w:val="single" w:sz="12" w:space="0" w:color="auto"/>
            </w:tcBorders>
          </w:tcPr>
          <w:p>
            <w:pPr>
              <w:pStyle w:val="TableParagraph"/>
              <w:ind w:left="57"/>
              <w:jc w:val="left"/>
              <w:rPr>
                <w:rFonts w:ascii="Times New Roman" w:eastAsia="Times New Roman" w:hAnsi="Times New Roman"/>
                <w:sz w:val="20"/>
                <w:szCs w:val="20"/>
                <w:lang w:val="ru-RU" w:eastAsia="ru-RU"/>
              </w:rPr>
            </w:pPr>
            <w:r>
              <w:rPr>
                <w:rFonts w:ascii="Times New Roman" w:eastAsia="Times New Roman" w:hAnsi="Times New Roman"/>
                <w:sz w:val="20"/>
                <w:szCs w:val="20"/>
                <w:lang w:val="ru-RU" w:eastAsia="ru-RU"/>
              </w:rPr>
              <w:t>Не более 0,5</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Тип присоединения к трубопроводу</w:t>
            </w:r>
          </w:p>
        </w:tc>
        <w:tc>
          <w:tcPr>
            <w:tcW w:w="2959" w:type="pct"/>
            <w:tcBorders>
              <w:top w:val="single" w:sz="6" w:space="0" w:color="auto"/>
              <w:left w:val="single" w:sz="6" w:space="0" w:color="auto"/>
              <w:bottom w:val="single" w:sz="6" w:space="0" w:color="auto"/>
              <w:right w:val="single" w:sz="12" w:space="0" w:color="auto"/>
            </w:tcBorders>
          </w:tcPr>
          <w:p>
            <w:pPr>
              <w:widowControl w:val="0"/>
              <w:numPr>
                <w:ilvl w:val="0"/>
                <w:numId w:val="19"/>
              </w:numPr>
              <w:tabs>
                <w:tab w:val="left" w:pos="539"/>
              </w:tabs>
              <w:spacing w:before="120"/>
              <w:ind w:left="538" w:hanging="357"/>
              <w:jc w:val="left"/>
              <w:rPr>
                <w:rFonts w:eastAsia="Times New Roman"/>
                <w:sz w:val="20"/>
                <w:szCs w:val="20"/>
              </w:rPr>
            </w:pPr>
            <w:r>
              <w:rPr>
                <w:rFonts w:eastAsia="Times New Roman"/>
                <w:sz w:val="20"/>
                <w:szCs w:val="20"/>
              </w:rPr>
              <w:t>Муфтовое присоединение к трубопроводу (</w:t>
            </w:r>
            <w:r>
              <w:rPr>
                <w:rFonts w:eastAsia="Times New Roman"/>
                <w:b/>
                <w:sz w:val="20"/>
                <w:szCs w:val="20"/>
              </w:rPr>
              <w:t>М</w:t>
            </w:r>
            <w:r>
              <w:rPr>
                <w:rFonts w:eastAsia="Times New Roman"/>
                <w:sz w:val="20"/>
                <w:szCs w:val="20"/>
              </w:rPr>
              <w:t>).</w:t>
            </w:r>
          </w:p>
          <w:p>
            <w:pPr>
              <w:widowControl w:val="0"/>
              <w:numPr>
                <w:ilvl w:val="0"/>
                <w:numId w:val="19"/>
              </w:numPr>
              <w:tabs>
                <w:tab w:val="left" w:pos="539"/>
              </w:tabs>
              <w:spacing w:before="120"/>
              <w:ind w:left="538" w:hanging="357"/>
              <w:jc w:val="left"/>
              <w:rPr>
                <w:rFonts w:eastAsia="Times New Roman"/>
                <w:sz w:val="20"/>
                <w:szCs w:val="20"/>
              </w:rPr>
            </w:pPr>
            <w:r>
              <w:rPr>
                <w:rFonts w:eastAsia="Times New Roman"/>
                <w:sz w:val="20"/>
                <w:szCs w:val="20"/>
              </w:rPr>
              <w:t>Ниппельное присоединение к трубопроводу (</w:t>
            </w:r>
            <w:r>
              <w:rPr>
                <w:rFonts w:eastAsia="Times New Roman"/>
                <w:b/>
                <w:sz w:val="20"/>
                <w:szCs w:val="20"/>
              </w:rPr>
              <w:t>Н</w:t>
            </w:r>
            <w:r>
              <w:rPr>
                <w:rFonts w:eastAsia="Times New Roman"/>
                <w:sz w:val="20"/>
                <w:szCs w:val="20"/>
              </w:rPr>
              <w:t>).</w:t>
            </w:r>
          </w:p>
          <w:p>
            <w:pPr>
              <w:widowControl w:val="0"/>
              <w:numPr>
                <w:ilvl w:val="0"/>
                <w:numId w:val="19"/>
              </w:numPr>
              <w:tabs>
                <w:tab w:val="left" w:pos="539"/>
              </w:tabs>
              <w:spacing w:before="120"/>
              <w:ind w:left="538" w:hanging="357"/>
              <w:jc w:val="left"/>
              <w:rPr>
                <w:rFonts w:eastAsia="Times New Roman"/>
                <w:sz w:val="20"/>
                <w:szCs w:val="20"/>
              </w:rPr>
            </w:pPr>
            <w:r>
              <w:rPr>
                <w:rFonts w:eastAsia="Times New Roman"/>
                <w:sz w:val="20"/>
                <w:szCs w:val="20"/>
              </w:rPr>
              <w:t>Фланцевое присоединение арматуры и трубопроводов (</w:t>
            </w:r>
            <w:r>
              <w:rPr>
                <w:rFonts w:eastAsia="Times New Roman"/>
                <w:b/>
                <w:sz w:val="20"/>
                <w:szCs w:val="20"/>
              </w:rPr>
              <w:t>Ф</w:t>
            </w:r>
            <w:r>
              <w:rPr>
                <w:rFonts w:eastAsia="Times New Roman"/>
                <w:sz w:val="20"/>
                <w:szCs w:val="20"/>
              </w:rPr>
              <w:t>).</w:t>
            </w:r>
          </w:p>
          <w:p>
            <w:pPr>
              <w:widowControl w:val="0"/>
              <w:numPr>
                <w:ilvl w:val="0"/>
                <w:numId w:val="19"/>
              </w:numPr>
              <w:tabs>
                <w:tab w:val="left" w:pos="539"/>
              </w:tabs>
              <w:spacing w:before="120"/>
              <w:ind w:left="538" w:hanging="357"/>
              <w:jc w:val="left"/>
              <w:rPr>
                <w:rFonts w:eastAsia="Times New Roman"/>
                <w:sz w:val="20"/>
                <w:szCs w:val="20"/>
              </w:rPr>
            </w:pPr>
            <w:r>
              <w:rPr>
                <w:rFonts w:eastAsia="Times New Roman"/>
                <w:sz w:val="20"/>
                <w:szCs w:val="20"/>
              </w:rPr>
              <w:t>Под приварку к трубопроводу (</w:t>
            </w:r>
            <w:r>
              <w:rPr>
                <w:rFonts w:eastAsia="Times New Roman"/>
                <w:b/>
                <w:sz w:val="20"/>
                <w:szCs w:val="20"/>
              </w:rPr>
              <w:t>С</w:t>
            </w:r>
            <w:r>
              <w:rPr>
                <w:rFonts w:eastAsia="Times New Roman"/>
                <w:sz w:val="20"/>
                <w:szCs w:val="20"/>
              </w:rPr>
              <w:t>)</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Привод (тип управления)</w:t>
            </w:r>
          </w:p>
        </w:tc>
        <w:tc>
          <w:tcPr>
            <w:tcW w:w="2959" w:type="pct"/>
            <w:tcBorders>
              <w:top w:val="single" w:sz="6" w:space="0" w:color="auto"/>
              <w:left w:val="single" w:sz="6" w:space="0" w:color="auto"/>
              <w:bottom w:val="single" w:sz="6" w:space="0" w:color="auto"/>
              <w:right w:val="single" w:sz="12" w:space="0" w:color="auto"/>
            </w:tcBorders>
          </w:tcPr>
          <w:p>
            <w:pPr>
              <w:pStyle w:val="affd"/>
              <w:keepNext/>
              <w:keepLines/>
              <w:numPr>
                <w:ilvl w:val="0"/>
                <w:numId w:val="20"/>
              </w:numPr>
              <w:tabs>
                <w:tab w:val="left" w:pos="539"/>
              </w:tabs>
              <w:spacing w:before="120" w:line="240" w:lineRule="auto"/>
              <w:ind w:left="538" w:hanging="357"/>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Ручной (маховик или редуктор); </w:t>
            </w:r>
          </w:p>
          <w:p>
            <w:pPr>
              <w:pStyle w:val="affd"/>
              <w:keepNext/>
              <w:keepLines/>
              <w:numPr>
                <w:ilvl w:val="0"/>
                <w:numId w:val="20"/>
              </w:numPr>
              <w:tabs>
                <w:tab w:val="left" w:pos="539"/>
              </w:tabs>
              <w:spacing w:before="120" w:line="240" w:lineRule="auto"/>
              <w:ind w:left="538" w:hanging="357"/>
              <w:contextualSpacing w:val="0"/>
              <w:jc w:val="left"/>
              <w:rPr>
                <w:rFonts w:ascii="Times New Roman" w:eastAsia="Times New Roman" w:hAnsi="Times New Roman"/>
                <w:caps/>
                <w:sz w:val="20"/>
                <w:szCs w:val="20"/>
                <w:lang w:eastAsia="ru-RU"/>
              </w:rPr>
            </w:pPr>
            <w:r>
              <w:rPr>
                <w:rFonts w:ascii="Times New Roman" w:eastAsia="Times New Roman" w:hAnsi="Times New Roman"/>
                <w:sz w:val="20"/>
                <w:szCs w:val="20"/>
                <w:lang w:eastAsia="ru-RU"/>
              </w:rPr>
              <w:t xml:space="preserve">Электрический (необходимые параметры для управления краном шаровым, оснащенным приводом типа ЭП, должны быть указаны в </w:t>
            </w:r>
            <w:hyperlink w:anchor="_ПРИЛОЖЕНИЕ_1._МОДЕЛЬНЫЕ" w:history="1">
              <w:r>
                <w:rPr>
                  <w:rStyle w:val="a6"/>
                  <w:rFonts w:ascii="Times New Roman" w:eastAsia="PMingLiU" w:hAnsi="Times New Roman"/>
                  <w:sz w:val="20"/>
                  <w:szCs w:val="22"/>
                </w:rPr>
                <w:t>Приложение 1</w:t>
              </w:r>
            </w:hyperlink>
            <w:r>
              <w:rPr>
                <w:rFonts w:ascii="Times New Roman" w:eastAsia="Times New Roman" w:hAnsi="Times New Roman"/>
                <w:sz w:val="20"/>
                <w:szCs w:val="20"/>
                <w:lang w:eastAsia="ru-RU"/>
              </w:rPr>
              <w:t xml:space="preserve"> к настоящим </w:t>
            </w:r>
            <w:r>
              <w:rPr>
                <w:rFonts w:ascii="Times New Roman" w:eastAsia="Times New Roman" w:hAnsi="Times New Roman"/>
                <w:sz w:val="20"/>
                <w:szCs w:val="20"/>
                <w:lang w:eastAsia="ru-RU"/>
              </w:rPr>
              <w:lastRenderedPageBreak/>
              <w:t>Методическим указаниям.);</w:t>
            </w:r>
          </w:p>
          <w:p>
            <w:pPr>
              <w:pStyle w:val="affd"/>
              <w:keepNext/>
              <w:keepLines/>
              <w:numPr>
                <w:ilvl w:val="0"/>
                <w:numId w:val="20"/>
              </w:numPr>
              <w:tabs>
                <w:tab w:val="left" w:pos="539"/>
              </w:tabs>
              <w:spacing w:before="120" w:line="240" w:lineRule="auto"/>
              <w:ind w:left="538" w:hanging="357"/>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Пневматический (необходимые параметры для управления краном шаровым, оснащенным приводом типа ПН, должны быть указаны в </w:t>
            </w:r>
            <w:hyperlink w:anchor="_ПРИЛОЖЕНИЕ_2._МОДЕЛЬНЫЕ" w:history="1">
              <w:r>
                <w:rPr>
                  <w:rStyle w:val="a6"/>
                  <w:rFonts w:ascii="Times New Roman" w:eastAsia="PMingLiU" w:hAnsi="Times New Roman"/>
                  <w:sz w:val="20"/>
                  <w:szCs w:val="22"/>
                </w:rPr>
                <w:t>Приложение 2</w:t>
              </w:r>
            </w:hyperlink>
            <w:r>
              <w:rPr>
                <w:rFonts w:ascii="Times New Roman" w:eastAsia="Times New Roman" w:hAnsi="Times New Roman"/>
                <w:sz w:val="20"/>
                <w:szCs w:val="20"/>
                <w:lang w:eastAsia="ru-RU"/>
              </w:rPr>
              <w:t xml:space="preserve"> к настоящим Методическим указаниям.).</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8</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hAnsi="Times New Roman"/>
                <w:sz w:val="20"/>
                <w:szCs w:val="20"/>
              </w:rPr>
              <w:t>Тип проточной части корпуса крана</w:t>
            </w:r>
          </w:p>
        </w:tc>
        <w:tc>
          <w:tcPr>
            <w:tcW w:w="2959" w:type="pct"/>
            <w:tcBorders>
              <w:top w:val="single" w:sz="6" w:space="0" w:color="auto"/>
              <w:left w:val="single" w:sz="6" w:space="0" w:color="auto"/>
              <w:bottom w:val="single" w:sz="6" w:space="0" w:color="auto"/>
              <w:right w:val="single" w:sz="12" w:space="0" w:color="auto"/>
            </w:tcBorders>
          </w:tcPr>
          <w:p>
            <w:pPr>
              <w:pStyle w:val="affd"/>
              <w:spacing w:line="240" w:lineRule="auto"/>
              <w:ind w:left="0" w:firstLine="0"/>
              <w:contextualSpacing w:val="0"/>
              <w:jc w:val="left"/>
              <w:rPr>
                <w:rFonts w:ascii="Times New Roman" w:hAnsi="Times New Roman"/>
                <w:sz w:val="20"/>
                <w:szCs w:val="20"/>
              </w:rPr>
            </w:pPr>
            <w:r>
              <w:rPr>
                <w:rFonts w:ascii="Times New Roman" w:hAnsi="Times New Roman"/>
                <w:sz w:val="20"/>
                <w:szCs w:val="20"/>
              </w:rPr>
              <w:t>Полнопроходные</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9</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Вид климатического исполнения по </w:t>
            </w:r>
            <w:r>
              <w:rPr>
                <w:rFonts w:ascii="Times New Roman" w:hAnsi="Times New Roman"/>
                <w:bCs/>
                <w:sz w:val="20"/>
                <w:szCs w:val="20"/>
              </w:rPr>
              <w:t>ГОСТ 15150</w:t>
            </w:r>
          </w:p>
        </w:tc>
        <w:tc>
          <w:tcPr>
            <w:tcW w:w="2959" w:type="pct"/>
            <w:tcBorders>
              <w:top w:val="single" w:sz="6" w:space="0" w:color="auto"/>
              <w:left w:val="single" w:sz="6" w:space="0" w:color="auto"/>
              <w:bottom w:val="single" w:sz="6" w:space="0" w:color="auto"/>
              <w:right w:val="single" w:sz="12" w:space="0" w:color="auto"/>
            </w:tcBorders>
          </w:tcPr>
          <w:p>
            <w:pPr>
              <w:pStyle w:val="affd"/>
              <w:keepNext/>
              <w:keepLines/>
              <w:numPr>
                <w:ilvl w:val="0"/>
                <w:numId w:val="20"/>
              </w:numPr>
              <w:tabs>
                <w:tab w:val="left" w:pos="539"/>
              </w:tabs>
              <w:spacing w:before="120" w:line="240" w:lineRule="auto"/>
              <w:ind w:left="538" w:hanging="357"/>
              <w:contextualSpacing w:val="0"/>
              <w:jc w:val="left"/>
              <w:rPr>
                <w:rFonts w:ascii="Times New Roman" w:eastAsia="Times New Roman" w:hAnsi="Times New Roman"/>
                <w:caps/>
                <w:sz w:val="20"/>
                <w:szCs w:val="20"/>
                <w:lang w:eastAsia="ru-RU"/>
              </w:rPr>
            </w:pPr>
            <w:r>
              <w:rPr>
                <w:rFonts w:ascii="Times New Roman" w:eastAsia="Times New Roman" w:hAnsi="Times New Roman"/>
                <w:sz w:val="20"/>
                <w:szCs w:val="20"/>
                <w:lang w:eastAsia="ru-RU"/>
              </w:rPr>
              <w:t>Умеренный климат.</w:t>
            </w:r>
          </w:p>
          <w:p>
            <w:pPr>
              <w:pStyle w:val="affd"/>
              <w:keepNext/>
              <w:keepLines/>
              <w:numPr>
                <w:ilvl w:val="0"/>
                <w:numId w:val="20"/>
              </w:numPr>
              <w:tabs>
                <w:tab w:val="left" w:pos="539"/>
              </w:tabs>
              <w:spacing w:before="120" w:line="240" w:lineRule="auto"/>
              <w:ind w:left="538" w:hanging="357"/>
              <w:contextualSpacing w:val="0"/>
              <w:jc w:val="left"/>
              <w:rPr>
                <w:rFonts w:ascii="Times New Roman" w:eastAsia="Times New Roman" w:hAnsi="Times New Roman"/>
                <w:caps/>
                <w:sz w:val="20"/>
                <w:szCs w:val="20"/>
                <w:lang w:eastAsia="ru-RU"/>
              </w:rPr>
            </w:pPr>
            <w:r>
              <w:rPr>
                <w:rFonts w:ascii="Times New Roman" w:eastAsia="Times New Roman" w:hAnsi="Times New Roman"/>
                <w:sz w:val="20"/>
                <w:szCs w:val="20"/>
                <w:lang w:eastAsia="ru-RU"/>
              </w:rPr>
              <w:t>Умеренный и холодный климат</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10</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Герметичность затвора</w:t>
            </w:r>
          </w:p>
        </w:tc>
        <w:tc>
          <w:tcPr>
            <w:tcW w:w="2959" w:type="pct"/>
            <w:tcBorders>
              <w:top w:val="single" w:sz="6" w:space="0" w:color="auto"/>
              <w:left w:val="single" w:sz="6" w:space="0" w:color="auto"/>
              <w:bottom w:val="single" w:sz="6" w:space="0" w:color="auto"/>
              <w:right w:val="single" w:sz="12"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Класс А по </w:t>
            </w:r>
            <w:r>
              <w:rPr>
                <w:rFonts w:ascii="Times New Roman" w:hAnsi="Times New Roman"/>
                <w:sz w:val="20"/>
                <w:szCs w:val="20"/>
              </w:rPr>
              <w:t>ГОСТ 9544</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11</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Направление подачи рабочей среды</w:t>
            </w:r>
          </w:p>
        </w:tc>
        <w:tc>
          <w:tcPr>
            <w:tcW w:w="2959" w:type="pct"/>
            <w:tcBorders>
              <w:top w:val="single" w:sz="6" w:space="0" w:color="auto"/>
              <w:left w:val="single" w:sz="6" w:space="0" w:color="auto"/>
              <w:bottom w:val="single" w:sz="6" w:space="0" w:color="auto"/>
              <w:right w:val="single" w:sz="12"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Двухстороннее</w:t>
            </w:r>
          </w:p>
        </w:tc>
      </w:tr>
      <w:tr>
        <w:tc>
          <w:tcPr>
            <w:tcW w:w="294" w:type="pct"/>
            <w:tcBorders>
              <w:top w:val="single" w:sz="6" w:space="0" w:color="auto"/>
              <w:left w:val="single" w:sz="12"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12</w:t>
            </w:r>
          </w:p>
        </w:tc>
        <w:tc>
          <w:tcPr>
            <w:tcW w:w="1747" w:type="pct"/>
            <w:tcBorders>
              <w:top w:val="single" w:sz="6" w:space="0" w:color="auto"/>
              <w:left w:val="single" w:sz="6" w:space="0" w:color="auto"/>
              <w:bottom w:val="single" w:sz="6"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Установка</w:t>
            </w:r>
          </w:p>
        </w:tc>
        <w:tc>
          <w:tcPr>
            <w:tcW w:w="2959" w:type="pct"/>
            <w:tcBorders>
              <w:top w:val="single" w:sz="6" w:space="0" w:color="auto"/>
              <w:left w:val="single" w:sz="6" w:space="0" w:color="auto"/>
              <w:bottom w:val="single" w:sz="6" w:space="0" w:color="auto"/>
              <w:right w:val="single" w:sz="12" w:space="0" w:color="auto"/>
            </w:tcBorders>
          </w:tcPr>
          <w:p>
            <w:pPr>
              <w:pStyle w:val="affd"/>
              <w:numPr>
                <w:ilvl w:val="0"/>
                <w:numId w:val="21"/>
              </w:numPr>
              <w:tabs>
                <w:tab w:val="left" w:pos="539"/>
              </w:tabs>
              <w:spacing w:before="120" w:line="240" w:lineRule="auto"/>
              <w:ind w:left="538" w:hanging="357"/>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Подземная.</w:t>
            </w:r>
          </w:p>
          <w:p>
            <w:pPr>
              <w:pStyle w:val="affd"/>
              <w:numPr>
                <w:ilvl w:val="0"/>
                <w:numId w:val="21"/>
              </w:numPr>
              <w:tabs>
                <w:tab w:val="left" w:pos="539"/>
              </w:tabs>
              <w:spacing w:before="120" w:line="240" w:lineRule="auto"/>
              <w:ind w:left="538" w:hanging="357"/>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Надземная</w:t>
            </w:r>
          </w:p>
        </w:tc>
      </w:tr>
      <w:tr>
        <w:tc>
          <w:tcPr>
            <w:tcW w:w="294" w:type="pct"/>
            <w:tcBorders>
              <w:top w:val="single" w:sz="6" w:space="0" w:color="auto"/>
              <w:left w:val="single" w:sz="12" w:space="0" w:color="auto"/>
              <w:bottom w:val="single" w:sz="12"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c>
          <w:tcPr>
            <w:tcW w:w="1747" w:type="pct"/>
            <w:tcBorders>
              <w:top w:val="single" w:sz="6" w:space="0" w:color="auto"/>
              <w:left w:val="single" w:sz="6" w:space="0" w:color="auto"/>
              <w:bottom w:val="single" w:sz="12" w:space="0" w:color="auto"/>
              <w:right w:val="single" w:sz="6" w:space="0" w:color="auto"/>
            </w:tcBorders>
          </w:tcPr>
          <w:p>
            <w:pPr>
              <w:pStyle w:val="affd"/>
              <w:spacing w:line="240" w:lineRule="auto"/>
              <w:ind w:left="0" w:firstLine="0"/>
              <w:contextualSpacing w:val="0"/>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Класс опасности по ГОСТ 12.1.007</w:t>
            </w:r>
          </w:p>
        </w:tc>
        <w:tc>
          <w:tcPr>
            <w:tcW w:w="2959" w:type="pct"/>
            <w:tcBorders>
              <w:top w:val="single" w:sz="6" w:space="0" w:color="auto"/>
              <w:left w:val="single" w:sz="6" w:space="0" w:color="auto"/>
              <w:bottom w:val="single" w:sz="12" w:space="0" w:color="auto"/>
              <w:right w:val="single" w:sz="12" w:space="0" w:color="auto"/>
            </w:tcBorders>
          </w:tcPr>
          <w:p>
            <w:pPr>
              <w:pStyle w:val="affd"/>
              <w:numPr>
                <w:ilvl w:val="0"/>
                <w:numId w:val="29"/>
              </w:numPr>
              <w:tabs>
                <w:tab w:val="left" w:pos="539"/>
              </w:tabs>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t>1 - вещества чрезвычайно опасные;</w:t>
            </w:r>
          </w:p>
          <w:p>
            <w:pPr>
              <w:pStyle w:val="affd"/>
              <w:numPr>
                <w:ilvl w:val="0"/>
                <w:numId w:val="29"/>
              </w:numPr>
              <w:tabs>
                <w:tab w:val="left" w:pos="539"/>
              </w:tabs>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t>2 - вещества высокоопасные;</w:t>
            </w:r>
          </w:p>
          <w:p>
            <w:pPr>
              <w:pStyle w:val="affd"/>
              <w:numPr>
                <w:ilvl w:val="0"/>
                <w:numId w:val="29"/>
              </w:numPr>
              <w:tabs>
                <w:tab w:val="left" w:pos="539"/>
              </w:tabs>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t>3 - вещества умеренно опасные;</w:t>
            </w:r>
          </w:p>
          <w:p>
            <w:pPr>
              <w:pStyle w:val="affd"/>
              <w:numPr>
                <w:ilvl w:val="0"/>
                <w:numId w:val="29"/>
              </w:numPr>
              <w:tabs>
                <w:tab w:val="left" w:pos="539"/>
              </w:tabs>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t>4 - вещества малоопасные</w:t>
            </w:r>
          </w:p>
        </w:tc>
      </w:tr>
    </w:tbl>
    <w:p>
      <w:pPr>
        <w:tabs>
          <w:tab w:val="left" w:pos="7125"/>
        </w:tabs>
      </w:pPr>
    </w:p>
    <w:p>
      <w:pPr>
        <w:pStyle w:val="S0"/>
        <w:rPr>
          <w:rFonts w:eastAsia="PMingLiU"/>
          <w:lang w:eastAsia="en-US"/>
        </w:rPr>
      </w:pPr>
      <w:r>
        <w:rPr>
          <w:rFonts w:eastAsia="PMingLiU"/>
          <w:lang w:eastAsia="en-US"/>
        </w:rPr>
        <w:t>Проектирование и изготовление кранов шаровых должно обеспечивать их эксплуатацию во взрывоопасных зонах классов 1 и 2 по ГОСТ</w:t>
      </w:r>
      <w:r>
        <w:rPr>
          <w:rFonts w:eastAsia="PMingLiU"/>
          <w:lang w:val="en-US" w:eastAsia="en-US"/>
        </w:rPr>
        <w:t> </w:t>
      </w:r>
      <w:r>
        <w:rPr>
          <w:rFonts w:eastAsia="PMingLiU"/>
          <w:lang w:eastAsia="en-US"/>
        </w:rPr>
        <w:t>30852.9, в которых возможно образование взрывоопасных смесей категории IIA, IIB и IIC по ГОСТ</w:t>
      </w:r>
      <w:r>
        <w:rPr>
          <w:rFonts w:eastAsia="PMingLiU"/>
          <w:lang w:val="en-US" w:eastAsia="en-US"/>
        </w:rPr>
        <w:t> </w:t>
      </w:r>
      <w:r>
        <w:rPr>
          <w:rFonts w:eastAsia="PMingLiU"/>
          <w:lang w:eastAsia="en-US"/>
        </w:rPr>
        <w:t>30852.11 группой смеси Т1, T2, Т3, Т4, Т5, Т6 по ГОСТ</w:t>
      </w:r>
      <w:r>
        <w:rPr>
          <w:rFonts w:eastAsia="PMingLiU"/>
          <w:lang w:val="en-US" w:eastAsia="en-US"/>
        </w:rPr>
        <w:t> </w:t>
      </w:r>
      <w:r>
        <w:rPr>
          <w:rFonts w:eastAsia="PMingLiU"/>
          <w:lang w:eastAsia="en-US"/>
        </w:rPr>
        <w:t>30852.5, а также согласно гл. 7.3 ПУЭ (издание 7).</w:t>
      </w:r>
    </w:p>
    <w:p>
      <w:pPr>
        <w:pStyle w:val="S0"/>
        <w:rPr>
          <w:rFonts w:eastAsia="PMingLiU"/>
          <w:lang w:eastAsia="en-US"/>
        </w:rPr>
      </w:pPr>
    </w:p>
    <w:p>
      <w:pPr>
        <w:tabs>
          <w:tab w:val="left" w:pos="851"/>
        </w:tabs>
        <w:rPr>
          <w:rFonts w:eastAsia="PMingLiU"/>
          <w:szCs w:val="22"/>
          <w:lang w:eastAsia="en-US"/>
        </w:rPr>
      </w:pPr>
      <w:r>
        <w:rPr>
          <w:rFonts w:eastAsia="PMingLiU"/>
          <w:szCs w:val="22"/>
          <w:lang w:eastAsia="en-US"/>
        </w:rPr>
        <w:t>К кранам шаровым относятся краны с запирающим элементом, имеющим форму вращения, поворачивающейся вокруг собственной оси.</w:t>
      </w:r>
    </w:p>
    <w:p>
      <w:pPr>
        <w:pStyle w:val="S0"/>
      </w:pPr>
    </w:p>
    <w:p>
      <w:pPr>
        <w:tabs>
          <w:tab w:val="left" w:pos="851"/>
        </w:tabs>
      </w:pPr>
      <w:r>
        <w:t>Запирающим элементом в кране шаровом является пробка (выполненная в виде шара), имеющее сквозное отверстие для прохода рабочей среды.</w:t>
      </w:r>
    </w:p>
    <w:p>
      <w:pPr>
        <w:pStyle w:val="S0"/>
      </w:pPr>
    </w:p>
    <w:p>
      <w:pPr>
        <w:pStyle w:val="S0"/>
      </w:pPr>
      <w:r>
        <w:t>Кран шаровой включает в себя основные узлы и детали: корпус, запирающий элемент, шпиндель и седла (уплотнительные прокладки, кольца), ответные фланцы (для фланцевого шарового крана).</w:t>
      </w:r>
    </w:p>
    <w:p>
      <w:pPr>
        <w:pStyle w:val="a7"/>
        <w:widowControl w:val="0"/>
        <w:tabs>
          <w:tab w:val="left" w:pos="851"/>
        </w:tabs>
        <w:spacing w:after="0"/>
        <w:rPr>
          <w:spacing w:val="-2"/>
        </w:rPr>
      </w:pPr>
    </w:p>
    <w:p>
      <w:pPr>
        <w:pStyle w:val="a7"/>
        <w:widowControl w:val="0"/>
        <w:tabs>
          <w:tab w:val="left" w:pos="851"/>
        </w:tabs>
        <w:spacing w:after="0"/>
        <w:rPr>
          <w:spacing w:val="-1"/>
        </w:rPr>
      </w:pPr>
      <w:r>
        <w:rPr>
          <w:spacing w:val="-1"/>
        </w:rPr>
        <w:t>Краны шаровые для подземной установки эксплуатируются без сооружения колодцев (засыпкой в траншеи).</w:t>
      </w:r>
    </w:p>
    <w:p>
      <w:pPr>
        <w:pStyle w:val="a7"/>
        <w:widowControl w:val="0"/>
        <w:tabs>
          <w:tab w:val="left" w:pos="851"/>
        </w:tabs>
        <w:spacing w:after="0"/>
        <w:rPr>
          <w:spacing w:val="-1"/>
        </w:rPr>
      </w:pPr>
    </w:p>
    <w:p>
      <w:pPr>
        <w:pStyle w:val="a7"/>
        <w:widowControl w:val="0"/>
        <w:numPr>
          <w:ilvl w:val="2"/>
          <w:numId w:val="0"/>
        </w:numPr>
        <w:tabs>
          <w:tab w:val="left" w:pos="851"/>
        </w:tabs>
        <w:spacing w:after="0"/>
        <w:ind w:right="105"/>
      </w:pPr>
      <w:r>
        <w:t>Для сопрягаемых поверхностей подвижных и неподвижных соединений:</w:t>
      </w:r>
    </w:p>
    <w:p>
      <w:pPr>
        <w:numPr>
          <w:ilvl w:val="0"/>
          <w:numId w:val="12"/>
        </w:numPr>
        <w:tabs>
          <w:tab w:val="left" w:pos="539"/>
        </w:tabs>
        <w:spacing w:before="120"/>
        <w:ind w:left="538" w:hanging="357"/>
      </w:pPr>
      <w:r>
        <w:t xml:space="preserve">допуски формы и расположения </w:t>
      </w:r>
      <w:r>
        <w:rPr>
          <w:rFonts w:eastAsia="PMingLiU"/>
          <w:szCs w:val="22"/>
          <w:lang w:eastAsia="en-US"/>
        </w:rPr>
        <w:t>поверхностей</w:t>
      </w:r>
      <w:r>
        <w:t xml:space="preserve"> по ГОСТ</w:t>
      </w:r>
      <w:r>
        <w:rPr>
          <w:lang w:val="en-US"/>
        </w:rPr>
        <w:t> </w:t>
      </w:r>
      <w:r>
        <w:t>24643;</w:t>
      </w:r>
    </w:p>
    <w:p>
      <w:pPr>
        <w:numPr>
          <w:ilvl w:val="0"/>
          <w:numId w:val="12"/>
        </w:numPr>
        <w:tabs>
          <w:tab w:val="left" w:pos="539"/>
        </w:tabs>
        <w:spacing w:before="120"/>
        <w:ind w:left="538" w:hanging="357"/>
      </w:pPr>
      <w:r>
        <w:t>неуказанные допуски формы и расположение поверхностей по ГОСТ</w:t>
      </w:r>
      <w:r>
        <w:rPr>
          <w:lang w:val="en-US"/>
        </w:rPr>
        <w:t> </w:t>
      </w:r>
      <w:r>
        <w:t>30893.2;</w:t>
      </w:r>
    </w:p>
    <w:p>
      <w:pPr>
        <w:pStyle w:val="a7"/>
        <w:widowControl w:val="0"/>
        <w:numPr>
          <w:ilvl w:val="0"/>
          <w:numId w:val="30"/>
        </w:numPr>
        <w:tabs>
          <w:tab w:val="left" w:pos="539"/>
        </w:tabs>
        <w:spacing w:before="120" w:after="0"/>
        <w:ind w:left="538" w:hanging="357"/>
      </w:pPr>
      <w:r>
        <w:t>параметры и характеристики шероховатости поверхности по ГОСТ</w:t>
      </w:r>
      <w:r>
        <w:rPr>
          <w:lang w:val="en-US"/>
        </w:rPr>
        <w:t> </w:t>
      </w:r>
      <w:r>
        <w:t>2789;</w:t>
      </w:r>
    </w:p>
    <w:p>
      <w:pPr>
        <w:pStyle w:val="a7"/>
        <w:widowControl w:val="0"/>
        <w:numPr>
          <w:ilvl w:val="0"/>
          <w:numId w:val="30"/>
        </w:numPr>
        <w:tabs>
          <w:tab w:val="left" w:pos="539"/>
        </w:tabs>
        <w:spacing w:before="120" w:after="0"/>
        <w:ind w:left="538" w:hanging="357"/>
      </w:pPr>
      <w:r>
        <w:t>нормальные углы и допуски углов по ГОСТ</w:t>
      </w:r>
      <w:r>
        <w:rPr>
          <w:lang w:val="en-US"/>
        </w:rPr>
        <w:t> </w:t>
      </w:r>
      <w:r>
        <w:t>Р</w:t>
      </w:r>
      <w:r>
        <w:rPr>
          <w:lang w:val="en-US"/>
        </w:rPr>
        <w:t> </w:t>
      </w:r>
      <w:r>
        <w:t>53441;</w:t>
      </w:r>
    </w:p>
    <w:p>
      <w:pPr>
        <w:pStyle w:val="a7"/>
        <w:widowControl w:val="0"/>
        <w:numPr>
          <w:ilvl w:val="0"/>
          <w:numId w:val="30"/>
        </w:numPr>
        <w:tabs>
          <w:tab w:val="left" w:pos="539"/>
        </w:tabs>
        <w:spacing w:before="120" w:after="0"/>
        <w:ind w:left="538" w:hanging="357"/>
      </w:pPr>
      <w:r>
        <w:t>предельные отклонения размеров, с неуказанными допусками по ГОСТ</w:t>
      </w:r>
      <w:r>
        <w:rPr>
          <w:lang w:val="en-US"/>
        </w:rPr>
        <w:t> </w:t>
      </w:r>
      <w:r>
        <w:t>30893.1.</w:t>
      </w:r>
    </w:p>
    <w:p>
      <w:pPr>
        <w:shd w:val="clear" w:color="auto" w:fill="FFFFFF"/>
      </w:pPr>
    </w:p>
    <w:p>
      <w:pPr>
        <w:shd w:val="clear" w:color="auto" w:fill="FFFFFF"/>
      </w:pPr>
      <w:r>
        <w:t>Основные размеры метрической резьбы - по ГОСТ</w:t>
      </w:r>
      <w:r>
        <w:rPr>
          <w:lang w:val="en-US"/>
        </w:rPr>
        <w:t> </w:t>
      </w:r>
      <w:r>
        <w:t xml:space="preserve">24705, профиль – по </w:t>
      </w:r>
      <w:hyperlink r:id="rId32" w:tooltip="Основные нормы взаимозаменяемости. Резьба метрическая. Профиль" w:history="1">
        <w:r>
          <w:t>ГОСТ</w:t>
        </w:r>
        <w:r>
          <w:rPr>
            <w:lang w:val="en-US"/>
          </w:rPr>
          <w:t> </w:t>
        </w:r>
        <w:r>
          <w:t>9150</w:t>
        </w:r>
      </w:hyperlink>
      <w:r>
        <w:t xml:space="preserve">, допуски посадок с зазором – по </w:t>
      </w:r>
      <w:hyperlink r:id="rId33" w:tooltip="Основные нормы взаимозаменяемости. Резьба метрическая. Допуски. Посадки с зазором" w:history="1">
        <w:r>
          <w:t>ГОСТ</w:t>
        </w:r>
        <w:r>
          <w:rPr>
            <w:lang w:val="en-US"/>
          </w:rPr>
          <w:t> </w:t>
        </w:r>
        <w:r>
          <w:t>16093</w:t>
        </w:r>
      </w:hyperlink>
      <w:r>
        <w:t xml:space="preserve">, сбеги, недорезы, проточки и фаски – по </w:t>
      </w:r>
      <w:hyperlink r:id="rId34" w:tooltip="Выход резьбы. Сбеги, недорезы, проточки и фаски" w:history="1">
        <w:r>
          <w:t>ГОСТ</w:t>
        </w:r>
        <w:r>
          <w:rPr>
            <w:lang w:val="en-US"/>
          </w:rPr>
          <w:t> </w:t>
        </w:r>
        <w:r>
          <w:t>10549</w:t>
        </w:r>
      </w:hyperlink>
      <w:r>
        <w:t>.</w:t>
      </w:r>
    </w:p>
    <w:p>
      <w:pPr>
        <w:pStyle w:val="35"/>
        <w:shd w:val="clear" w:color="auto" w:fill="FFFFFF"/>
        <w:spacing w:after="0"/>
        <w:ind w:left="0"/>
        <w:rPr>
          <w:sz w:val="24"/>
          <w:szCs w:val="24"/>
        </w:rPr>
      </w:pPr>
      <w:r>
        <w:rPr>
          <w:sz w:val="24"/>
          <w:szCs w:val="24"/>
        </w:rPr>
        <w:lastRenderedPageBreak/>
        <w:t>На поверхности резьбы не допускаются вмятины и заусенцы, препятствующие навинчиванию проходного калибра.</w:t>
      </w:r>
    </w:p>
    <w:p>
      <w:pPr>
        <w:shd w:val="clear" w:color="auto" w:fill="FFFFFF"/>
      </w:pPr>
    </w:p>
    <w:p>
      <w:pPr>
        <w:pStyle w:val="a7"/>
        <w:widowControl w:val="0"/>
        <w:tabs>
          <w:tab w:val="left" w:pos="851"/>
        </w:tabs>
        <w:spacing w:after="0"/>
        <w:ind w:right="105"/>
      </w:pPr>
      <w:r>
        <w:t>Технические требования к винтовым пружинам по ГОСТ</w:t>
      </w:r>
      <w:r>
        <w:rPr>
          <w:lang w:val="en-US"/>
        </w:rPr>
        <w:t> </w:t>
      </w:r>
      <w:r>
        <w:t>Р</w:t>
      </w:r>
      <w:r>
        <w:rPr>
          <w:lang w:val="en-US"/>
        </w:rPr>
        <w:t> </w:t>
      </w:r>
      <w:r>
        <w:t>50753 и ГОСТ</w:t>
      </w:r>
      <w:r>
        <w:rPr>
          <w:lang w:val="en-US"/>
        </w:rPr>
        <w:t> </w:t>
      </w:r>
      <w:r>
        <w:t>16118.</w:t>
      </w:r>
    </w:p>
    <w:p>
      <w:pPr>
        <w:pStyle w:val="a7"/>
        <w:widowControl w:val="0"/>
        <w:tabs>
          <w:tab w:val="left" w:pos="851"/>
        </w:tabs>
        <w:spacing w:after="0"/>
        <w:ind w:right="105"/>
        <w:rPr>
          <w:highlight w:val="yellow"/>
        </w:rPr>
      </w:pPr>
    </w:p>
    <w:p>
      <w:pPr>
        <w:pStyle w:val="S0"/>
        <w:rPr>
          <w:rFonts w:eastAsia="PMingLiU"/>
          <w:lang w:eastAsia="en-US"/>
        </w:rPr>
      </w:pPr>
      <w:r>
        <w:rPr>
          <w:rFonts w:eastAsia="PMingLiU"/>
          <w:lang w:eastAsia="en-US"/>
        </w:rPr>
        <w:t>Детали крана шарового и приводных устройств, предназначенные для работы во взрывоопасных и пожароопасных зонах, имеющие возможность соударяться в процессе работы, изготавливают из материалов, не допускающих образование искр при ударе.</w:t>
      </w:r>
    </w:p>
    <w:p>
      <w:pPr>
        <w:pStyle w:val="a7"/>
        <w:widowControl w:val="0"/>
        <w:tabs>
          <w:tab w:val="left" w:pos="851"/>
        </w:tabs>
        <w:spacing w:after="0"/>
        <w:ind w:right="105"/>
        <w:rPr>
          <w:highlight w:val="yellow"/>
        </w:rPr>
      </w:pPr>
    </w:p>
    <w:p>
      <w:pPr>
        <w:tabs>
          <w:tab w:val="left" w:pos="993"/>
          <w:tab w:val="left" w:pos="1701"/>
        </w:tabs>
        <w:autoSpaceDE w:val="0"/>
        <w:autoSpaceDN w:val="0"/>
        <w:adjustRightInd w:val="0"/>
        <w:contextualSpacing/>
        <w:rPr>
          <w:rFonts w:eastAsia="Times New Roman"/>
        </w:rPr>
      </w:pPr>
      <w:r>
        <w:rPr>
          <w:rFonts w:eastAsia="Times New Roman"/>
        </w:rPr>
        <w:t>Положение запирающего элемента крана шарового при эксплуатации: полностью «открыто» или полностью «закрыто».</w:t>
      </w:r>
    </w:p>
    <w:p>
      <w:pPr>
        <w:pStyle w:val="a7"/>
        <w:widowControl w:val="0"/>
        <w:tabs>
          <w:tab w:val="left" w:pos="851"/>
        </w:tabs>
        <w:spacing w:after="0"/>
        <w:ind w:right="105"/>
      </w:pPr>
    </w:p>
    <w:p>
      <w:pPr>
        <w:pStyle w:val="a7"/>
        <w:widowControl w:val="0"/>
        <w:tabs>
          <w:tab w:val="left" w:pos="851"/>
        </w:tabs>
        <w:spacing w:after="0"/>
        <w:ind w:right="-1"/>
      </w:pPr>
      <w:r>
        <w:rPr>
          <w:rFonts w:eastAsia="Times New Roman"/>
        </w:rPr>
        <w:t>Краны шаровые по конструктивному исполнению должны относиться к классу ремонтируемых восстанавливаемых изделий, с регламентированной дисциплиной и назначенной продолжительностью эксплуатации. Объем ремонтных работ при техническом обслуживании и ремонте арматуры указывают в РЭ</w:t>
      </w:r>
      <w:r>
        <w:t>.</w:t>
      </w:r>
    </w:p>
    <w:p>
      <w:pPr>
        <w:pStyle w:val="a7"/>
        <w:widowControl w:val="0"/>
        <w:tabs>
          <w:tab w:val="left" w:pos="851"/>
        </w:tabs>
        <w:spacing w:after="0"/>
        <w:ind w:right="105"/>
      </w:pPr>
    </w:p>
    <w:p>
      <w:pPr>
        <w:pStyle w:val="a7"/>
        <w:widowControl w:val="0"/>
        <w:tabs>
          <w:tab w:val="left" w:pos="851"/>
        </w:tabs>
        <w:spacing w:after="0"/>
        <w:ind w:right="-1"/>
        <w:rPr>
          <w:rFonts w:eastAsia="Times New Roman"/>
        </w:rPr>
      </w:pPr>
      <w:r>
        <w:rPr>
          <w:rFonts w:eastAsia="Times New Roman"/>
        </w:rPr>
        <w:t>Краны шаровые должны иметь возможность выполнения ремонтов, как в полевых, так и в стационарных условиях.</w:t>
      </w:r>
    </w:p>
    <w:p>
      <w:pPr>
        <w:pStyle w:val="a7"/>
        <w:widowControl w:val="0"/>
        <w:tabs>
          <w:tab w:val="left" w:pos="851"/>
        </w:tabs>
        <w:spacing w:after="0"/>
        <w:ind w:right="105"/>
      </w:pPr>
    </w:p>
    <w:p>
      <w:pPr>
        <w:pStyle w:val="a7"/>
        <w:widowControl w:val="0"/>
        <w:tabs>
          <w:tab w:val="left" w:pos="851"/>
        </w:tabs>
        <w:spacing w:after="0"/>
        <w:ind w:right="-1"/>
        <w:rPr>
          <w:rFonts w:eastAsia="Calibri"/>
          <w:szCs w:val="22"/>
          <w:lang w:eastAsia="en-US"/>
        </w:rPr>
      </w:pPr>
      <w:r>
        <w:rPr>
          <w:bCs/>
          <w:u w:color="000000"/>
        </w:rPr>
        <w:t xml:space="preserve">Масса </w:t>
      </w:r>
      <w:r>
        <w:rPr>
          <w:rFonts w:eastAsia="Calibri"/>
          <w:szCs w:val="22"/>
          <w:lang w:eastAsia="en-US"/>
        </w:rPr>
        <w:t>крана шарового</w:t>
      </w:r>
      <w:r>
        <w:rPr>
          <w:bCs/>
          <w:u w:color="000000"/>
        </w:rPr>
        <w:t xml:space="preserve"> должна соответствовать </w:t>
      </w:r>
      <w:r>
        <w:rPr>
          <w:rFonts w:eastAsia="PMingLiU"/>
          <w:lang w:eastAsia="en-US"/>
        </w:rPr>
        <w:t>ГОСТ</w:t>
      </w:r>
      <w:r>
        <w:rPr>
          <w:rFonts w:eastAsia="PMingLiU"/>
          <w:lang w:val="en-US" w:eastAsia="en-US"/>
        </w:rPr>
        <w:t> </w:t>
      </w:r>
      <w:r>
        <w:rPr>
          <w:rFonts w:eastAsia="PMingLiU"/>
          <w:lang w:eastAsia="en-US"/>
        </w:rPr>
        <w:t>9702.</w:t>
      </w:r>
    </w:p>
    <w:p>
      <w:pPr>
        <w:pStyle w:val="a7"/>
        <w:widowControl w:val="0"/>
        <w:tabs>
          <w:tab w:val="left" w:pos="851"/>
        </w:tabs>
        <w:spacing w:after="0"/>
        <w:ind w:right="105"/>
      </w:pPr>
    </w:p>
    <w:p>
      <w:pPr>
        <w:pStyle w:val="a7"/>
        <w:widowControl w:val="0"/>
        <w:tabs>
          <w:tab w:val="left" w:pos="851"/>
        </w:tabs>
        <w:spacing w:after="0"/>
        <w:ind w:right="-1"/>
      </w:pPr>
      <w:r>
        <w:t>Порядок разработки и постановки на производство кранов шаровых должен соответствовать ГОСТ</w:t>
      </w:r>
      <w:r>
        <w:rPr>
          <w:lang w:val="en-US"/>
        </w:rPr>
        <w:t> </w:t>
      </w:r>
      <w:r>
        <w:t>Р</w:t>
      </w:r>
      <w:r>
        <w:rPr>
          <w:lang w:val="en-US"/>
        </w:rPr>
        <w:t> </w:t>
      </w:r>
      <w:r>
        <w:t>15.301.</w:t>
      </w:r>
    </w:p>
    <w:p>
      <w:pPr>
        <w:pStyle w:val="S0"/>
        <w:rPr>
          <w:rFonts w:eastAsia="Calibri"/>
        </w:rPr>
      </w:pPr>
    </w:p>
    <w:p>
      <w:pPr>
        <w:pStyle w:val="S0"/>
        <w:rPr>
          <w:rFonts w:eastAsia="Calibri"/>
        </w:rPr>
      </w:pPr>
    </w:p>
    <w:p>
      <w:pPr>
        <w:pStyle w:val="S20"/>
        <w:numPr>
          <w:ilvl w:val="1"/>
          <w:numId w:val="26"/>
        </w:numPr>
        <w:rPr>
          <w:rFonts w:eastAsia="Calibri" w:cs="Arial"/>
          <w:bCs/>
          <w:iCs/>
          <w:caps w:val="0"/>
          <w:szCs w:val="28"/>
        </w:rPr>
      </w:pPr>
      <w:bookmarkStart w:id="78" w:name="_Toc399503280"/>
      <w:bookmarkStart w:id="79" w:name="_Toc400458568"/>
      <w:bookmarkStart w:id="80" w:name="_Toc481662371"/>
      <w:bookmarkStart w:id="81" w:name="_Toc514169510"/>
      <w:r>
        <w:rPr>
          <w:rFonts w:eastAsia="Calibri" w:cs="Arial"/>
          <w:bCs/>
          <w:iCs/>
          <w:caps w:val="0"/>
          <w:szCs w:val="28"/>
        </w:rPr>
        <w:t>ХАРАКТЕРИСТИКИ РАБОЧЕЙ СРЕДЫ</w:t>
      </w:r>
      <w:bookmarkEnd w:id="78"/>
      <w:bookmarkEnd w:id="79"/>
      <w:bookmarkEnd w:id="80"/>
      <w:bookmarkEnd w:id="81"/>
    </w:p>
    <w:p>
      <w:pPr>
        <w:pStyle w:val="S0"/>
        <w:rPr>
          <w:rFonts w:eastAsia="PMingLiU"/>
          <w:lang w:eastAsia="en-US"/>
        </w:rPr>
      </w:pPr>
    </w:p>
    <w:p>
      <w:pPr>
        <w:pStyle w:val="S0"/>
        <w:rPr>
          <w:rFonts w:eastAsia="PMingLiU"/>
          <w:lang w:eastAsia="en-US"/>
        </w:rPr>
      </w:pPr>
      <w:r>
        <w:rPr>
          <w:rFonts w:eastAsia="PMingLiU"/>
          <w:lang w:eastAsia="en-US"/>
        </w:rPr>
        <w:t>Классификация рабочих сред для кранов шаровых приведена в Таблице 4.</w:t>
      </w:r>
    </w:p>
    <w:p>
      <w:pPr>
        <w:pStyle w:val="S0"/>
        <w:rPr>
          <w:rFonts w:eastAsia="PMingLiU"/>
        </w:rPr>
      </w:pPr>
    </w:p>
    <w:p>
      <w:pPr>
        <w:pStyle w:val="Sd"/>
        <w:rPr>
          <w:rFonts w:cs="Arial"/>
          <w:szCs w:val="20"/>
        </w:rPr>
      </w:pPr>
      <w:r>
        <w:rPr>
          <w:rFonts w:cs="Arial"/>
          <w:szCs w:val="20"/>
        </w:rPr>
        <w:t xml:space="preserve">Таблица </w:t>
      </w:r>
      <w:r>
        <w:rPr>
          <w:rFonts w:cs="Arial"/>
          <w:szCs w:val="20"/>
        </w:rPr>
        <w:fldChar w:fldCharType="begin"/>
      </w:r>
      <w:r>
        <w:rPr>
          <w:rFonts w:cs="Arial"/>
          <w:szCs w:val="20"/>
        </w:rPr>
        <w:instrText xml:space="preserve"> SEQ Таблица \* ARABIC </w:instrText>
      </w:r>
      <w:r>
        <w:rPr>
          <w:rFonts w:cs="Arial"/>
          <w:szCs w:val="20"/>
        </w:rPr>
        <w:fldChar w:fldCharType="separate"/>
      </w:r>
      <w:r>
        <w:rPr>
          <w:rFonts w:cs="Arial"/>
          <w:noProof/>
          <w:szCs w:val="20"/>
        </w:rPr>
        <w:t>4</w:t>
      </w:r>
      <w:r>
        <w:rPr>
          <w:rFonts w:cs="Arial"/>
          <w:szCs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Классификация рабочих сред</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1E0" w:firstRow="1" w:lastRow="1" w:firstColumn="1" w:lastColumn="1" w:noHBand="0" w:noVBand="0"/>
      </w:tblPr>
      <w:tblGrid>
        <w:gridCol w:w="580"/>
        <w:gridCol w:w="1562"/>
        <w:gridCol w:w="2835"/>
        <w:gridCol w:w="4691"/>
      </w:tblGrid>
      <w:tr>
        <w:trPr>
          <w:trHeight w:val="542"/>
          <w:tblHeader/>
        </w:trPr>
        <w:tc>
          <w:tcPr>
            <w:tcW w:w="300" w:type="pct"/>
            <w:tcBorders>
              <w:bottom w:val="single" w:sz="12" w:space="0" w:color="auto"/>
              <w:right w:val="single" w:sz="4"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w:t>
            </w:r>
          </w:p>
          <w:p>
            <w:pPr>
              <w:jc w:val="center"/>
              <w:rPr>
                <w:rFonts w:ascii="Arial" w:hAnsi="Arial" w:cs="Arial"/>
                <w:b/>
                <w:sz w:val="16"/>
                <w:szCs w:val="16"/>
              </w:rPr>
            </w:pPr>
            <w:r>
              <w:rPr>
                <w:rFonts w:ascii="Arial" w:hAnsi="Arial" w:cs="Arial"/>
                <w:b/>
                <w:sz w:val="16"/>
                <w:szCs w:val="16"/>
              </w:rPr>
              <w:t>П/П</w:t>
            </w:r>
          </w:p>
        </w:tc>
        <w:tc>
          <w:tcPr>
            <w:tcW w:w="808" w:type="pct"/>
            <w:tcBorders>
              <w:left w:val="single" w:sz="4" w:space="0" w:color="auto"/>
              <w:bottom w:val="single" w:sz="12" w:space="0" w:color="auto"/>
              <w:right w:val="single" w:sz="6" w:space="0" w:color="000000"/>
            </w:tcBorders>
            <w:shd w:val="clear" w:color="auto" w:fill="FFD200"/>
            <w:vAlign w:val="center"/>
          </w:tcPr>
          <w:p>
            <w:pPr>
              <w:ind w:firstLine="195"/>
              <w:jc w:val="center"/>
              <w:rPr>
                <w:rFonts w:ascii="Arial" w:hAnsi="Arial" w:cs="Arial"/>
                <w:b/>
                <w:sz w:val="16"/>
                <w:szCs w:val="16"/>
              </w:rPr>
            </w:pPr>
            <w:r>
              <w:rPr>
                <w:rFonts w:ascii="Arial" w:hAnsi="Arial" w:cs="Arial"/>
                <w:b/>
                <w:sz w:val="16"/>
                <w:szCs w:val="16"/>
              </w:rPr>
              <w:t>ГРУППА</w:t>
            </w:r>
          </w:p>
        </w:tc>
        <w:tc>
          <w:tcPr>
            <w:tcW w:w="1466" w:type="pct"/>
            <w:tcBorders>
              <w:left w:val="single" w:sz="6" w:space="0" w:color="000000"/>
              <w:bottom w:val="single" w:sz="12" w:space="0" w:color="auto"/>
              <w:right w:val="single" w:sz="6" w:space="0" w:color="000000"/>
            </w:tcBorders>
            <w:shd w:val="clear" w:color="auto" w:fill="FFD200"/>
            <w:vAlign w:val="center"/>
          </w:tcPr>
          <w:p>
            <w:pPr>
              <w:jc w:val="center"/>
              <w:rPr>
                <w:rFonts w:ascii="Arial" w:hAnsi="Arial" w:cs="Arial"/>
                <w:b/>
                <w:sz w:val="16"/>
                <w:szCs w:val="16"/>
              </w:rPr>
            </w:pPr>
            <w:r>
              <w:rPr>
                <w:rFonts w:ascii="Arial" w:hAnsi="Arial" w:cs="Arial"/>
                <w:b/>
                <w:sz w:val="16"/>
                <w:szCs w:val="16"/>
              </w:rPr>
              <w:t>ТРАНСПОРТИРУЕМЫЕ ВЕЩЕСТВА ПО ГОСТ 32569</w:t>
            </w:r>
          </w:p>
        </w:tc>
        <w:tc>
          <w:tcPr>
            <w:tcW w:w="2426" w:type="pct"/>
            <w:tcBorders>
              <w:left w:val="single" w:sz="6" w:space="0" w:color="000000"/>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РАБОЧАЯ СРЕДА</w:t>
            </w:r>
          </w:p>
        </w:tc>
      </w:tr>
      <w:tr>
        <w:trPr>
          <w:trHeight w:val="265"/>
          <w:tblHeader/>
        </w:trPr>
        <w:tc>
          <w:tcPr>
            <w:tcW w:w="300" w:type="pct"/>
            <w:tcBorders>
              <w:top w:val="single" w:sz="12" w:space="0" w:color="auto"/>
              <w:bottom w:val="single" w:sz="12" w:space="0" w:color="000000"/>
              <w:right w:val="single" w:sz="4" w:space="0" w:color="auto"/>
            </w:tcBorders>
            <w:shd w:val="clear" w:color="auto" w:fill="FFD200"/>
            <w:vAlign w:val="center"/>
          </w:tcPr>
          <w:p>
            <w:pPr>
              <w:ind w:left="567" w:hanging="567"/>
              <w:jc w:val="center"/>
              <w:rPr>
                <w:rFonts w:ascii="Arial" w:eastAsia="Times New Roman" w:hAnsi="Arial" w:cs="Arial"/>
                <w:b/>
                <w:sz w:val="16"/>
                <w:szCs w:val="20"/>
              </w:rPr>
            </w:pPr>
            <w:r>
              <w:rPr>
                <w:rFonts w:ascii="Arial" w:eastAsia="Times New Roman" w:hAnsi="Arial" w:cs="Arial"/>
                <w:b/>
                <w:sz w:val="16"/>
                <w:szCs w:val="20"/>
              </w:rPr>
              <w:t>1</w:t>
            </w:r>
          </w:p>
        </w:tc>
        <w:tc>
          <w:tcPr>
            <w:tcW w:w="808" w:type="pct"/>
            <w:tcBorders>
              <w:top w:val="single" w:sz="12" w:space="0" w:color="auto"/>
              <w:left w:val="single" w:sz="4" w:space="0" w:color="auto"/>
              <w:bottom w:val="single" w:sz="12" w:space="0" w:color="000000"/>
              <w:right w:val="single" w:sz="6" w:space="0" w:color="000000"/>
            </w:tcBorders>
            <w:shd w:val="clear" w:color="auto" w:fill="FFD200"/>
            <w:vAlign w:val="center"/>
          </w:tcPr>
          <w:p>
            <w:pPr>
              <w:ind w:left="567" w:hanging="567"/>
              <w:jc w:val="center"/>
              <w:rPr>
                <w:rFonts w:ascii="Arial" w:eastAsia="Times New Roman" w:hAnsi="Arial" w:cs="Arial"/>
                <w:b/>
                <w:sz w:val="16"/>
                <w:szCs w:val="20"/>
              </w:rPr>
            </w:pPr>
            <w:r>
              <w:rPr>
                <w:rFonts w:ascii="Arial" w:eastAsia="Times New Roman" w:hAnsi="Arial" w:cs="Arial"/>
                <w:b/>
                <w:sz w:val="16"/>
                <w:szCs w:val="20"/>
              </w:rPr>
              <w:t>2</w:t>
            </w:r>
          </w:p>
        </w:tc>
        <w:tc>
          <w:tcPr>
            <w:tcW w:w="1466" w:type="pct"/>
            <w:tcBorders>
              <w:top w:val="single" w:sz="12" w:space="0" w:color="auto"/>
              <w:left w:val="single" w:sz="6" w:space="0" w:color="000000"/>
              <w:bottom w:val="single" w:sz="12" w:space="0" w:color="000000"/>
              <w:right w:val="single" w:sz="6" w:space="0" w:color="000000"/>
            </w:tcBorders>
            <w:shd w:val="clear" w:color="auto" w:fill="FFD200"/>
            <w:vAlign w:val="center"/>
          </w:tcPr>
          <w:p>
            <w:pPr>
              <w:ind w:left="567" w:hanging="567"/>
              <w:jc w:val="center"/>
              <w:rPr>
                <w:rFonts w:ascii="Arial" w:eastAsia="Times New Roman" w:hAnsi="Arial" w:cs="Arial"/>
                <w:b/>
                <w:sz w:val="16"/>
                <w:szCs w:val="20"/>
              </w:rPr>
            </w:pPr>
            <w:r>
              <w:rPr>
                <w:rFonts w:ascii="Arial" w:eastAsia="Times New Roman" w:hAnsi="Arial" w:cs="Arial"/>
                <w:b/>
                <w:sz w:val="16"/>
                <w:szCs w:val="20"/>
              </w:rPr>
              <w:t>3</w:t>
            </w:r>
          </w:p>
        </w:tc>
        <w:tc>
          <w:tcPr>
            <w:tcW w:w="2426" w:type="pct"/>
            <w:tcBorders>
              <w:top w:val="single" w:sz="12" w:space="0" w:color="auto"/>
              <w:left w:val="single" w:sz="6" w:space="0" w:color="000000"/>
              <w:bottom w:val="single" w:sz="12" w:space="0" w:color="000000"/>
            </w:tcBorders>
            <w:shd w:val="clear" w:color="auto" w:fill="FFD200"/>
            <w:vAlign w:val="center"/>
          </w:tcPr>
          <w:p>
            <w:pPr>
              <w:ind w:left="567" w:hanging="567"/>
              <w:jc w:val="center"/>
              <w:rPr>
                <w:rFonts w:ascii="Arial" w:eastAsia="Times New Roman" w:hAnsi="Arial" w:cs="Arial"/>
                <w:b/>
                <w:sz w:val="16"/>
                <w:szCs w:val="20"/>
              </w:rPr>
            </w:pPr>
            <w:r>
              <w:rPr>
                <w:rFonts w:ascii="Arial" w:eastAsia="Times New Roman" w:hAnsi="Arial" w:cs="Arial"/>
                <w:b/>
                <w:sz w:val="16"/>
                <w:szCs w:val="20"/>
              </w:rPr>
              <w:t>4</w:t>
            </w:r>
          </w:p>
        </w:tc>
      </w:tr>
      <w:tr>
        <w:trPr>
          <w:trHeight w:val="93"/>
        </w:trPr>
        <w:tc>
          <w:tcPr>
            <w:tcW w:w="300" w:type="pct"/>
            <w:vMerge w:val="restart"/>
            <w:tcBorders>
              <w:bottom w:val="single" w:sz="6" w:space="0" w:color="000000"/>
              <w:right w:val="single" w:sz="6" w:space="0" w:color="000000"/>
            </w:tcBorders>
          </w:tcPr>
          <w:p>
            <w:pPr>
              <w:widowControl w:val="0"/>
              <w:ind w:firstLine="57"/>
              <w:jc w:val="left"/>
              <w:rPr>
                <w:rFonts w:eastAsia="Calibri"/>
                <w:sz w:val="20"/>
                <w:szCs w:val="20"/>
              </w:rPr>
            </w:pPr>
            <w:r>
              <w:rPr>
                <w:rFonts w:eastAsia="Calibri"/>
                <w:sz w:val="20"/>
                <w:szCs w:val="20"/>
              </w:rPr>
              <w:t>1</w:t>
            </w:r>
          </w:p>
        </w:tc>
        <w:tc>
          <w:tcPr>
            <w:tcW w:w="808" w:type="pct"/>
            <w:vMerge w:val="restart"/>
            <w:tcBorders>
              <w:left w:val="single" w:sz="6" w:space="0" w:color="000000"/>
              <w:bottom w:val="single" w:sz="6" w:space="0" w:color="000000"/>
              <w:right w:val="single" w:sz="6" w:space="0" w:color="000000"/>
            </w:tcBorders>
            <w:shd w:val="clear" w:color="auto" w:fill="auto"/>
          </w:tcPr>
          <w:p>
            <w:pPr>
              <w:ind w:left="57"/>
              <w:jc w:val="center"/>
              <w:rPr>
                <w:rFonts w:eastAsia="Times New Roman"/>
                <w:b/>
                <w:sz w:val="20"/>
                <w:szCs w:val="20"/>
              </w:rPr>
            </w:pPr>
            <w:r>
              <w:rPr>
                <w:rFonts w:eastAsia="Times New Roman"/>
                <w:b/>
                <w:sz w:val="20"/>
                <w:szCs w:val="20"/>
              </w:rPr>
              <w:t>А</w:t>
            </w:r>
          </w:p>
        </w:tc>
        <w:tc>
          <w:tcPr>
            <w:tcW w:w="3892" w:type="pct"/>
            <w:gridSpan w:val="2"/>
            <w:tcBorders>
              <w:left w:val="single" w:sz="6" w:space="0" w:color="000000"/>
              <w:bottom w:val="single" w:sz="6" w:space="0" w:color="000000"/>
            </w:tcBorders>
            <w:shd w:val="clear" w:color="auto" w:fill="auto"/>
          </w:tcPr>
          <w:p>
            <w:pPr>
              <w:widowControl w:val="0"/>
              <w:ind w:left="57"/>
              <w:jc w:val="left"/>
              <w:rPr>
                <w:rFonts w:eastAsia="Times New Roman"/>
                <w:sz w:val="20"/>
                <w:szCs w:val="20"/>
              </w:rPr>
            </w:pPr>
            <w:r>
              <w:rPr>
                <w:rFonts w:eastAsia="Times New Roman"/>
                <w:sz w:val="20"/>
                <w:szCs w:val="20"/>
              </w:rPr>
              <w:t>Вещества с токсичным действием по ГОСТ</w:t>
            </w:r>
            <w:r>
              <w:rPr>
                <w:rFonts w:eastAsia="Times New Roman"/>
                <w:sz w:val="20"/>
                <w:szCs w:val="20"/>
                <w:lang w:val="en-US"/>
              </w:rPr>
              <w:t> </w:t>
            </w:r>
            <w:r>
              <w:rPr>
                <w:rFonts w:eastAsia="Times New Roman"/>
                <w:sz w:val="20"/>
                <w:szCs w:val="20"/>
              </w:rPr>
              <w:t>12.1.007</w:t>
            </w:r>
          </w:p>
        </w:tc>
      </w:tr>
      <w:tr>
        <w:trPr>
          <w:trHeight w:val="91"/>
        </w:trPr>
        <w:tc>
          <w:tcPr>
            <w:tcW w:w="300" w:type="pct"/>
            <w:vMerge/>
            <w:tcBorders>
              <w:top w:val="single" w:sz="6" w:space="0" w:color="000000"/>
              <w:bottom w:val="single" w:sz="6" w:space="0" w:color="000000"/>
              <w:right w:val="single" w:sz="6" w:space="0" w:color="000000"/>
            </w:tcBorders>
          </w:tcPr>
          <w:p>
            <w:pPr>
              <w:widowControl w:val="0"/>
              <w:numPr>
                <w:ilvl w:val="0"/>
                <w:numId w:val="45"/>
              </w:numPr>
              <w:ind w:left="0" w:firstLine="0"/>
              <w:jc w:val="center"/>
              <w:rPr>
                <w:rFonts w:eastAsia="Calibri"/>
                <w:sz w:val="20"/>
                <w:szCs w:val="20"/>
              </w:rPr>
            </w:pPr>
          </w:p>
        </w:tc>
        <w:tc>
          <w:tcPr>
            <w:tcW w:w="808" w:type="pct"/>
            <w:vMerge/>
            <w:tcBorders>
              <w:top w:val="single" w:sz="6" w:space="0" w:color="000000"/>
              <w:left w:val="single" w:sz="6" w:space="0" w:color="000000"/>
              <w:bottom w:val="single" w:sz="6" w:space="0" w:color="000000"/>
              <w:right w:val="single" w:sz="6" w:space="0" w:color="000000"/>
            </w:tcBorders>
            <w:shd w:val="clear" w:color="auto" w:fill="auto"/>
          </w:tcPr>
          <w:p>
            <w:pPr>
              <w:ind w:left="57"/>
              <w:jc w:val="center"/>
              <w:rPr>
                <w:rFonts w:eastAsia="Times New Roman"/>
                <w:b/>
                <w:sz w:val="20"/>
                <w:szCs w:val="20"/>
              </w:rPr>
            </w:pPr>
          </w:p>
        </w:tc>
        <w:tc>
          <w:tcPr>
            <w:tcW w:w="1466" w:type="pc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left"/>
              <w:rPr>
                <w:rFonts w:eastAsia="Times New Roman"/>
                <w:sz w:val="20"/>
                <w:szCs w:val="20"/>
              </w:rPr>
            </w:pPr>
            <w:r>
              <w:rPr>
                <w:rFonts w:eastAsia="Times New Roman"/>
                <w:sz w:val="20"/>
                <w:szCs w:val="20"/>
              </w:rPr>
              <w:t>а) чрезвычайно опасные вещества класса 1, высокоопасные вещества класса 2</w:t>
            </w:r>
          </w:p>
        </w:tc>
        <w:tc>
          <w:tcPr>
            <w:tcW w:w="2426" w:type="pct"/>
            <w:tcBorders>
              <w:top w:val="single" w:sz="6" w:space="0" w:color="000000"/>
              <w:left w:val="single" w:sz="6" w:space="0" w:color="000000"/>
              <w:bottom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Бензол, ангидрид серный, концентрированная серная кислота, 10 % и более раствор натрия едкого, моноэтаноламин, водный 30 % раствор метилдиэтаноламина насыщенный, кислая вода, кислый газ, диметилдисульфид, сухой газ висбрекинга, сбросной углеводородный газ, тетрахлорэтилен, морфолин, карбонил никеля</w:t>
            </w:r>
          </w:p>
        </w:tc>
      </w:tr>
      <w:tr>
        <w:trPr>
          <w:trHeight w:val="91"/>
        </w:trPr>
        <w:tc>
          <w:tcPr>
            <w:tcW w:w="300" w:type="pct"/>
            <w:vMerge/>
            <w:tcBorders>
              <w:top w:val="single" w:sz="6" w:space="0" w:color="000000"/>
              <w:bottom w:val="single" w:sz="6" w:space="0" w:color="000000"/>
              <w:right w:val="single" w:sz="6" w:space="0" w:color="000000"/>
            </w:tcBorders>
          </w:tcPr>
          <w:p>
            <w:pPr>
              <w:widowControl w:val="0"/>
              <w:numPr>
                <w:ilvl w:val="0"/>
                <w:numId w:val="45"/>
              </w:numPr>
              <w:ind w:left="0" w:firstLine="0"/>
              <w:jc w:val="center"/>
              <w:rPr>
                <w:rFonts w:eastAsia="Calibri"/>
                <w:sz w:val="20"/>
                <w:szCs w:val="20"/>
              </w:rPr>
            </w:pPr>
          </w:p>
        </w:tc>
        <w:tc>
          <w:tcPr>
            <w:tcW w:w="808" w:type="pct"/>
            <w:vMerge/>
            <w:tcBorders>
              <w:top w:val="single" w:sz="6" w:space="0" w:color="000000"/>
              <w:left w:val="single" w:sz="6" w:space="0" w:color="000000"/>
              <w:bottom w:val="single" w:sz="6" w:space="0" w:color="000000"/>
              <w:right w:val="single" w:sz="6" w:space="0" w:color="000000"/>
            </w:tcBorders>
            <w:shd w:val="clear" w:color="auto" w:fill="auto"/>
          </w:tcPr>
          <w:p>
            <w:pPr>
              <w:ind w:left="57"/>
              <w:jc w:val="center"/>
              <w:rPr>
                <w:rFonts w:eastAsia="Times New Roman"/>
                <w:b/>
                <w:sz w:val="20"/>
                <w:szCs w:val="20"/>
              </w:rPr>
            </w:pPr>
          </w:p>
        </w:tc>
        <w:tc>
          <w:tcPr>
            <w:tcW w:w="1466" w:type="pc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left"/>
              <w:rPr>
                <w:rFonts w:eastAsia="Times New Roman"/>
                <w:sz w:val="20"/>
                <w:szCs w:val="20"/>
              </w:rPr>
            </w:pPr>
            <w:r>
              <w:rPr>
                <w:rFonts w:eastAsia="Times New Roman"/>
                <w:sz w:val="20"/>
                <w:szCs w:val="20"/>
              </w:rPr>
              <w:t>б) умеренно опасные вещества класса 3</w:t>
            </w:r>
          </w:p>
        </w:tc>
        <w:tc>
          <w:tcPr>
            <w:tcW w:w="2426" w:type="pct"/>
            <w:tcBorders>
              <w:top w:val="single" w:sz="6" w:space="0" w:color="000000"/>
              <w:left w:val="single" w:sz="6" w:space="0" w:color="000000"/>
              <w:bottom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Нефть, углеводородный газ неочищенный, циркулирующий водородосодержащий газ в смеси с сероводородом, этиленгликоль, триэтиленгликоль, толуол, трихлорэтилен, ангидрид сернистый, водный 30% раствор метилдиэтаноламина регенерированный, аммиак жидкий и газообразный</w:t>
            </w:r>
          </w:p>
        </w:tc>
      </w:tr>
      <w:tr>
        <w:trPr>
          <w:trHeight w:val="111"/>
        </w:trPr>
        <w:tc>
          <w:tcPr>
            <w:tcW w:w="300" w:type="pct"/>
            <w:vMerge w:val="restart"/>
            <w:tcBorders>
              <w:top w:val="single" w:sz="6" w:space="0" w:color="000000"/>
              <w:bottom w:val="single" w:sz="6" w:space="0" w:color="000000"/>
              <w:right w:val="single" w:sz="6" w:space="0" w:color="000000"/>
            </w:tcBorders>
          </w:tcPr>
          <w:p>
            <w:pPr>
              <w:widowControl w:val="0"/>
              <w:ind w:firstLine="57"/>
              <w:jc w:val="left"/>
              <w:rPr>
                <w:rFonts w:eastAsia="Calibri"/>
                <w:sz w:val="20"/>
                <w:szCs w:val="20"/>
              </w:rPr>
            </w:pPr>
            <w:r>
              <w:rPr>
                <w:rFonts w:eastAsia="Calibri"/>
                <w:sz w:val="20"/>
                <w:szCs w:val="20"/>
              </w:rPr>
              <w:t>2</w:t>
            </w:r>
          </w:p>
        </w:tc>
        <w:tc>
          <w:tcPr>
            <w:tcW w:w="808" w:type="pct"/>
            <w:vMerge w:val="restar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center"/>
              <w:rPr>
                <w:rFonts w:eastAsia="Calibri"/>
                <w:b/>
                <w:sz w:val="20"/>
                <w:szCs w:val="20"/>
              </w:rPr>
            </w:pPr>
            <w:r>
              <w:rPr>
                <w:rFonts w:eastAsia="Calibri"/>
                <w:b/>
                <w:sz w:val="20"/>
                <w:szCs w:val="20"/>
              </w:rPr>
              <w:t>Б</w:t>
            </w:r>
          </w:p>
        </w:tc>
        <w:tc>
          <w:tcPr>
            <w:tcW w:w="3892" w:type="pct"/>
            <w:gridSpan w:val="2"/>
            <w:tcBorders>
              <w:top w:val="single" w:sz="6" w:space="0" w:color="000000"/>
              <w:left w:val="single" w:sz="6" w:space="0" w:color="000000"/>
              <w:bottom w:val="single" w:sz="6" w:space="0" w:color="000000"/>
            </w:tcBorders>
            <w:shd w:val="clear" w:color="auto" w:fill="auto"/>
          </w:tcPr>
          <w:p>
            <w:pPr>
              <w:widowControl w:val="0"/>
              <w:ind w:left="57"/>
              <w:jc w:val="left"/>
              <w:rPr>
                <w:rFonts w:eastAsia="Times New Roman"/>
                <w:sz w:val="20"/>
                <w:szCs w:val="20"/>
              </w:rPr>
            </w:pPr>
            <w:r>
              <w:rPr>
                <w:rFonts w:eastAsia="Times New Roman"/>
                <w:sz w:val="20"/>
                <w:szCs w:val="20"/>
              </w:rPr>
              <w:t>Взрывопожароопасные вещества по ГОСТ</w:t>
            </w:r>
            <w:r>
              <w:rPr>
                <w:rFonts w:eastAsia="Times New Roman"/>
                <w:sz w:val="20"/>
                <w:szCs w:val="20"/>
                <w:lang w:val="en-US"/>
              </w:rPr>
              <w:t> </w:t>
            </w:r>
            <w:r>
              <w:rPr>
                <w:rFonts w:eastAsia="Times New Roman"/>
                <w:sz w:val="20"/>
                <w:szCs w:val="20"/>
              </w:rPr>
              <w:t>12.1.044</w:t>
            </w:r>
          </w:p>
        </w:tc>
      </w:tr>
      <w:tr>
        <w:trPr>
          <w:trHeight w:val="109"/>
        </w:trPr>
        <w:tc>
          <w:tcPr>
            <w:tcW w:w="300" w:type="pct"/>
            <w:vMerge/>
            <w:tcBorders>
              <w:top w:val="single" w:sz="6" w:space="0" w:color="000000"/>
              <w:bottom w:val="single" w:sz="6" w:space="0" w:color="000000"/>
              <w:right w:val="single" w:sz="6" w:space="0" w:color="000000"/>
            </w:tcBorders>
          </w:tcPr>
          <w:p>
            <w:pPr>
              <w:widowControl w:val="0"/>
              <w:numPr>
                <w:ilvl w:val="0"/>
                <w:numId w:val="45"/>
              </w:numPr>
              <w:ind w:left="0" w:firstLine="0"/>
              <w:jc w:val="center"/>
              <w:rPr>
                <w:rFonts w:eastAsia="Calibri"/>
                <w:sz w:val="20"/>
                <w:szCs w:val="20"/>
              </w:rPr>
            </w:pPr>
          </w:p>
        </w:tc>
        <w:tc>
          <w:tcPr>
            <w:tcW w:w="808" w:type="pct"/>
            <w:vMerge/>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center"/>
              <w:rPr>
                <w:rFonts w:eastAsia="Calibri"/>
                <w:b/>
                <w:sz w:val="20"/>
                <w:szCs w:val="20"/>
              </w:rPr>
            </w:pPr>
          </w:p>
        </w:tc>
        <w:tc>
          <w:tcPr>
            <w:tcW w:w="1466" w:type="pc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left"/>
              <w:rPr>
                <w:rFonts w:eastAsia="Calibri"/>
                <w:sz w:val="20"/>
                <w:szCs w:val="20"/>
              </w:rPr>
            </w:pPr>
            <w:r>
              <w:rPr>
                <w:rFonts w:eastAsia="Calibri"/>
                <w:sz w:val="20"/>
                <w:szCs w:val="20"/>
              </w:rPr>
              <w:t>а) горючие газы, в том числе сжиженные углеводородные газы</w:t>
            </w:r>
          </w:p>
        </w:tc>
        <w:tc>
          <w:tcPr>
            <w:tcW w:w="2426" w:type="pct"/>
            <w:tcBorders>
              <w:top w:val="single" w:sz="6" w:space="0" w:color="000000"/>
              <w:left w:val="single" w:sz="6" w:space="0" w:color="000000"/>
              <w:bottom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Горючие газы, в том числе сжиженные углеводородные газы, метан, этан, пропан (пропановая фракция), пропилен (пропан-</w:t>
            </w:r>
            <w:r>
              <w:rPr>
                <w:rFonts w:eastAsia="Times New Roman"/>
                <w:sz w:val="20"/>
                <w:szCs w:val="20"/>
              </w:rPr>
              <w:lastRenderedPageBreak/>
              <w:t>пропиленовая фракция), бутан, бутилен (бутан–бутиленовая фракция), изобутан (изобутановая фракция), изобутилен, фракция н-бутана, водород, отдувочный газ, конвертированный газ, топливный (углеводородный) газ</w:t>
            </w:r>
          </w:p>
        </w:tc>
      </w:tr>
      <w:tr>
        <w:trPr>
          <w:trHeight w:val="109"/>
        </w:trPr>
        <w:tc>
          <w:tcPr>
            <w:tcW w:w="300" w:type="pct"/>
            <w:vMerge/>
            <w:tcBorders>
              <w:top w:val="single" w:sz="6" w:space="0" w:color="000000"/>
              <w:bottom w:val="single" w:sz="6" w:space="0" w:color="000000"/>
              <w:right w:val="single" w:sz="6" w:space="0" w:color="000000"/>
            </w:tcBorders>
          </w:tcPr>
          <w:p>
            <w:pPr>
              <w:widowControl w:val="0"/>
              <w:numPr>
                <w:ilvl w:val="0"/>
                <w:numId w:val="45"/>
              </w:numPr>
              <w:ind w:left="0" w:firstLine="0"/>
              <w:jc w:val="center"/>
              <w:rPr>
                <w:rFonts w:eastAsia="Calibri"/>
                <w:sz w:val="20"/>
                <w:szCs w:val="20"/>
              </w:rPr>
            </w:pPr>
          </w:p>
        </w:tc>
        <w:tc>
          <w:tcPr>
            <w:tcW w:w="808" w:type="pct"/>
            <w:vMerge/>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center"/>
              <w:rPr>
                <w:rFonts w:eastAsia="Calibri"/>
                <w:b/>
                <w:sz w:val="20"/>
                <w:szCs w:val="20"/>
              </w:rPr>
            </w:pPr>
          </w:p>
        </w:tc>
        <w:tc>
          <w:tcPr>
            <w:tcW w:w="1466" w:type="pc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left"/>
              <w:rPr>
                <w:rFonts w:eastAsia="Calibri"/>
                <w:sz w:val="20"/>
                <w:szCs w:val="20"/>
              </w:rPr>
            </w:pPr>
            <w:r>
              <w:rPr>
                <w:rFonts w:eastAsia="Calibri"/>
                <w:sz w:val="20"/>
                <w:szCs w:val="20"/>
              </w:rPr>
              <w:t>б) легковоспламеняющиеся жидкости</w:t>
            </w:r>
          </w:p>
        </w:tc>
        <w:tc>
          <w:tcPr>
            <w:tcW w:w="2426" w:type="pct"/>
            <w:tcBorders>
              <w:top w:val="single" w:sz="6" w:space="0" w:color="000000"/>
              <w:left w:val="single" w:sz="6" w:space="0" w:color="000000"/>
              <w:bottom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Бензин (бензиновая фракция), керосин (керосиновая фракция), дизельное топливо (дизельная фракция), алкилат, изомеризат, нефрас, сольвент, пентан</w:t>
            </w:r>
          </w:p>
        </w:tc>
      </w:tr>
      <w:tr>
        <w:trPr>
          <w:trHeight w:val="109"/>
        </w:trPr>
        <w:tc>
          <w:tcPr>
            <w:tcW w:w="300" w:type="pct"/>
            <w:vMerge/>
            <w:tcBorders>
              <w:top w:val="single" w:sz="6" w:space="0" w:color="000000"/>
              <w:bottom w:val="single" w:sz="6" w:space="0" w:color="000000"/>
              <w:right w:val="single" w:sz="6" w:space="0" w:color="000000"/>
            </w:tcBorders>
          </w:tcPr>
          <w:p>
            <w:pPr>
              <w:widowControl w:val="0"/>
              <w:numPr>
                <w:ilvl w:val="0"/>
                <w:numId w:val="45"/>
              </w:numPr>
              <w:ind w:left="0" w:firstLine="0"/>
              <w:jc w:val="center"/>
              <w:rPr>
                <w:rFonts w:eastAsia="Calibri"/>
                <w:sz w:val="20"/>
                <w:szCs w:val="20"/>
              </w:rPr>
            </w:pPr>
          </w:p>
        </w:tc>
        <w:tc>
          <w:tcPr>
            <w:tcW w:w="808" w:type="pct"/>
            <w:vMerge/>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center"/>
              <w:rPr>
                <w:rFonts w:eastAsia="Calibri"/>
                <w:b/>
                <w:sz w:val="20"/>
                <w:szCs w:val="20"/>
              </w:rPr>
            </w:pPr>
          </w:p>
        </w:tc>
        <w:tc>
          <w:tcPr>
            <w:tcW w:w="1466" w:type="pct"/>
            <w:tcBorders>
              <w:top w:val="single" w:sz="6" w:space="0" w:color="000000"/>
              <w:left w:val="single" w:sz="6" w:space="0" w:color="000000"/>
              <w:bottom w:val="single" w:sz="6" w:space="0" w:color="000000"/>
              <w:right w:val="single" w:sz="6" w:space="0" w:color="000000"/>
            </w:tcBorders>
            <w:shd w:val="clear" w:color="auto" w:fill="auto"/>
          </w:tcPr>
          <w:p>
            <w:pPr>
              <w:widowControl w:val="0"/>
              <w:ind w:left="57"/>
              <w:jc w:val="left"/>
              <w:rPr>
                <w:rFonts w:eastAsia="Calibri"/>
                <w:sz w:val="20"/>
                <w:szCs w:val="20"/>
              </w:rPr>
            </w:pPr>
            <w:r>
              <w:rPr>
                <w:rFonts w:eastAsia="Calibri"/>
                <w:sz w:val="20"/>
                <w:szCs w:val="20"/>
              </w:rPr>
              <w:t xml:space="preserve">в) горючие жидкости </w:t>
            </w:r>
          </w:p>
        </w:tc>
        <w:tc>
          <w:tcPr>
            <w:tcW w:w="2426" w:type="pct"/>
            <w:tcBorders>
              <w:top w:val="single" w:sz="6" w:space="0" w:color="000000"/>
              <w:left w:val="single" w:sz="6" w:space="0" w:color="000000"/>
              <w:bottom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Мазут, гудрон, асфальт, битум, крекинг-остаток, вакуумный дистиллят, (вакуумный погон), газойль, флегма</w:t>
            </w:r>
          </w:p>
        </w:tc>
      </w:tr>
      <w:tr>
        <w:trPr>
          <w:trHeight w:val="475"/>
        </w:trPr>
        <w:tc>
          <w:tcPr>
            <w:tcW w:w="300" w:type="pct"/>
            <w:tcBorders>
              <w:top w:val="single" w:sz="6" w:space="0" w:color="000000"/>
              <w:right w:val="single" w:sz="6" w:space="0" w:color="000000"/>
            </w:tcBorders>
          </w:tcPr>
          <w:p>
            <w:pPr>
              <w:widowControl w:val="0"/>
              <w:ind w:firstLine="57"/>
              <w:jc w:val="left"/>
              <w:rPr>
                <w:rFonts w:eastAsia="Calibri"/>
                <w:sz w:val="20"/>
                <w:szCs w:val="20"/>
              </w:rPr>
            </w:pPr>
            <w:r>
              <w:rPr>
                <w:rFonts w:eastAsia="Calibri"/>
                <w:sz w:val="20"/>
                <w:szCs w:val="20"/>
              </w:rPr>
              <w:t>3</w:t>
            </w:r>
          </w:p>
        </w:tc>
        <w:tc>
          <w:tcPr>
            <w:tcW w:w="808" w:type="pct"/>
            <w:tcBorders>
              <w:top w:val="single" w:sz="6" w:space="0" w:color="000000"/>
              <w:left w:val="single" w:sz="6" w:space="0" w:color="000000"/>
              <w:right w:val="single" w:sz="6" w:space="0" w:color="000000"/>
            </w:tcBorders>
            <w:shd w:val="clear" w:color="auto" w:fill="auto"/>
          </w:tcPr>
          <w:p>
            <w:pPr>
              <w:widowControl w:val="0"/>
              <w:ind w:left="57"/>
              <w:jc w:val="center"/>
              <w:rPr>
                <w:rFonts w:eastAsia="Calibri"/>
                <w:b/>
                <w:sz w:val="20"/>
                <w:szCs w:val="20"/>
              </w:rPr>
            </w:pPr>
            <w:r>
              <w:rPr>
                <w:rFonts w:eastAsia="Calibri"/>
                <w:b/>
                <w:sz w:val="20"/>
                <w:szCs w:val="20"/>
              </w:rPr>
              <w:t>В</w:t>
            </w:r>
          </w:p>
        </w:tc>
        <w:tc>
          <w:tcPr>
            <w:tcW w:w="1466" w:type="pct"/>
            <w:tcBorders>
              <w:top w:val="single" w:sz="6" w:space="0" w:color="000000"/>
              <w:left w:val="single" w:sz="6" w:space="0" w:color="000000"/>
              <w:right w:val="single" w:sz="6" w:space="0" w:color="000000"/>
            </w:tcBorders>
            <w:shd w:val="clear" w:color="auto" w:fill="auto"/>
          </w:tcPr>
          <w:p>
            <w:pPr>
              <w:widowControl w:val="0"/>
              <w:ind w:left="57"/>
              <w:jc w:val="left"/>
              <w:rPr>
                <w:rFonts w:eastAsia="Times New Roman"/>
                <w:sz w:val="20"/>
                <w:szCs w:val="20"/>
              </w:rPr>
            </w:pPr>
            <w:r>
              <w:rPr>
                <w:rFonts w:eastAsia="Times New Roman"/>
                <w:sz w:val="20"/>
                <w:szCs w:val="20"/>
              </w:rPr>
              <w:t>Трудногорючие и негорючие вещества по ГОСТ</w:t>
            </w:r>
            <w:r>
              <w:rPr>
                <w:rFonts w:eastAsia="Times New Roman"/>
                <w:sz w:val="20"/>
                <w:szCs w:val="20"/>
                <w:lang w:val="en-US"/>
              </w:rPr>
              <w:t> </w:t>
            </w:r>
            <w:r>
              <w:rPr>
                <w:rFonts w:eastAsia="Times New Roman"/>
                <w:sz w:val="20"/>
                <w:szCs w:val="20"/>
              </w:rPr>
              <w:t>12.1.044</w:t>
            </w:r>
          </w:p>
        </w:tc>
        <w:tc>
          <w:tcPr>
            <w:tcW w:w="2426" w:type="pct"/>
            <w:tcBorders>
              <w:top w:val="single" w:sz="6" w:space="0" w:color="000000"/>
              <w:left w:val="single" w:sz="6" w:space="0" w:color="000000"/>
            </w:tcBorders>
            <w:shd w:val="clear" w:color="auto" w:fill="auto"/>
          </w:tcPr>
          <w:p>
            <w:pPr>
              <w:widowControl w:val="0"/>
              <w:ind w:left="57" w:right="155"/>
              <w:jc w:val="left"/>
              <w:rPr>
                <w:rFonts w:eastAsia="Times New Roman"/>
                <w:sz w:val="20"/>
                <w:szCs w:val="20"/>
              </w:rPr>
            </w:pPr>
            <w:r>
              <w:rPr>
                <w:rFonts w:eastAsia="Times New Roman"/>
                <w:sz w:val="20"/>
                <w:szCs w:val="20"/>
              </w:rPr>
              <w:t>Азот, воздух, инертные газы, рассол, растворы щелочей, содержащие основное вещество до 10 %, пар водяной перегретый, пар водяной насыщенный, горячая вода</w:t>
            </w:r>
          </w:p>
        </w:tc>
      </w:tr>
    </w:tbl>
    <w:p>
      <w:pPr>
        <w:pStyle w:val="S0"/>
        <w:rPr>
          <w:rFonts w:eastAsia="PMingLiU"/>
          <w:lang w:eastAsia="en-US"/>
        </w:rPr>
      </w:pPr>
    </w:p>
    <w:p>
      <w:pPr>
        <w:autoSpaceDE w:val="0"/>
        <w:autoSpaceDN w:val="0"/>
        <w:adjustRightInd w:val="0"/>
      </w:pPr>
      <w:r>
        <w:t>Характеристики рабочей среды для кранов шаровых указаны в Таблице 5.</w:t>
      </w:r>
    </w:p>
    <w:p>
      <w:pPr>
        <w:pStyle w:val="S0"/>
        <w:rPr>
          <w:rFonts w:eastAsia="PMingLiU"/>
          <w:lang w:eastAsia="en-US"/>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5</w:t>
      </w:r>
      <w:r>
        <w:rPr>
          <w:rFonts w:ascii="Arial" w:eastAsia="Times New Roman" w:hAnsi="Arial"/>
          <w:b/>
          <w:noProof/>
          <w:sz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Характеристики рабочей среды для кранов шаровых</w:t>
      </w:r>
    </w:p>
    <w:tbl>
      <w:tblPr>
        <w:tblStyle w:val="210"/>
        <w:tblW w:w="4945"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67"/>
        <w:gridCol w:w="4961"/>
        <w:gridCol w:w="4218"/>
      </w:tblGrid>
      <w:tr>
        <w:trPr>
          <w:trHeight w:val="601"/>
          <w:tblHeader/>
        </w:trPr>
        <w:tc>
          <w:tcPr>
            <w:tcW w:w="291"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 xml:space="preserve">№ </w:t>
            </w:r>
          </w:p>
          <w:p>
            <w:pPr>
              <w:spacing w:before="20" w:after="20"/>
              <w:jc w:val="center"/>
              <w:rPr>
                <w:rFonts w:ascii="Arial" w:eastAsia="Times New Roman" w:hAnsi="Arial" w:cs="Arial"/>
                <w:b/>
                <w:sz w:val="16"/>
                <w:szCs w:val="20"/>
              </w:rPr>
            </w:pPr>
            <w:r>
              <w:rPr>
                <w:rFonts w:ascii="Arial" w:eastAsia="Times New Roman" w:hAnsi="Arial" w:cs="Arial"/>
                <w:b/>
                <w:sz w:val="16"/>
                <w:szCs w:val="20"/>
              </w:rPr>
              <w:t>П/П</w:t>
            </w:r>
          </w:p>
        </w:tc>
        <w:tc>
          <w:tcPr>
            <w:tcW w:w="2545"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НАИМЕНОВАНИЕ ПОКАЗАТЕЛЯ</w:t>
            </w:r>
          </w:p>
        </w:tc>
        <w:tc>
          <w:tcPr>
            <w:tcW w:w="2164"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 xml:space="preserve">ЗНАЧЕНИЕ ИЛИ </w:t>
            </w:r>
          </w:p>
          <w:p>
            <w:pPr>
              <w:spacing w:before="20" w:after="20"/>
              <w:jc w:val="center"/>
              <w:rPr>
                <w:rFonts w:ascii="Arial" w:eastAsia="Times New Roman" w:hAnsi="Arial" w:cs="Arial"/>
                <w:b/>
                <w:sz w:val="16"/>
                <w:szCs w:val="20"/>
              </w:rPr>
            </w:pPr>
            <w:r>
              <w:rPr>
                <w:rFonts w:ascii="Arial" w:eastAsia="Times New Roman" w:hAnsi="Arial" w:cs="Arial"/>
                <w:b/>
                <w:sz w:val="16"/>
                <w:szCs w:val="20"/>
              </w:rPr>
              <w:t>ОПРЕДЕЛЯЮЩИЙ ПОКАЗАТЕЛЬ</w:t>
            </w:r>
          </w:p>
        </w:tc>
      </w:tr>
      <w:tr>
        <w:trPr>
          <w:tblHeader/>
        </w:trPr>
        <w:tc>
          <w:tcPr>
            <w:tcW w:w="291"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bCs/>
                <w:sz w:val="16"/>
                <w:szCs w:val="20"/>
                <w:lang w:val="en-US"/>
              </w:rPr>
            </w:pPr>
            <w:r>
              <w:rPr>
                <w:rFonts w:ascii="Arial" w:eastAsia="Times New Roman" w:hAnsi="Arial" w:cs="Arial"/>
                <w:b/>
                <w:bCs/>
                <w:sz w:val="16"/>
                <w:szCs w:val="20"/>
                <w:lang w:val="en-US"/>
              </w:rPr>
              <w:t>1</w:t>
            </w:r>
          </w:p>
        </w:tc>
        <w:tc>
          <w:tcPr>
            <w:tcW w:w="2545"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bCs/>
                <w:sz w:val="16"/>
                <w:szCs w:val="20"/>
                <w:lang w:val="en-US"/>
              </w:rPr>
            </w:pPr>
            <w:r>
              <w:rPr>
                <w:rFonts w:ascii="Arial" w:eastAsia="Times New Roman" w:hAnsi="Arial" w:cs="Arial"/>
                <w:b/>
                <w:bCs/>
                <w:sz w:val="16"/>
                <w:szCs w:val="20"/>
                <w:lang w:val="en-US"/>
              </w:rPr>
              <w:t>2</w:t>
            </w:r>
          </w:p>
        </w:tc>
        <w:tc>
          <w:tcPr>
            <w:tcW w:w="2164"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bCs/>
                <w:sz w:val="16"/>
                <w:szCs w:val="20"/>
                <w:lang w:val="en-US"/>
              </w:rPr>
            </w:pPr>
            <w:r>
              <w:rPr>
                <w:rFonts w:ascii="Arial" w:eastAsia="Times New Roman" w:hAnsi="Arial" w:cs="Arial"/>
                <w:b/>
                <w:bCs/>
                <w:sz w:val="16"/>
                <w:szCs w:val="20"/>
                <w:lang w:val="en-US"/>
              </w:rPr>
              <w:t>3</w:t>
            </w:r>
          </w:p>
        </w:tc>
      </w:tr>
      <w:tr>
        <w:tc>
          <w:tcPr>
            <w:tcW w:w="291" w:type="pct"/>
          </w:tcPr>
          <w:p>
            <w:pPr>
              <w:widowControl w:val="0"/>
              <w:numPr>
                <w:ilvl w:val="0"/>
                <w:numId w:val="46"/>
              </w:numPr>
              <w:ind w:left="0" w:firstLine="0"/>
              <w:jc w:val="left"/>
              <w:rPr>
                <w:rFonts w:eastAsia="Times New Roman"/>
                <w:sz w:val="20"/>
                <w:szCs w:val="20"/>
              </w:rPr>
            </w:pPr>
          </w:p>
        </w:tc>
        <w:tc>
          <w:tcPr>
            <w:tcW w:w="2545" w:type="pct"/>
          </w:tcPr>
          <w:p>
            <w:pPr>
              <w:widowControl w:val="0"/>
              <w:jc w:val="left"/>
              <w:rPr>
                <w:rFonts w:eastAsia="Times New Roman"/>
                <w:sz w:val="20"/>
                <w:szCs w:val="20"/>
              </w:rPr>
            </w:pPr>
            <w:r>
              <w:rPr>
                <w:rFonts w:eastAsia="Times New Roman"/>
                <w:sz w:val="20"/>
                <w:szCs w:val="20"/>
              </w:rPr>
              <w:t xml:space="preserve">Температура рабочей среды, </w:t>
            </w:r>
            <w:r>
              <w:rPr>
                <w:rFonts w:eastAsia="Times New Roman"/>
                <w:sz w:val="20"/>
                <w:szCs w:val="20"/>
                <w:vertAlign w:val="superscript"/>
              </w:rPr>
              <w:t>о</w:t>
            </w:r>
            <w:r>
              <w:rPr>
                <w:rFonts w:eastAsia="Times New Roman"/>
                <w:sz w:val="20"/>
                <w:szCs w:val="20"/>
              </w:rPr>
              <w:t>С</w:t>
            </w:r>
          </w:p>
        </w:tc>
        <w:tc>
          <w:tcPr>
            <w:tcW w:w="2164" w:type="pct"/>
          </w:tcPr>
          <w:p>
            <w:pPr>
              <w:widowControl w:val="0"/>
              <w:jc w:val="left"/>
              <w:rPr>
                <w:rFonts w:eastAsia="Times New Roman"/>
                <w:sz w:val="20"/>
                <w:szCs w:val="20"/>
                <w:lang w:val="en-US"/>
              </w:rPr>
            </w:pPr>
            <w:r>
              <w:rPr>
                <w:rFonts w:eastAsia="Times New Roman"/>
                <w:sz w:val="20"/>
                <w:szCs w:val="20"/>
              </w:rPr>
              <w:t>От минус 60 до плюс 350</w:t>
            </w:r>
          </w:p>
        </w:tc>
      </w:tr>
      <w:tr>
        <w:tc>
          <w:tcPr>
            <w:tcW w:w="291" w:type="pct"/>
          </w:tcPr>
          <w:p>
            <w:pPr>
              <w:widowControl w:val="0"/>
              <w:numPr>
                <w:ilvl w:val="0"/>
                <w:numId w:val="46"/>
              </w:numPr>
              <w:ind w:left="0" w:firstLine="0"/>
              <w:jc w:val="left"/>
              <w:rPr>
                <w:rFonts w:eastAsia="Times New Roman"/>
                <w:sz w:val="20"/>
                <w:szCs w:val="20"/>
              </w:rPr>
            </w:pPr>
          </w:p>
        </w:tc>
        <w:tc>
          <w:tcPr>
            <w:tcW w:w="2545" w:type="pct"/>
          </w:tcPr>
          <w:p>
            <w:pPr>
              <w:widowControl w:val="0"/>
              <w:jc w:val="left"/>
              <w:rPr>
                <w:rFonts w:eastAsia="Times New Roman"/>
                <w:sz w:val="20"/>
                <w:szCs w:val="20"/>
              </w:rPr>
            </w:pPr>
            <w:r>
              <w:rPr>
                <w:rFonts w:eastAsia="Times New Roman"/>
                <w:sz w:val="20"/>
                <w:szCs w:val="20"/>
              </w:rPr>
              <w:t>Механические примеси, мг/м</w:t>
            </w:r>
            <w:r>
              <w:rPr>
                <w:rFonts w:eastAsia="Times New Roman"/>
                <w:sz w:val="20"/>
                <w:szCs w:val="20"/>
                <w:vertAlign w:val="superscript"/>
              </w:rPr>
              <w:t>3</w:t>
            </w:r>
          </w:p>
        </w:tc>
        <w:tc>
          <w:tcPr>
            <w:tcW w:w="2164" w:type="pct"/>
          </w:tcPr>
          <w:p>
            <w:pPr>
              <w:widowControl w:val="0"/>
              <w:jc w:val="left"/>
              <w:rPr>
                <w:rFonts w:eastAsia="Times New Roman"/>
                <w:sz w:val="20"/>
                <w:szCs w:val="20"/>
                <w:lang w:val="en-US"/>
              </w:rPr>
            </w:pPr>
            <w:r>
              <w:rPr>
                <w:rFonts w:eastAsia="Times New Roman"/>
                <w:sz w:val="20"/>
                <w:szCs w:val="20"/>
              </w:rPr>
              <w:t>До 10</w:t>
            </w:r>
          </w:p>
        </w:tc>
      </w:tr>
      <w:tr>
        <w:tc>
          <w:tcPr>
            <w:tcW w:w="291" w:type="pct"/>
          </w:tcPr>
          <w:p>
            <w:pPr>
              <w:widowControl w:val="0"/>
              <w:numPr>
                <w:ilvl w:val="0"/>
                <w:numId w:val="46"/>
              </w:numPr>
              <w:ind w:left="0" w:firstLine="0"/>
              <w:jc w:val="left"/>
              <w:rPr>
                <w:rFonts w:eastAsia="Times New Roman"/>
                <w:sz w:val="20"/>
                <w:szCs w:val="20"/>
              </w:rPr>
            </w:pPr>
          </w:p>
        </w:tc>
        <w:tc>
          <w:tcPr>
            <w:tcW w:w="2545" w:type="pct"/>
          </w:tcPr>
          <w:p>
            <w:pPr>
              <w:widowControl w:val="0"/>
              <w:jc w:val="left"/>
              <w:rPr>
                <w:rFonts w:eastAsia="Times New Roman"/>
                <w:sz w:val="20"/>
                <w:szCs w:val="20"/>
              </w:rPr>
            </w:pPr>
            <w:r>
              <w:rPr>
                <w:rFonts w:eastAsia="Times New Roman"/>
                <w:sz w:val="20"/>
                <w:szCs w:val="20"/>
              </w:rPr>
              <w:t>Размер твердых частиц, мм</w:t>
            </w:r>
          </w:p>
        </w:tc>
        <w:tc>
          <w:tcPr>
            <w:tcW w:w="2164" w:type="pct"/>
          </w:tcPr>
          <w:p>
            <w:pPr>
              <w:widowControl w:val="0"/>
              <w:jc w:val="left"/>
              <w:rPr>
                <w:rFonts w:eastAsia="Times New Roman"/>
                <w:sz w:val="20"/>
                <w:szCs w:val="20"/>
                <w:lang w:val="en-US"/>
              </w:rPr>
            </w:pPr>
            <w:r>
              <w:rPr>
                <w:rFonts w:eastAsia="Times New Roman"/>
                <w:sz w:val="20"/>
                <w:szCs w:val="20"/>
              </w:rPr>
              <w:t>До 1</w:t>
            </w:r>
          </w:p>
        </w:tc>
      </w:tr>
    </w:tbl>
    <w:p>
      <w:pPr>
        <w:pStyle w:val="S0"/>
        <w:rPr>
          <w:rFonts w:eastAsia="PMingLiU"/>
          <w:lang w:eastAsia="en-US"/>
        </w:rPr>
      </w:pPr>
    </w:p>
    <w:p>
      <w:pPr>
        <w:pStyle w:val="S0"/>
        <w:rPr>
          <w:rFonts w:eastAsia="PMingLiU"/>
          <w:lang w:eastAsia="en-US"/>
        </w:rPr>
      </w:pPr>
    </w:p>
    <w:p>
      <w:pPr>
        <w:pStyle w:val="S20"/>
        <w:numPr>
          <w:ilvl w:val="1"/>
          <w:numId w:val="26"/>
        </w:numPr>
        <w:rPr>
          <w:rFonts w:eastAsia="Calibri" w:cs="Arial"/>
          <w:bCs/>
          <w:iCs/>
          <w:caps w:val="0"/>
          <w:szCs w:val="28"/>
        </w:rPr>
      </w:pPr>
      <w:bookmarkStart w:id="82" w:name="_bookmark5"/>
      <w:bookmarkStart w:id="83" w:name="_Toc399503281"/>
      <w:bookmarkStart w:id="84" w:name="_Toc400458569"/>
      <w:bookmarkStart w:id="85" w:name="_Toc481662372"/>
      <w:bookmarkStart w:id="86" w:name="_Toc514169511"/>
      <w:bookmarkEnd w:id="82"/>
      <w:r>
        <w:rPr>
          <w:rFonts w:eastAsia="Calibri" w:cs="Arial"/>
          <w:bCs/>
          <w:iCs/>
          <w:caps w:val="0"/>
          <w:szCs w:val="28"/>
        </w:rPr>
        <w:t>ТРЕБОВАНИЯ К ИЗГОТОВЛЕНИЮ И КОНСТРУКТИВНОМУ ИСПОЛНЕНИ</w:t>
      </w:r>
      <w:bookmarkEnd w:id="83"/>
      <w:bookmarkEnd w:id="84"/>
      <w:r>
        <w:rPr>
          <w:rFonts w:eastAsia="Calibri" w:cs="Arial"/>
          <w:bCs/>
          <w:iCs/>
          <w:caps w:val="0"/>
          <w:szCs w:val="28"/>
        </w:rPr>
        <w:t>Ю</w:t>
      </w:r>
      <w:bookmarkEnd w:id="85"/>
      <w:bookmarkEnd w:id="86"/>
    </w:p>
    <w:p>
      <w:pPr>
        <w:pStyle w:val="S0"/>
        <w:rPr>
          <w:rFonts w:eastAsia="PMingLiU"/>
          <w:lang w:eastAsia="en-US"/>
        </w:rPr>
      </w:pPr>
    </w:p>
    <w:p>
      <w:pPr>
        <w:tabs>
          <w:tab w:val="left" w:pos="851"/>
        </w:tabs>
        <w:rPr>
          <w:rFonts w:eastAsia="PMingLiU"/>
          <w:szCs w:val="22"/>
          <w:lang w:eastAsia="en-US"/>
        </w:rPr>
      </w:pPr>
    </w:p>
    <w:p>
      <w:pPr>
        <w:pStyle w:val="S30"/>
      </w:pPr>
      <w:bookmarkStart w:id="87" w:name="_Toc392752833"/>
      <w:bookmarkStart w:id="88" w:name="_Toc404615310"/>
      <w:bookmarkStart w:id="89" w:name="_Toc481662373"/>
      <w:bookmarkStart w:id="90" w:name="_Toc486233265"/>
      <w:bookmarkStart w:id="91" w:name="_Toc514169512"/>
      <w:r>
        <w:t>4.3.1.</w:t>
      </w:r>
      <w:r>
        <w:tab/>
      </w:r>
      <w:bookmarkEnd w:id="87"/>
      <w:bookmarkEnd w:id="88"/>
      <w:bookmarkEnd w:id="89"/>
      <w:bookmarkEnd w:id="90"/>
      <w:r>
        <w:t>ОБЩИЕ ТРЕБОВАНИЯ</w:t>
      </w:r>
      <w:bookmarkEnd w:id="91"/>
    </w:p>
    <w:p>
      <w:pPr>
        <w:pStyle w:val="S0"/>
        <w:rPr>
          <w:lang w:eastAsia="en-US"/>
        </w:rPr>
      </w:pPr>
    </w:p>
    <w:p>
      <w:pPr>
        <w:pStyle w:val="S0"/>
        <w:rPr>
          <w:rFonts w:eastAsia="PMingLiU"/>
          <w:szCs w:val="22"/>
          <w:lang w:eastAsia="en-US"/>
        </w:rPr>
      </w:pPr>
      <w:r>
        <w:t>Краны шаровые</w:t>
      </w:r>
      <w:r>
        <w:rPr>
          <w:rFonts w:eastAsia="PMingLiU"/>
          <w:szCs w:val="22"/>
          <w:lang w:eastAsia="en-US"/>
        </w:rPr>
        <w:t xml:space="preserve"> должны соответствовать требованиям </w:t>
      </w:r>
      <w:r>
        <w:rPr>
          <w:bCs/>
        </w:rPr>
        <w:t xml:space="preserve">настоящих Методических указаний, </w:t>
      </w:r>
      <w:r>
        <w:rPr>
          <w:spacing w:val="2"/>
        </w:rPr>
        <w:t>ТР ТС 010</w:t>
      </w:r>
      <w:r>
        <w:rPr>
          <w:bCs/>
        </w:rPr>
        <w:t xml:space="preserve">, ТР ТС 032, </w:t>
      </w:r>
      <w:r>
        <w:rPr>
          <w:rFonts w:eastAsia="SimSun"/>
          <w:lang w:eastAsia="zh-CN"/>
        </w:rPr>
        <w:t xml:space="preserve">Федеральных норм и правил в области промышленной безопасности </w:t>
      </w:r>
      <w:r>
        <w:t xml:space="preserve">«Правила безопасности в нефтяной и </w:t>
      </w:r>
      <w:r>
        <w:rPr>
          <w:spacing w:val="2"/>
        </w:rPr>
        <w:t xml:space="preserve">газовой промышленности», утвержденных приказом Ростехнадзора от 12.03.2013 № 101, </w:t>
      </w:r>
      <w:r>
        <w:rPr>
          <w:rFonts w:eastAsia="SimSun"/>
          <w:lang w:eastAsia="zh-CN"/>
        </w:rPr>
        <w:t>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Ростехнадзо</w:t>
      </w:r>
      <w:r>
        <w:rPr>
          <w:rFonts w:eastAsia="PMingLiU"/>
          <w:szCs w:val="22"/>
          <w:lang w:eastAsia="en-US"/>
        </w:rPr>
        <w:t>ра от 25.03.2014 №</w:t>
      </w:r>
      <w:r>
        <w:rPr>
          <w:rFonts w:eastAsia="PMingLiU"/>
        </w:rPr>
        <w:t> </w:t>
      </w:r>
      <w:r>
        <w:rPr>
          <w:rFonts w:eastAsia="PMingLiU"/>
          <w:szCs w:val="22"/>
          <w:lang w:eastAsia="en-US"/>
        </w:rPr>
        <w:t>116,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 утвержденных Приказом Ростехнадзора от 11.03.2013 № 96, Федеральных норм и правил в области промышленной безопасности «Правила безопасности нефтегазоперерабатывающих производств», утвержденных приказом Ростехнадзора от 29.03.2016 № 125, ГОСТ </w:t>
      </w:r>
      <w:r>
        <w:t>21345</w:t>
      </w:r>
      <w:r>
        <w:rPr>
          <w:bCs/>
        </w:rPr>
        <w:t xml:space="preserve">, ГОСТ 28343, ГОСТ 9702, ГОСТ 12.2.063, </w:t>
      </w:r>
      <w:r>
        <w:rPr>
          <w:rFonts w:eastAsia="PMingLiU"/>
          <w:szCs w:val="22"/>
          <w:lang w:eastAsia="en-US"/>
        </w:rPr>
        <w:t>КД.</w:t>
      </w:r>
    </w:p>
    <w:p>
      <w:pPr>
        <w:pStyle w:val="S0"/>
        <w:rPr>
          <w:lang w:eastAsia="en-US"/>
        </w:rPr>
      </w:pPr>
    </w:p>
    <w:p>
      <w:pPr>
        <w:pStyle w:val="S0"/>
        <w:rPr>
          <w:lang w:eastAsia="en-US"/>
        </w:rPr>
      </w:pPr>
      <w:r>
        <w:rPr>
          <w:lang w:eastAsia="en-US"/>
        </w:rPr>
        <w:t xml:space="preserve">Конструкция крана шарового должна быть прочной и герметичной по отношению к внешней среде. Пропуск рабочей среды или «потение» через металл и сварные соединения, а также пропуск рабочей среды через места соединений (прокладочные соединения и уплотнения) не </w:t>
      </w:r>
      <w:r>
        <w:rPr>
          <w:lang w:eastAsia="en-US"/>
        </w:rPr>
        <w:lastRenderedPageBreak/>
        <w:t>допускаются.</w:t>
      </w:r>
    </w:p>
    <w:p>
      <w:pPr>
        <w:pStyle w:val="S0"/>
        <w:rPr>
          <w:lang w:eastAsia="en-US"/>
        </w:rPr>
      </w:pPr>
    </w:p>
    <w:p>
      <w:pPr>
        <w:pStyle w:val="S0"/>
        <w:rPr>
          <w:lang w:eastAsia="en-US"/>
        </w:rPr>
      </w:pPr>
      <w:r>
        <w:rPr>
          <w:lang w:eastAsia="en-US"/>
        </w:rPr>
        <w:t>Краны шаровые DN 300 и более, должны иметь опорные поверхности для установки на фундамент.</w:t>
      </w:r>
    </w:p>
    <w:p>
      <w:pPr>
        <w:pStyle w:val="S0"/>
        <w:rPr>
          <w:lang w:eastAsia="en-US"/>
        </w:rPr>
      </w:pPr>
    </w:p>
    <w:p>
      <w:pPr>
        <w:tabs>
          <w:tab w:val="left" w:pos="851"/>
        </w:tabs>
        <w:rPr>
          <w:spacing w:val="-1"/>
        </w:rPr>
      </w:pPr>
      <w:r>
        <w:rPr>
          <w:rFonts w:eastAsia="Times New Roman"/>
        </w:rPr>
        <w:t xml:space="preserve">Расчеты на прочность корпусных деталей кранов шаровых должны быть выполнены с учетом максимально допустимых нагрузок от присоединяемых трубопроводов. </w:t>
      </w:r>
      <w:r>
        <w:rPr>
          <w:rFonts w:eastAsia="PMingLiU"/>
          <w:lang w:eastAsia="en-US"/>
        </w:rPr>
        <w:t xml:space="preserve">Расчеты должны выполняться с учетом </w:t>
      </w:r>
      <w:r>
        <w:rPr>
          <w:spacing w:val="-1"/>
        </w:rPr>
        <w:t>инженерных</w:t>
      </w:r>
      <w:r>
        <w:rPr>
          <w:spacing w:val="49"/>
        </w:rPr>
        <w:t xml:space="preserve"> </w:t>
      </w:r>
      <w:r>
        <w:rPr>
          <w:spacing w:val="-1"/>
        </w:rPr>
        <w:t>методик</w:t>
      </w:r>
      <w:r>
        <w:rPr>
          <w:spacing w:val="43"/>
        </w:rPr>
        <w:t xml:space="preserve"> </w:t>
      </w:r>
      <w:r>
        <w:rPr>
          <w:spacing w:val="-1"/>
        </w:rPr>
        <w:t>расчета</w:t>
      </w:r>
      <w:r>
        <w:rPr>
          <w:spacing w:val="30"/>
        </w:rPr>
        <w:t xml:space="preserve"> </w:t>
      </w:r>
      <w:r>
        <w:rPr>
          <w:rFonts w:eastAsia="PMingLiU"/>
          <w:lang w:eastAsia="en-US"/>
        </w:rPr>
        <w:t>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52857.1,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52857.2,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52857.3,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52857.4,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52857.5,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 xml:space="preserve">52857.6, а также </w:t>
      </w:r>
      <w:r>
        <w:rPr>
          <w:spacing w:val="-1"/>
        </w:rPr>
        <w:t>с применением сертифицированного программного обеспечения по расчету деталей кранов шаровых на прочность.</w:t>
      </w:r>
      <w:r>
        <w:t xml:space="preserve"> Ответственность за выбор методики и программы расчета несет завод-изготовитель.</w:t>
      </w:r>
    </w:p>
    <w:p>
      <w:pPr>
        <w:tabs>
          <w:tab w:val="left" w:pos="851"/>
        </w:tabs>
        <w:rPr>
          <w:rFonts w:eastAsia="Times New Roman"/>
        </w:rPr>
      </w:pPr>
    </w:p>
    <w:p>
      <w:pPr>
        <w:tabs>
          <w:tab w:val="left" w:pos="851"/>
        </w:tabs>
        <w:rPr>
          <w:rFonts w:eastAsia="PMingLiU"/>
          <w:szCs w:val="22"/>
          <w:lang w:eastAsia="en-US"/>
        </w:rPr>
      </w:pPr>
      <w:r>
        <w:rPr>
          <w:rFonts w:eastAsia="PMingLiU"/>
          <w:szCs w:val="22"/>
          <w:lang w:eastAsia="en-US"/>
        </w:rPr>
        <w:t>Силовой расчет должен проводиться при максимальном перепаде давления рабочей среды на запирающем элементе, соответствующий началу открытия крана шарового.</w:t>
      </w:r>
    </w:p>
    <w:p>
      <w:pPr>
        <w:tabs>
          <w:tab w:val="left" w:pos="851"/>
        </w:tabs>
        <w:rPr>
          <w:rFonts w:eastAsia="PMingLiU"/>
          <w:szCs w:val="22"/>
          <w:lang w:eastAsia="en-US"/>
        </w:rPr>
      </w:pPr>
    </w:p>
    <w:p>
      <w:pPr>
        <w:tabs>
          <w:tab w:val="left" w:pos="993"/>
        </w:tabs>
        <w:rPr>
          <w:rFonts w:eastAsia="PMingLiU"/>
          <w:lang w:eastAsia="en-US"/>
        </w:rPr>
      </w:pPr>
      <w:r>
        <w:rPr>
          <w:rFonts w:eastAsia="PMingLiU"/>
          <w:szCs w:val="22"/>
          <w:lang w:eastAsia="en-US"/>
        </w:rPr>
        <w:t>К</w:t>
      </w:r>
      <w:r>
        <w:rPr>
          <w:rFonts w:eastAsia="PMingLiU"/>
          <w:lang w:eastAsia="en-US"/>
        </w:rPr>
        <w:t>онструкция проточной части крана шарового – полнопроходная, направление движения рабочей среды – двухстороннее.</w:t>
      </w:r>
    </w:p>
    <w:p>
      <w:pPr>
        <w:tabs>
          <w:tab w:val="left" w:pos="1701"/>
        </w:tabs>
      </w:pPr>
    </w:p>
    <w:p>
      <w:pPr>
        <w:tabs>
          <w:tab w:val="left" w:pos="1701"/>
        </w:tabs>
      </w:pPr>
      <w:r>
        <w:t>При соединении корпусных деталей должны применяться шпильками с гайками. Применение болтов запрещено.</w:t>
      </w:r>
    </w:p>
    <w:p>
      <w:pPr>
        <w:tabs>
          <w:tab w:val="left" w:pos="1701"/>
        </w:tabs>
      </w:pPr>
    </w:p>
    <w:p>
      <w:pPr>
        <w:tabs>
          <w:tab w:val="left" w:pos="1701"/>
        </w:tabs>
      </w:pPr>
      <w:r>
        <w:t xml:space="preserve">Химический состав металла ответных фланцев, в зависимости от группы прочности, должен соответствовать Таблице 19 настоящих Методических указаний </w:t>
      </w:r>
    </w:p>
    <w:p>
      <w:pPr>
        <w:widowControl w:val="0"/>
        <w:tabs>
          <w:tab w:val="left" w:pos="539"/>
        </w:tabs>
        <w:rPr>
          <w:rFonts w:eastAsia="Times New Roman"/>
        </w:rPr>
      </w:pPr>
    </w:p>
    <w:p>
      <w:pPr>
        <w:widowControl w:val="0"/>
        <w:tabs>
          <w:tab w:val="left" w:pos="539"/>
        </w:tabs>
        <w:rPr>
          <w:rFonts w:eastAsia="Times New Roman"/>
        </w:rPr>
      </w:pPr>
      <w:r>
        <w:rPr>
          <w:rFonts w:eastAsia="Times New Roman"/>
        </w:rPr>
        <w:t>Конструкция разъемных соединений крана шарового должна обеспечивать взаимозаменяемость сопрягаемых деталей без механической доработки.</w:t>
      </w:r>
    </w:p>
    <w:p>
      <w:pPr>
        <w:tabs>
          <w:tab w:val="left" w:pos="851"/>
        </w:tabs>
        <w:rPr>
          <w:rFonts w:eastAsia="PMingLiU"/>
          <w:szCs w:val="22"/>
          <w:lang w:eastAsia="en-US"/>
        </w:rPr>
      </w:pPr>
    </w:p>
    <w:p>
      <w:pPr>
        <w:tabs>
          <w:tab w:val="left" w:pos="851"/>
        </w:tabs>
        <w:rPr>
          <w:rFonts w:eastAsia="PMingLiU"/>
          <w:szCs w:val="22"/>
          <w:lang w:eastAsia="en-US"/>
        </w:rPr>
      </w:pPr>
      <w:r>
        <w:rPr>
          <w:rFonts w:eastAsia="PMingLiU"/>
          <w:szCs w:val="22"/>
          <w:lang w:eastAsia="en-US"/>
        </w:rPr>
        <w:t>Краны шаровые с двухсторонним направлением рабочей среды должны быть работоспособны при максимальном перепаде давления со стороны каждого патрубка.</w:t>
      </w:r>
    </w:p>
    <w:p>
      <w:pPr>
        <w:tabs>
          <w:tab w:val="left" w:pos="851"/>
        </w:tabs>
        <w:rPr>
          <w:rFonts w:eastAsia="PMingLiU"/>
          <w:szCs w:val="22"/>
          <w:lang w:eastAsia="en-US"/>
        </w:rPr>
      </w:pPr>
    </w:p>
    <w:p>
      <w:pPr>
        <w:tabs>
          <w:tab w:val="left" w:pos="851"/>
        </w:tabs>
        <w:rPr>
          <w:color w:val="000000"/>
        </w:rPr>
      </w:pPr>
      <w:r>
        <w:rPr>
          <w:color w:val="000000"/>
        </w:rPr>
        <w:t>Исполнение запирающего элемента крана шарового:</w:t>
      </w:r>
    </w:p>
    <w:p>
      <w:pPr>
        <w:numPr>
          <w:ilvl w:val="0"/>
          <w:numId w:val="12"/>
        </w:numPr>
        <w:tabs>
          <w:tab w:val="left" w:pos="539"/>
        </w:tabs>
        <w:spacing w:before="120"/>
        <w:ind w:left="538" w:hanging="357"/>
      </w:pPr>
      <w:r>
        <w:t>краны с плавающей пробкой, запирающий элемент (шар) поддерживается уплотнительными кольцами;</w:t>
      </w:r>
    </w:p>
    <w:p>
      <w:pPr>
        <w:numPr>
          <w:ilvl w:val="0"/>
          <w:numId w:val="12"/>
        </w:numPr>
        <w:tabs>
          <w:tab w:val="left" w:pos="539"/>
        </w:tabs>
        <w:spacing w:before="120"/>
        <w:ind w:left="538" w:hanging="357"/>
      </w:pPr>
      <w:r>
        <w:t>краны с запирающим элементом (пробкой) в опорах.</w:t>
      </w:r>
    </w:p>
    <w:p>
      <w:pPr>
        <w:widowControl w:val="0"/>
        <w:tabs>
          <w:tab w:val="left" w:pos="993"/>
        </w:tabs>
        <w:autoSpaceDE w:val="0"/>
        <w:autoSpaceDN w:val="0"/>
        <w:adjustRightInd w:val="0"/>
      </w:pPr>
    </w:p>
    <w:p>
      <w:pPr>
        <w:widowControl w:val="0"/>
        <w:tabs>
          <w:tab w:val="left" w:pos="993"/>
        </w:tabs>
        <w:autoSpaceDE w:val="0"/>
        <w:autoSpaceDN w:val="0"/>
        <w:adjustRightInd w:val="0"/>
      </w:pPr>
      <w:r>
        <w:t>Для других параметров должна применяться конструкция кранов шаровых с пробкой в опорах, кроме случаев, когда завод-изготовитель подтверждает возможность изготовления крана для других параметров с плавающей пробкой и имеет положительный опыт таких поставок в сопоставимых условиях применения.</w:t>
      </w:r>
    </w:p>
    <w:p>
      <w:pPr>
        <w:widowControl w:val="0"/>
        <w:tabs>
          <w:tab w:val="left" w:pos="993"/>
        </w:tabs>
        <w:autoSpaceDE w:val="0"/>
        <w:autoSpaceDN w:val="0"/>
        <w:adjustRightInd w:val="0"/>
      </w:pPr>
    </w:p>
    <w:p>
      <w:pPr>
        <w:pStyle w:val="S0"/>
      </w:pPr>
      <w:r>
        <w:t>Корпус крана должен выдерживать усилие растяжения и осевое усилие сжатия (равное расчетному по внутреннему диаметру корпуса крана) без:</w:t>
      </w:r>
    </w:p>
    <w:p>
      <w:pPr>
        <w:numPr>
          <w:ilvl w:val="0"/>
          <w:numId w:val="12"/>
        </w:numPr>
        <w:tabs>
          <w:tab w:val="left" w:pos="539"/>
        </w:tabs>
        <w:spacing w:before="120"/>
        <w:ind w:left="538" w:hanging="357"/>
        <w:rPr>
          <w:rFonts w:eastAsia="Times New Roman"/>
        </w:rPr>
      </w:pPr>
      <w:r>
        <w:rPr>
          <w:rFonts w:eastAsia="Times New Roman"/>
        </w:rPr>
        <w:t>деформации корпуса под нагрузкой и воздействия на свободное движение шара;</w:t>
      </w:r>
    </w:p>
    <w:p>
      <w:pPr>
        <w:numPr>
          <w:ilvl w:val="0"/>
          <w:numId w:val="12"/>
        </w:numPr>
        <w:tabs>
          <w:tab w:val="left" w:pos="539"/>
        </w:tabs>
        <w:spacing w:before="120"/>
        <w:ind w:left="538" w:hanging="357"/>
        <w:rPr>
          <w:rFonts w:eastAsia="Times New Roman"/>
        </w:rPr>
      </w:pPr>
      <w:r>
        <w:rPr>
          <w:rFonts w:eastAsia="Times New Roman"/>
        </w:rPr>
        <w:t>воздействия на уплотнение между запирающим элементом и седлами.</w:t>
      </w:r>
    </w:p>
    <w:p>
      <w:pPr>
        <w:widowControl w:val="0"/>
        <w:tabs>
          <w:tab w:val="left" w:pos="993"/>
        </w:tabs>
        <w:autoSpaceDE w:val="0"/>
        <w:autoSpaceDN w:val="0"/>
        <w:adjustRightInd w:val="0"/>
      </w:pPr>
    </w:p>
    <w:p>
      <w:pPr>
        <w:widowControl w:val="0"/>
        <w:tabs>
          <w:tab w:val="left" w:pos="993"/>
        </w:tabs>
        <w:autoSpaceDE w:val="0"/>
        <w:autoSpaceDN w:val="0"/>
        <w:adjustRightInd w:val="0"/>
      </w:pPr>
      <w:r>
        <w:t>Кран шаровой должен закрываться поворотом шпинделя в направлении по часовой стрелке.</w:t>
      </w:r>
    </w:p>
    <w:p>
      <w:pPr>
        <w:pStyle w:val="S0"/>
        <w:rPr>
          <w:lang w:eastAsia="en-US"/>
        </w:rPr>
      </w:pPr>
      <w:r>
        <w:rPr>
          <w:lang w:eastAsia="en-US"/>
        </w:rPr>
        <w:t xml:space="preserve">В конструкции крана шарового в крайних положениях запирающего элемента должны быть предусмотрены ограничители поворота затвора, если они не предусмотрены конструкцией </w:t>
      </w:r>
      <w:r>
        <w:rPr>
          <w:lang w:eastAsia="en-US"/>
        </w:rPr>
        <w:lastRenderedPageBreak/>
        <w:t>привода.</w:t>
      </w:r>
    </w:p>
    <w:p>
      <w:pPr>
        <w:pStyle w:val="S0"/>
      </w:pPr>
    </w:p>
    <w:p>
      <w:pPr>
        <w:pStyle w:val="S0"/>
        <w:rPr>
          <w:lang w:eastAsia="en-US"/>
        </w:rPr>
      </w:pPr>
      <w:r>
        <w:t>Если кран шаровой подземного исполнения подключаются к системе электрохимической защиты объекта, то электрически заземленные узлы (датчики, блоки конечных выключателей, узлы управления) необходимо гальванически разъединять с кранами шаровыми и трубопроводом, для обеспечения показателя сопротивления растеканию постоянного тока.</w:t>
      </w:r>
    </w:p>
    <w:p>
      <w:pPr>
        <w:pStyle w:val="S0"/>
        <w:rPr>
          <w:lang w:eastAsia="en-US"/>
        </w:rPr>
      </w:pPr>
    </w:p>
    <w:p>
      <w:pPr>
        <w:pStyle w:val="S0"/>
        <w:rPr>
          <w:lang w:eastAsia="en-US"/>
        </w:rPr>
      </w:pPr>
    </w:p>
    <w:p>
      <w:pPr>
        <w:pStyle w:val="S30"/>
      </w:pPr>
      <w:bookmarkStart w:id="92" w:name="_Toc481662374"/>
      <w:bookmarkStart w:id="93" w:name="_Toc486233266"/>
      <w:bookmarkStart w:id="94" w:name="_Toc514169513"/>
      <w:r>
        <w:t>4.3.2.</w:t>
      </w:r>
      <w:r>
        <w:tab/>
        <w:t xml:space="preserve">ТРЕБОВАНИЯ </w:t>
      </w:r>
      <w:bookmarkEnd w:id="92"/>
      <w:bookmarkEnd w:id="93"/>
      <w:r>
        <w:t>К ИСПОЛНЕНИЮ ПО МАТЕРИАЛАМ ОСНОВНЫХ ЭЛЕМЕНТОВ</w:t>
      </w:r>
      <w:bookmarkEnd w:id="94"/>
    </w:p>
    <w:p>
      <w:pPr>
        <w:rPr>
          <w:rFonts w:eastAsia="PMingLiU"/>
          <w:szCs w:val="22"/>
          <w:lang w:eastAsia="en-US"/>
        </w:rPr>
      </w:pPr>
    </w:p>
    <w:p>
      <w:pPr>
        <w:widowControl w:val="0"/>
        <w:tabs>
          <w:tab w:val="left" w:pos="993"/>
        </w:tabs>
        <w:ind w:right="-1"/>
        <w:rPr>
          <w:rFonts w:eastAsia="PMingLiU"/>
          <w:lang w:eastAsia="en-US"/>
        </w:rPr>
      </w:pPr>
      <w:r>
        <w:rPr>
          <w:rFonts w:eastAsia="PMingLiU"/>
          <w:lang w:eastAsia="en-US"/>
        </w:rPr>
        <w:t>Материал крана, крепежных деталей с категорией размещения 1 по ГОСТ</w:t>
      </w:r>
      <w:r>
        <w:rPr>
          <w:rFonts w:eastAsia="PMingLiU"/>
          <w:lang w:val="en-US" w:eastAsia="en-US"/>
        </w:rPr>
        <w:t> </w:t>
      </w:r>
      <w:r>
        <w:rPr>
          <w:rFonts w:eastAsia="PMingLiU"/>
          <w:lang w:eastAsia="en-US"/>
        </w:rPr>
        <w:t>15150 должен приниматься по значению нижней рабочей температуры окружающего воздуха, в соответствии с Таблицей 1 настоящих Методических указаний.</w:t>
      </w:r>
    </w:p>
    <w:p>
      <w:pPr>
        <w:widowControl w:val="0"/>
        <w:tabs>
          <w:tab w:val="left" w:pos="993"/>
        </w:tabs>
        <w:ind w:right="-1"/>
        <w:rPr>
          <w:rFonts w:eastAsia="PMingLiU"/>
          <w:lang w:eastAsia="en-US"/>
        </w:rPr>
      </w:pPr>
    </w:p>
    <w:p>
      <w:pPr>
        <w:widowControl w:val="0"/>
        <w:tabs>
          <w:tab w:val="left" w:pos="993"/>
        </w:tabs>
        <w:ind w:right="-1"/>
        <w:rPr>
          <w:rFonts w:eastAsia="PMingLiU"/>
          <w:lang w:eastAsia="en-US"/>
        </w:rPr>
      </w:pPr>
      <w:r>
        <w:rPr>
          <w:rFonts w:eastAsia="PMingLiU"/>
          <w:lang w:eastAsia="en-US"/>
        </w:rPr>
        <w:t>Материалы крана шарового должны соответствовать требованиям ГОСТ</w:t>
      </w:r>
      <w:r>
        <w:rPr>
          <w:rFonts w:eastAsia="PMingLiU"/>
          <w:lang w:val="en-US" w:eastAsia="en-US"/>
        </w:rPr>
        <w:t> </w:t>
      </w:r>
      <w:r>
        <w:rPr>
          <w:rFonts w:eastAsia="PMingLiU"/>
          <w:lang w:eastAsia="en-US"/>
        </w:rPr>
        <w:t>33260, СТ</w:t>
      </w:r>
      <w:r>
        <w:rPr>
          <w:rFonts w:eastAsia="PMingLiU"/>
          <w:lang w:val="en-US" w:eastAsia="en-US"/>
        </w:rPr>
        <w:t> </w:t>
      </w:r>
      <w:r>
        <w:rPr>
          <w:rFonts w:eastAsia="PMingLiU"/>
          <w:lang w:eastAsia="en-US"/>
        </w:rPr>
        <w:t>ЦКБА</w:t>
      </w:r>
      <w:r>
        <w:rPr>
          <w:rFonts w:eastAsia="PMingLiU"/>
          <w:lang w:val="en-US" w:eastAsia="en-US"/>
        </w:rPr>
        <w:t> </w:t>
      </w:r>
      <w:r>
        <w:rPr>
          <w:rFonts w:eastAsia="PMingLiU"/>
          <w:lang w:eastAsia="en-US"/>
        </w:rPr>
        <w:t>005.01, СТ</w:t>
      </w:r>
      <w:r>
        <w:rPr>
          <w:rFonts w:eastAsia="PMingLiU"/>
          <w:lang w:val="en-US" w:eastAsia="en-US"/>
        </w:rPr>
        <w:t> </w:t>
      </w:r>
      <w:r>
        <w:rPr>
          <w:rFonts w:eastAsia="PMingLiU"/>
          <w:lang w:eastAsia="en-US"/>
        </w:rPr>
        <w:t>ЦКБА</w:t>
      </w:r>
      <w:r>
        <w:rPr>
          <w:rFonts w:eastAsia="PMingLiU"/>
          <w:lang w:val="en-US" w:eastAsia="en-US"/>
        </w:rPr>
        <w:t> </w:t>
      </w:r>
      <w:r>
        <w:rPr>
          <w:rFonts w:eastAsia="PMingLiU"/>
          <w:lang w:eastAsia="en-US"/>
        </w:rPr>
        <w:t>010, СТ</w:t>
      </w:r>
      <w:r>
        <w:rPr>
          <w:rFonts w:eastAsia="PMingLiU"/>
          <w:lang w:val="en-US" w:eastAsia="en-US"/>
        </w:rPr>
        <w:t> </w:t>
      </w:r>
      <w:r>
        <w:rPr>
          <w:rFonts w:eastAsia="PMingLiU"/>
          <w:lang w:eastAsia="en-US"/>
        </w:rPr>
        <w:t>ЦКБА</w:t>
      </w:r>
      <w:r>
        <w:rPr>
          <w:rFonts w:eastAsia="PMingLiU"/>
          <w:lang w:val="en-US" w:eastAsia="en-US"/>
        </w:rPr>
        <w:t> </w:t>
      </w:r>
      <w:r>
        <w:rPr>
          <w:rFonts w:eastAsia="PMingLiU"/>
          <w:lang w:eastAsia="en-US"/>
        </w:rPr>
        <w:t>014, СТ</w:t>
      </w:r>
      <w:r>
        <w:rPr>
          <w:rFonts w:eastAsia="PMingLiU"/>
          <w:lang w:val="en-US" w:eastAsia="en-US"/>
        </w:rPr>
        <w:t> </w:t>
      </w:r>
      <w:r>
        <w:rPr>
          <w:rFonts w:eastAsia="PMingLiU"/>
          <w:lang w:eastAsia="en-US"/>
        </w:rPr>
        <w:t>ЦКБА</w:t>
      </w:r>
      <w:r>
        <w:rPr>
          <w:rFonts w:eastAsia="PMingLiU"/>
          <w:lang w:val="en-US" w:eastAsia="en-US"/>
        </w:rPr>
        <w:t> </w:t>
      </w:r>
      <w:r>
        <w:rPr>
          <w:rFonts w:eastAsia="PMingLiU"/>
          <w:lang w:eastAsia="en-US"/>
        </w:rPr>
        <w:t>016, КД, настоящим Методическим указаниям. Соответствие применяемого материала должно подтверждаться заводами-изготовителями кранов сертификатами материалов, выполненными в соответствии с НД РФ.</w:t>
      </w:r>
    </w:p>
    <w:p>
      <w:pPr>
        <w:pStyle w:val="a7"/>
        <w:widowControl w:val="0"/>
        <w:tabs>
          <w:tab w:val="left" w:pos="0"/>
          <w:tab w:val="left" w:pos="993"/>
        </w:tabs>
        <w:spacing w:after="0"/>
        <w:ind w:right="105"/>
        <w:rPr>
          <w:rFonts w:eastAsia="PMingLiU"/>
          <w:lang w:eastAsia="en-US"/>
        </w:rPr>
      </w:pPr>
    </w:p>
    <w:p>
      <w:pPr>
        <w:tabs>
          <w:tab w:val="left" w:pos="1276"/>
        </w:tabs>
        <w:ind w:right="-1"/>
        <w:rPr>
          <w:rFonts w:eastAsia="PMingLiU"/>
          <w:lang w:eastAsia="en-US"/>
        </w:rPr>
      </w:pPr>
      <w:r>
        <w:rPr>
          <w:rFonts w:eastAsia="PMingLiU"/>
          <w:lang w:eastAsia="en-US"/>
        </w:rPr>
        <w:t>Материалы для изготовления крепежных деталей должны соответствовать требованиям Таблицы 11 ГОСТ</w:t>
      </w:r>
      <w:r>
        <w:rPr>
          <w:rFonts w:eastAsia="PMingLiU"/>
          <w:lang w:val="en-US" w:eastAsia="en-US"/>
        </w:rPr>
        <w:t> </w:t>
      </w:r>
      <w:r>
        <w:rPr>
          <w:rFonts w:eastAsia="PMingLiU"/>
          <w:lang w:eastAsia="en-US"/>
        </w:rPr>
        <w:t>33259-2015, ГОСТ</w:t>
      </w:r>
      <w:r>
        <w:rPr>
          <w:rFonts w:eastAsia="PMingLiU"/>
          <w:lang w:val="en-US" w:eastAsia="en-US"/>
        </w:rPr>
        <w:t> </w:t>
      </w:r>
      <w:r>
        <w:rPr>
          <w:rFonts w:eastAsia="PMingLiU"/>
          <w:lang w:eastAsia="en-US"/>
        </w:rPr>
        <w:t>33260, КД, настоящих Методических указаний.</w:t>
      </w:r>
    </w:p>
    <w:p>
      <w:pPr>
        <w:pStyle w:val="19"/>
        <w:widowControl w:val="0"/>
        <w:tabs>
          <w:tab w:val="left" w:pos="539"/>
          <w:tab w:val="left" w:pos="993"/>
        </w:tabs>
        <w:autoSpaceDE w:val="0"/>
        <w:autoSpaceDN w:val="0"/>
        <w:adjustRightInd w:val="0"/>
        <w:ind w:left="0" w:firstLine="0"/>
        <w:contextualSpacing w:val="0"/>
        <w:rPr>
          <w:rFonts w:eastAsia="PMingLiU"/>
          <w:lang w:eastAsia="en-US"/>
        </w:rPr>
      </w:pPr>
    </w:p>
    <w:p>
      <w:pPr>
        <w:pStyle w:val="a7"/>
        <w:tabs>
          <w:tab w:val="left" w:pos="0"/>
          <w:tab w:val="left" w:pos="993"/>
        </w:tabs>
        <w:spacing w:after="0"/>
        <w:ind w:right="-1"/>
        <w:rPr>
          <w:rFonts w:eastAsia="PMingLiU"/>
          <w:lang w:eastAsia="en-US"/>
        </w:rPr>
      </w:pPr>
      <w:r>
        <w:rPr>
          <w:rFonts w:eastAsia="PMingLiU"/>
          <w:lang w:eastAsia="en-US"/>
        </w:rPr>
        <w:t>Использование материала, поступившего без сертификатов, для изготовления деталей крана шарового не допускается.</w:t>
      </w:r>
    </w:p>
    <w:p>
      <w:pPr>
        <w:tabs>
          <w:tab w:val="left" w:pos="851"/>
        </w:tabs>
      </w:pPr>
    </w:p>
    <w:p>
      <w:pPr>
        <w:pStyle w:val="a7"/>
        <w:tabs>
          <w:tab w:val="left" w:pos="0"/>
          <w:tab w:val="left" w:pos="993"/>
        </w:tabs>
        <w:spacing w:after="0"/>
        <w:ind w:right="-1"/>
        <w:rPr>
          <w:rFonts w:eastAsia="PMingLiU"/>
          <w:lang w:eastAsia="en-US"/>
        </w:rPr>
      </w:pPr>
      <w:r>
        <w:rPr>
          <w:rFonts w:eastAsia="PMingLiU"/>
          <w:lang w:eastAsia="en-US"/>
        </w:rPr>
        <w:t>При выборе материалов для изготовления основных и крепежных деталей крана шарового необходимо учитывать заданные условия эксплуатации, согласно ГОСТ</w:t>
      </w:r>
      <w:r>
        <w:rPr>
          <w:rFonts w:eastAsia="PMingLiU"/>
          <w:lang w:val="en-US" w:eastAsia="en-US"/>
        </w:rPr>
        <w:t> </w:t>
      </w:r>
      <w:r>
        <w:rPr>
          <w:rFonts w:eastAsia="PMingLiU"/>
          <w:lang w:eastAsia="en-US"/>
        </w:rPr>
        <w:t>33260, СТ</w:t>
      </w:r>
      <w:r>
        <w:rPr>
          <w:rFonts w:eastAsia="PMingLiU"/>
          <w:lang w:val="en-US" w:eastAsia="en-US"/>
        </w:rPr>
        <w:t> </w:t>
      </w:r>
      <w:r>
        <w:rPr>
          <w:rFonts w:eastAsia="PMingLiU"/>
          <w:lang w:eastAsia="en-US"/>
        </w:rPr>
        <w:t>ЦКБА</w:t>
      </w:r>
      <w:r>
        <w:rPr>
          <w:rFonts w:eastAsia="PMingLiU"/>
          <w:lang w:val="en-US" w:eastAsia="en-US"/>
        </w:rPr>
        <w:t> </w:t>
      </w:r>
      <w:r>
        <w:rPr>
          <w:rFonts w:eastAsia="PMingLiU"/>
          <w:lang w:eastAsia="en-US"/>
        </w:rPr>
        <w:t>052:</w:t>
      </w:r>
    </w:p>
    <w:p>
      <w:pPr>
        <w:numPr>
          <w:ilvl w:val="0"/>
          <w:numId w:val="12"/>
        </w:numPr>
        <w:tabs>
          <w:tab w:val="left" w:pos="539"/>
        </w:tabs>
        <w:spacing w:before="120"/>
        <w:ind w:left="538" w:hanging="357"/>
      </w:pPr>
      <w:r>
        <w:t>рабочее давление;</w:t>
      </w:r>
    </w:p>
    <w:p>
      <w:pPr>
        <w:numPr>
          <w:ilvl w:val="0"/>
          <w:numId w:val="12"/>
        </w:numPr>
        <w:tabs>
          <w:tab w:val="left" w:pos="539"/>
        </w:tabs>
        <w:spacing w:before="120"/>
        <w:ind w:left="538" w:hanging="357"/>
      </w:pPr>
      <w:r>
        <w:t xml:space="preserve">температуру окружающей </w:t>
      </w:r>
      <w:r>
        <w:rPr>
          <w:rFonts w:eastAsia="PMingLiU"/>
          <w:szCs w:val="22"/>
          <w:lang w:eastAsia="en-US"/>
        </w:rPr>
        <w:t>среды</w:t>
      </w:r>
      <w:r>
        <w:t xml:space="preserve"> (климатическое исполнение);</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температуру рабочей среды;</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параметры окружающей среды и внешних воздействий;</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парциальное давление H</w:t>
      </w:r>
      <w:r>
        <w:rPr>
          <w:rFonts w:ascii="Times New Roman" w:hAnsi="Times New Roman"/>
          <w:sz w:val="24"/>
          <w:vertAlign w:val="subscript"/>
        </w:rPr>
        <w:t>2</w:t>
      </w:r>
      <w:r>
        <w:rPr>
          <w:rFonts w:ascii="Times New Roman" w:hAnsi="Times New Roman"/>
          <w:sz w:val="24"/>
        </w:rPr>
        <w:t>S;</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химический состав и свойства рабочей среды (коррозионная активность, взрывоопасность; наличие примесей, приводящих к эрозионному износу);</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свойства материала для конкретных требуемых условий эксплуатации и испытаний.</w:t>
      </w:r>
    </w:p>
    <w:p>
      <w:pPr>
        <w:tabs>
          <w:tab w:val="left" w:pos="1276"/>
        </w:tabs>
        <w:ind w:right="104"/>
      </w:pPr>
    </w:p>
    <w:p>
      <w:pPr>
        <w:tabs>
          <w:tab w:val="left" w:pos="1276"/>
        </w:tabs>
        <w:ind w:right="-1"/>
        <w:rPr>
          <w:rFonts w:eastAsia="PMingLiU"/>
          <w:lang w:eastAsia="en-US"/>
        </w:rPr>
      </w:pPr>
      <w:r>
        <w:rPr>
          <w:rFonts w:eastAsia="PMingLiU"/>
          <w:lang w:eastAsia="en-US"/>
        </w:rPr>
        <w:t>Скорость общей коррозии деталей крана шарового и сварных швов при воздействии рабочей среды и внешних факторов должна быть:</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для металла корпусных деталей – не более 0,5 мм/год;</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для металлов и сплавов деталей с механически обработанными направляющими и уплотнительными поверхностями – не более 0,05 мм/год.</w:t>
      </w:r>
    </w:p>
    <w:p>
      <w:pPr>
        <w:tabs>
          <w:tab w:val="left" w:pos="993"/>
          <w:tab w:val="left" w:pos="1134"/>
        </w:tabs>
        <w:ind w:right="104"/>
      </w:pPr>
    </w:p>
    <w:p>
      <w:pPr>
        <w:tabs>
          <w:tab w:val="left" w:pos="1276"/>
        </w:tabs>
        <w:ind w:right="-1"/>
      </w:pPr>
      <w:r>
        <w:t xml:space="preserve">Скорость общей коррозии деталей </w:t>
      </w:r>
      <w:r>
        <w:rPr>
          <w:rFonts w:eastAsia="PMingLiU"/>
          <w:lang w:eastAsia="en-US"/>
        </w:rPr>
        <w:t>крана шарового</w:t>
      </w:r>
      <w:r>
        <w:t xml:space="preserve"> и сварных швов должна определяться в соответствии с </w:t>
      </w:r>
      <w:hyperlink w:anchor="_ПРИЛОЖЕНИЕ_3._МЕТОДИКА" w:history="1">
        <w:r>
          <w:rPr>
            <w:rStyle w:val="a6"/>
          </w:rPr>
          <w:t>Приложением 3</w:t>
        </w:r>
      </w:hyperlink>
      <w:r>
        <w:t xml:space="preserve"> настоящих Методических указаний.</w:t>
      </w:r>
    </w:p>
    <w:p>
      <w:pPr>
        <w:tabs>
          <w:tab w:val="left" w:pos="1276"/>
        </w:tabs>
        <w:ind w:right="-1"/>
      </w:pPr>
      <w:r>
        <w:lastRenderedPageBreak/>
        <w:t xml:space="preserve">Перечень испытаний материалов основных сборочных единиц и деталей </w:t>
      </w:r>
      <w:r>
        <w:rPr>
          <w:rFonts w:eastAsia="PMingLiU"/>
          <w:lang w:eastAsia="en-US"/>
        </w:rPr>
        <w:t>крана шарового</w:t>
      </w:r>
      <w:r>
        <w:t xml:space="preserve"> в соответствии с</w:t>
      </w:r>
      <w:hyperlink w:anchor="_ПРИЛОЖЕНИЕ_5._ПЕРЕЧЕНЬ" w:history="1">
        <w:r>
          <w:rPr>
            <w:rStyle w:val="a6"/>
          </w:rPr>
          <w:t xml:space="preserve"> Приложением 4</w:t>
        </w:r>
      </w:hyperlink>
      <w:r>
        <w:t xml:space="preserve"> настоящих Методических указаний.</w:t>
      </w:r>
    </w:p>
    <w:p>
      <w:pPr>
        <w:tabs>
          <w:tab w:val="left" w:pos="1276"/>
        </w:tabs>
        <w:ind w:right="-1"/>
      </w:pPr>
    </w:p>
    <w:p>
      <w:pPr>
        <w:tabs>
          <w:tab w:val="left" w:pos="1276"/>
        </w:tabs>
        <w:ind w:right="-1"/>
      </w:pPr>
      <w:r>
        <w:t xml:space="preserve">Поковки, штамповки и заготовки из проката, предназначенные для изготовления основных деталей </w:t>
      </w:r>
      <w:r>
        <w:rPr>
          <w:rFonts w:eastAsia="PMingLiU"/>
          <w:lang w:eastAsia="en-US"/>
        </w:rPr>
        <w:t>крана шарового</w:t>
      </w:r>
      <w:r>
        <w:t>, работающей при давлении PN ≥ 10,0 МПа подлежат обязательному контролю УЗК в объеме 100 %, а при PN &lt; 10,0 МПа УЗК проводится по требованию КД.</w:t>
      </w:r>
    </w:p>
    <w:p>
      <w:pPr>
        <w:tabs>
          <w:tab w:val="left" w:pos="1276"/>
        </w:tabs>
        <w:ind w:right="-1"/>
      </w:pPr>
    </w:p>
    <w:p>
      <w:pPr>
        <w:tabs>
          <w:tab w:val="left" w:pos="1276"/>
        </w:tabs>
        <w:ind w:right="-1"/>
      </w:pPr>
      <w:r>
        <w:t>Металл литых деталей кранов, а также поковок, штамповок необходимо подвергать контролю загрязненности неметаллическими включениями. Наличие неметаллических включений (оксиды, сульфиды, силикаты) определяется методом К или Ш по ГОСТ</w:t>
      </w:r>
      <w:r>
        <w:rPr>
          <w:lang w:val="en-US"/>
        </w:rPr>
        <w:t> </w:t>
      </w:r>
      <w:r>
        <w:t>1778 от каждой плавки. Фактические результаты контроля загрязненности неметаллическими включениями заносятся в сертификат.</w:t>
      </w:r>
    </w:p>
    <w:p>
      <w:pPr>
        <w:tabs>
          <w:tab w:val="left" w:pos="1276"/>
        </w:tabs>
        <w:ind w:right="-1"/>
      </w:pPr>
    </w:p>
    <w:p>
      <w:pPr>
        <w:tabs>
          <w:tab w:val="left" w:pos="1276"/>
        </w:tabs>
        <w:ind w:right="-1"/>
      </w:pPr>
      <w:r>
        <w:t xml:space="preserve">Размер зерна литых деталей </w:t>
      </w:r>
      <w:r>
        <w:rPr>
          <w:rFonts w:eastAsia="PMingLiU"/>
          <w:lang w:eastAsia="en-US"/>
        </w:rPr>
        <w:t>крана шарового</w:t>
      </w:r>
      <w:r>
        <w:t xml:space="preserve"> – не крупнее номера 3 по ГОСТ</w:t>
      </w:r>
      <w:r>
        <w:rPr>
          <w:lang w:val="en-US"/>
        </w:rPr>
        <w:t> </w:t>
      </w:r>
      <w:r>
        <w:t>5639.</w:t>
      </w:r>
    </w:p>
    <w:p>
      <w:pPr>
        <w:tabs>
          <w:tab w:val="left" w:pos="1276"/>
        </w:tabs>
        <w:ind w:right="-1"/>
      </w:pPr>
    </w:p>
    <w:p>
      <w:pPr>
        <w:tabs>
          <w:tab w:val="left" w:pos="1276"/>
        </w:tabs>
        <w:ind w:right="-1"/>
        <w:rPr>
          <w:rFonts w:eastAsia="PMingLiU"/>
        </w:rPr>
      </w:pPr>
      <w:r>
        <w:rPr>
          <w:rFonts w:eastAsia="PMingLiU"/>
        </w:rPr>
        <w:t>Значение С</w:t>
      </w:r>
      <w:r>
        <w:rPr>
          <w:rFonts w:eastAsia="PMingLiU"/>
          <w:vertAlign w:val="subscript"/>
        </w:rPr>
        <w:t>экв</w:t>
      </w:r>
      <w:r>
        <w:rPr>
          <w:rFonts w:eastAsia="PMingLiU"/>
        </w:rPr>
        <w:t xml:space="preserve"> для материалов патрубков корпусов крана шарового (ответных фланцев), катушек, предназначенных под приварку к трубопроводу, не должно превышать 0,43 и рассчитывается по формуле:</w:t>
      </w:r>
    </w:p>
    <w:p>
      <w:pPr>
        <w:tabs>
          <w:tab w:val="left" w:pos="1276"/>
        </w:tabs>
        <w:ind w:right="-1"/>
        <w:rPr>
          <w:rFonts w:eastAsia="PMingLiU"/>
        </w:rPr>
      </w:pPr>
    </w:p>
    <w:p>
      <w:pPr>
        <w:shd w:val="clear" w:color="auto" w:fill="FFFFFF"/>
        <w:ind w:left="600" w:right="97"/>
        <w:jc w:val="center"/>
      </w:pPr>
      <w:r>
        <w:rPr>
          <w:noProof/>
          <w:position w:val="-24"/>
        </w:rPr>
        <w:object w:dxaOrig="46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8pt;height:30.7pt" o:ole="">
            <v:imagedata r:id="rId35" o:title=""/>
          </v:shape>
          <o:OLEObject Type="Embed" ProgID="Equation.3" ShapeID="_x0000_i1025" DrawAspect="Content" ObjectID="_1601706638" r:id="rId36"/>
        </w:object>
      </w:r>
      <w:r>
        <w:t>,</w:t>
      </w:r>
      <w:r>
        <w:tab/>
      </w:r>
      <w:r>
        <w:tab/>
      </w:r>
      <w:r>
        <w:tab/>
        <w:t>(1)</w:t>
      </w:r>
    </w:p>
    <w:p>
      <w:pPr>
        <w:shd w:val="clear" w:color="auto" w:fill="FFFFFF"/>
      </w:pPr>
    </w:p>
    <w:p>
      <w:pPr>
        <w:shd w:val="clear" w:color="auto" w:fill="FFFFFF"/>
        <w:spacing w:before="120"/>
        <w:ind w:left="567"/>
      </w:pPr>
      <w:r>
        <w:t>где:</w:t>
      </w:r>
    </w:p>
    <w:p>
      <w:pPr>
        <w:shd w:val="clear" w:color="auto" w:fill="FFFFFF"/>
        <w:spacing w:before="120"/>
        <w:ind w:left="567"/>
      </w:pPr>
      <w:r>
        <w:t>(Cu) – медь;</w:t>
      </w:r>
    </w:p>
    <w:p>
      <w:pPr>
        <w:shd w:val="clear" w:color="auto" w:fill="FFFFFF"/>
        <w:spacing w:before="120"/>
        <w:ind w:left="567"/>
      </w:pPr>
      <w:r>
        <w:t>(</w:t>
      </w:r>
      <w:r>
        <w:rPr>
          <w:lang w:val="es-ES"/>
        </w:rPr>
        <w:t>Ni</w:t>
      </w:r>
      <w:r>
        <w:t>) – никель;</w:t>
      </w:r>
    </w:p>
    <w:p>
      <w:pPr>
        <w:shd w:val="clear" w:color="auto" w:fill="FFFFFF"/>
        <w:spacing w:before="120"/>
        <w:ind w:left="567"/>
      </w:pPr>
      <w:r>
        <w:t>(С</w:t>
      </w:r>
      <w:r>
        <w:rPr>
          <w:lang w:val="es-ES"/>
        </w:rPr>
        <w:t>r</w:t>
      </w:r>
      <w:r>
        <w:t>) – хром,</w:t>
      </w:r>
    </w:p>
    <w:p>
      <w:pPr>
        <w:shd w:val="clear" w:color="auto" w:fill="FFFFFF"/>
        <w:spacing w:before="120"/>
        <w:ind w:left="567"/>
      </w:pPr>
      <w:r>
        <w:t>при расчете (С</w:t>
      </w:r>
      <w:r>
        <w:rPr>
          <w:vertAlign w:val="subscript"/>
        </w:rPr>
        <w:t>экв</w:t>
      </w:r>
      <w:r>
        <w:t>) не учитывать, если их суммарное содержание не превышает 0,20 %.</w:t>
      </w:r>
    </w:p>
    <w:p>
      <w:pPr>
        <w:shd w:val="clear" w:color="auto" w:fill="FFFFFF"/>
        <w:spacing w:before="24" w:after="24" w:line="336" w:lineRule="atLeast"/>
        <w:rPr>
          <w:sz w:val="21"/>
          <w:szCs w:val="21"/>
        </w:rPr>
      </w:pPr>
    </w:p>
    <w:p>
      <w:pPr>
        <w:tabs>
          <w:tab w:val="left" w:pos="1276"/>
        </w:tabs>
        <w:ind w:right="-1"/>
        <w:rPr>
          <w:rFonts w:eastAsia="PMingLiU"/>
        </w:rPr>
      </w:pPr>
      <w:r>
        <w:rPr>
          <w:rFonts w:eastAsia="PMingLiU"/>
        </w:rPr>
        <w:t>Для углеродистых марок сталей (сталь 10, 20) и низколегированных сталей только с кремнемарганцевой системой легирования (17ГС, 17Г1С, 09Г2С).</w:t>
      </w:r>
    </w:p>
    <w:p>
      <w:pPr>
        <w:tabs>
          <w:tab w:val="left" w:pos="1276"/>
        </w:tabs>
        <w:ind w:right="-1"/>
        <w:rPr>
          <w:rFonts w:eastAsia="PMingLiU"/>
        </w:rPr>
      </w:pPr>
    </w:p>
    <w:p>
      <w:pPr>
        <w:tabs>
          <w:tab w:val="left" w:pos="1276"/>
        </w:tabs>
        <w:ind w:right="-1"/>
        <w:jc w:val="left"/>
      </w:pPr>
      <w:r>
        <w:rPr>
          <w:noProof/>
        </w:rPr>
        <w:tab/>
      </w:r>
      <w:r>
        <w:rPr>
          <w:noProof/>
        </w:rPr>
        <w:tab/>
      </w:r>
      <w:r>
        <w:rPr>
          <w:noProof/>
        </w:rPr>
        <w:tab/>
      </w:r>
      <w:r>
        <w:rPr>
          <w:noProof/>
        </w:rPr>
        <w:tab/>
      </w:r>
      <w:r>
        <w:rPr>
          <w:noProof/>
        </w:rPr>
        <w:tab/>
      </w:r>
      <w:r>
        <w:rPr>
          <w:noProof/>
          <w:position w:val="-24"/>
        </w:rPr>
        <w:object w:dxaOrig="2160" w:dyaOrig="620">
          <v:shape id="_x0000_i1026" type="#_x0000_t75" style="width:108.3pt;height:30.7pt" o:ole="">
            <v:imagedata r:id="rId37" o:title=""/>
          </v:shape>
          <o:OLEObject Type="Embed" ProgID="Equation.3" ShapeID="_x0000_i1026" DrawAspect="Content" ObjectID="_1601706639" r:id="rId38"/>
        </w:object>
      </w:r>
      <w:r>
        <w:rPr>
          <w:noProof/>
        </w:rPr>
        <w:tab/>
      </w:r>
      <w:r>
        <w:rPr>
          <w:noProof/>
        </w:rPr>
        <w:tab/>
      </w:r>
      <w:r>
        <w:rPr>
          <w:noProof/>
        </w:rPr>
        <w:tab/>
      </w:r>
      <w:r>
        <w:rPr>
          <w:noProof/>
        </w:rPr>
        <w:tab/>
        <w:t>(2)</w:t>
      </w:r>
    </w:p>
    <w:p>
      <w:pPr>
        <w:shd w:val="clear" w:color="auto" w:fill="FFFFFF" w:themeFill="background1"/>
        <w:tabs>
          <w:tab w:val="left" w:pos="993"/>
          <w:tab w:val="left" w:pos="1134"/>
          <w:tab w:val="left" w:pos="1276"/>
        </w:tabs>
        <w:ind w:right="104"/>
      </w:pPr>
    </w:p>
    <w:p>
      <w:pPr>
        <w:tabs>
          <w:tab w:val="left" w:pos="1276"/>
        </w:tabs>
        <w:ind w:right="-1"/>
      </w:pPr>
      <w:r>
        <w:t>Расчетное значение С</w:t>
      </w:r>
      <w:r>
        <w:rPr>
          <w:vertAlign w:val="subscript"/>
        </w:rPr>
        <w:t>экв</w:t>
      </w:r>
      <w:r>
        <w:t xml:space="preserve"> должно указываться на патрубках корпусов </w:t>
      </w:r>
      <w:r>
        <w:rPr>
          <w:rFonts w:eastAsia="PMingLiU"/>
          <w:lang w:eastAsia="en-US"/>
        </w:rPr>
        <w:t>крана шарового</w:t>
      </w:r>
      <w:r>
        <w:t xml:space="preserve"> (ответных фланцев), катушек, предназначенных под приварку к трубопроводу, любым способом, обеспечивающим сохранность маркировки (например, несмываемой краской), а так же должно указываться в паспорте.</w:t>
      </w:r>
    </w:p>
    <w:p>
      <w:pPr>
        <w:tabs>
          <w:tab w:val="left" w:pos="1276"/>
        </w:tabs>
        <w:ind w:right="-1"/>
      </w:pPr>
    </w:p>
    <w:p>
      <w:pPr>
        <w:tabs>
          <w:tab w:val="left" w:pos="1276"/>
        </w:tabs>
        <w:ind w:right="-1"/>
      </w:pPr>
      <w:r>
        <w:t xml:space="preserve">Основные детали </w:t>
      </w:r>
      <w:r>
        <w:rPr>
          <w:rFonts w:eastAsia="PMingLiU"/>
          <w:lang w:eastAsia="en-US"/>
        </w:rPr>
        <w:t>крана шарового</w:t>
      </w:r>
      <w:r>
        <w:t xml:space="preserve"> должны подвергаться термообработке. Требования к термообработке в соответствии с разделом 6 ГОСТ</w:t>
      </w:r>
      <w:r>
        <w:rPr>
          <w:lang w:val="en-US"/>
        </w:rPr>
        <w:t> </w:t>
      </w:r>
      <w:r>
        <w:t>33260-2015.</w:t>
      </w:r>
    </w:p>
    <w:p>
      <w:pPr>
        <w:tabs>
          <w:tab w:val="left" w:pos="1276"/>
        </w:tabs>
        <w:ind w:right="-1"/>
      </w:pPr>
    </w:p>
    <w:p>
      <w:pPr>
        <w:tabs>
          <w:tab w:val="left" w:pos="1276"/>
        </w:tabs>
        <w:ind w:right="-1"/>
      </w:pPr>
      <w:r>
        <w:t xml:space="preserve">После термообработки материалы основных деталей </w:t>
      </w:r>
      <w:r>
        <w:rPr>
          <w:rFonts w:eastAsia="PMingLiU"/>
          <w:lang w:eastAsia="en-US"/>
        </w:rPr>
        <w:t>крана шарового</w:t>
      </w:r>
      <w:r>
        <w:t xml:space="preserve"> должны иметь следующую твердость:</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твердость низкоуглеродистой стали должна быть не более 200 HV10;</w:t>
      </w:r>
    </w:p>
    <w:p>
      <w:pPr>
        <w:numPr>
          <w:ilvl w:val="0"/>
          <w:numId w:val="12"/>
        </w:numPr>
        <w:tabs>
          <w:tab w:val="left" w:pos="539"/>
        </w:tabs>
        <w:spacing w:before="120"/>
        <w:ind w:left="538" w:hanging="357"/>
      </w:pPr>
      <w:r>
        <w:t>твердость низколегированной стали должна быть не более 240 HV10.</w:t>
      </w:r>
    </w:p>
    <w:p>
      <w:pPr>
        <w:shd w:val="clear" w:color="auto" w:fill="FFFFFF" w:themeFill="background1"/>
        <w:tabs>
          <w:tab w:val="left" w:pos="993"/>
          <w:tab w:val="left" w:pos="1134"/>
          <w:tab w:val="left" w:pos="1276"/>
        </w:tabs>
        <w:ind w:right="104"/>
        <w:rPr>
          <w:color w:val="000000"/>
        </w:rPr>
      </w:pPr>
    </w:p>
    <w:p>
      <w:pPr>
        <w:tabs>
          <w:tab w:val="left" w:pos="1276"/>
        </w:tabs>
        <w:ind w:right="-1"/>
      </w:pPr>
      <w:r>
        <w:lastRenderedPageBreak/>
        <w:t>Значения твердости приведены в соответствии с ГОСТ</w:t>
      </w:r>
      <w:r>
        <w:rPr>
          <w:lang w:val="en-US"/>
        </w:rPr>
        <w:t> </w:t>
      </w:r>
      <w:r>
        <w:t>Р</w:t>
      </w:r>
      <w:r>
        <w:rPr>
          <w:lang w:val="en-US"/>
        </w:rPr>
        <w:t> </w:t>
      </w:r>
      <w:r>
        <w:t>55020. Допускается производить измерение твердости материала корпусных деталей методом Бринелля (НВ) по ГОСТ</w:t>
      </w:r>
      <w:r>
        <w:rPr>
          <w:lang w:val="en-US"/>
        </w:rPr>
        <w:t> </w:t>
      </w:r>
      <w:r>
        <w:t>9012 шариком 5 мм.</w:t>
      </w:r>
    </w:p>
    <w:p>
      <w:pPr>
        <w:tabs>
          <w:tab w:val="left" w:pos="1276"/>
        </w:tabs>
        <w:ind w:right="-1"/>
      </w:pPr>
    </w:p>
    <w:p>
      <w:pPr>
        <w:tabs>
          <w:tab w:val="left" w:pos="1276"/>
        </w:tabs>
        <w:ind w:right="-1"/>
      </w:pPr>
      <w:r>
        <w:t>Измерение твердости не должно вести к порче рабочих поверхностей деталей, влияющих на работоспособность изделия. Если измерение твердости невозможно без повреждения рабочих поверхностей, допускается проводить проверку на образце-свидетеле из того же материала, что и детали, прошедшем термическую обработку одновременно с деталью.</w:t>
      </w:r>
    </w:p>
    <w:p>
      <w:pPr>
        <w:tabs>
          <w:tab w:val="left" w:pos="1276"/>
        </w:tabs>
        <w:ind w:right="-1"/>
      </w:pPr>
    </w:p>
    <w:p>
      <w:pPr>
        <w:tabs>
          <w:tab w:val="left" w:pos="1276"/>
        </w:tabs>
        <w:ind w:right="-1"/>
      </w:pPr>
      <w:r>
        <w:t xml:space="preserve">Испытание на ударную вязкость металла основных деталей </w:t>
      </w:r>
      <w:r>
        <w:rPr>
          <w:rFonts w:eastAsia="PMingLiU"/>
          <w:lang w:eastAsia="en-US"/>
        </w:rPr>
        <w:t>крана шарового</w:t>
      </w:r>
      <w:r>
        <w:t xml:space="preserve"> производить по ГОСТ</w:t>
      </w:r>
      <w:r>
        <w:rPr>
          <w:lang w:val="en-US"/>
        </w:rPr>
        <w:t> </w:t>
      </w:r>
      <w:r>
        <w:t>9454 на поперечных образцах типа 11 с V – образным надрезом. Требования к испытаниям и значение  ударной вязкости для корпусных и крепежных деталей, температура испытаний, должны соответствовать в Таблице П.1 ГОСТ</w:t>
      </w:r>
      <w:r>
        <w:rPr>
          <w:lang w:val="en-US"/>
        </w:rPr>
        <w:t> </w:t>
      </w:r>
      <w:r>
        <w:t xml:space="preserve">33260-2015. </w:t>
      </w:r>
    </w:p>
    <w:p>
      <w:pPr>
        <w:tabs>
          <w:tab w:val="left" w:pos="1276"/>
        </w:tabs>
        <w:ind w:right="-1"/>
      </w:pPr>
    </w:p>
    <w:p>
      <w:pPr>
        <w:tabs>
          <w:tab w:val="left" w:pos="1276"/>
        </w:tabs>
        <w:ind w:right="-1"/>
      </w:pPr>
      <w:r>
        <w:t>Твердость уплотнительных поверхностей шара должна быть больше твердости поверхностей седел с разницей твердостей уплотнительных поверхностей шара и седел корпуса не менее 5</w:t>
      </w:r>
      <w:r>
        <w:rPr>
          <w:lang w:val="en-US"/>
        </w:rPr>
        <w:t> </w:t>
      </w:r>
      <w:r>
        <w:t>НRC.</w:t>
      </w:r>
    </w:p>
    <w:p>
      <w:pPr>
        <w:shd w:val="clear" w:color="auto" w:fill="FFFFFF" w:themeFill="background1"/>
        <w:tabs>
          <w:tab w:val="left" w:pos="993"/>
          <w:tab w:val="left" w:pos="1134"/>
          <w:tab w:val="left" w:pos="1276"/>
        </w:tabs>
        <w:ind w:right="104"/>
      </w:pPr>
    </w:p>
    <w:p>
      <w:pPr>
        <w:tabs>
          <w:tab w:val="left" w:pos="1276"/>
        </w:tabs>
        <w:ind w:right="-1"/>
      </w:pPr>
      <w:r>
        <w:t xml:space="preserve">В случае, если материал седла корпуса </w:t>
      </w:r>
      <w:r>
        <w:rPr>
          <w:rFonts w:eastAsia="PMingLiU"/>
          <w:lang w:eastAsia="en-US"/>
        </w:rPr>
        <w:t>крана шарового</w:t>
      </w:r>
      <w:r>
        <w:t xml:space="preserve"> и контактирующая с ним деталь узла затвора не обеспечивает указанную скорость коррозии и требуемую износостойкость, то в КД на кран, предусмотреть наплавку уплотнительных поверхностей коррозионностойкими и износостойкими сплавами. Технологические указания по наплавке, марка наплавочного материала, контроль качества и нормы оценки качества наплавленных поверхностей должны соответствовать СТ ЦКБА 053.</w:t>
      </w:r>
    </w:p>
    <w:p>
      <w:pPr>
        <w:tabs>
          <w:tab w:val="left" w:pos="1276"/>
        </w:tabs>
        <w:ind w:right="-1"/>
      </w:pPr>
    </w:p>
    <w:p>
      <w:pPr>
        <w:tabs>
          <w:tab w:val="left" w:pos="1276"/>
        </w:tabs>
        <w:ind w:right="-1"/>
      </w:pPr>
      <w:r>
        <w:t>Контроль наплавленных поверхностей следует проводить до и после механической обработки.</w:t>
      </w:r>
    </w:p>
    <w:p>
      <w:pPr>
        <w:tabs>
          <w:tab w:val="left" w:pos="1276"/>
        </w:tabs>
        <w:ind w:right="-1"/>
      </w:pPr>
    </w:p>
    <w:p>
      <w:pPr>
        <w:tabs>
          <w:tab w:val="left" w:pos="1276"/>
        </w:tabs>
        <w:ind w:right="-1"/>
      </w:pPr>
      <w:r>
        <w:t>После механической обработки наплавленные поверхности должны быть подвергнуты визуальному, измерительному и ПВК, испытанию твердости, а также, в сборе в изделии, на герметичность.</w:t>
      </w:r>
    </w:p>
    <w:p>
      <w:pPr>
        <w:tabs>
          <w:tab w:val="left" w:pos="1276"/>
        </w:tabs>
        <w:ind w:right="-1"/>
      </w:pPr>
    </w:p>
    <w:p>
      <w:pPr>
        <w:tabs>
          <w:tab w:val="left" w:pos="1276"/>
        </w:tabs>
        <w:ind w:right="-1"/>
      </w:pPr>
      <w:r>
        <w:t>Контроль качества наплавки капиллярным методом следует производить по ГОСТ 18442, измерение твердости по ГОСТ</w:t>
      </w:r>
      <w:r>
        <w:rPr>
          <w:lang w:val="en-US"/>
        </w:rPr>
        <w:t> </w:t>
      </w:r>
      <w:r>
        <w:t>9013.</w:t>
      </w:r>
    </w:p>
    <w:p>
      <w:pPr>
        <w:tabs>
          <w:tab w:val="left" w:pos="1276"/>
        </w:tabs>
        <w:ind w:right="-1"/>
      </w:pPr>
    </w:p>
    <w:p>
      <w:pPr>
        <w:tabs>
          <w:tab w:val="left" w:pos="1276"/>
        </w:tabs>
        <w:ind w:right="-1"/>
      </w:pPr>
      <w:r>
        <w:t xml:space="preserve">Шпиндель </w:t>
      </w:r>
      <w:r>
        <w:rPr>
          <w:rFonts w:eastAsia="PMingLiU"/>
          <w:lang w:eastAsia="en-US"/>
        </w:rPr>
        <w:t>крана шарового</w:t>
      </w:r>
      <w:r>
        <w:t xml:space="preserve"> должен изготавливаться из стали стойкой к коррозии, с выполнением испытаний по ударной вязкости согласно требованиям настоящих Методических указаний, с пределом текучести не менее 550 МПа.</w:t>
      </w:r>
    </w:p>
    <w:p/>
    <w:p>
      <w:pPr>
        <w:tabs>
          <w:tab w:val="left" w:pos="1276"/>
        </w:tabs>
        <w:ind w:right="-1"/>
      </w:pPr>
      <w:r>
        <w:t xml:space="preserve">Материалы крепежных деталей для сборки основных деталей </w:t>
      </w:r>
      <w:r>
        <w:rPr>
          <w:rFonts w:eastAsia="PMingLiU"/>
          <w:lang w:eastAsia="en-US"/>
        </w:rPr>
        <w:t>крана шарового</w:t>
      </w:r>
      <w:r>
        <w:t xml:space="preserve"> должны выбираться с коэффициентом линейного расширения, близким по значению коэффициенту линейного расширения материала собираемых (стыкуемых) между собой деталей. Разница в значениях коэффициентов линейного расширения не должна превышать 10 %.</w:t>
      </w:r>
    </w:p>
    <w:p>
      <w:pPr>
        <w:shd w:val="clear" w:color="auto" w:fill="FFFFFF" w:themeFill="background1"/>
        <w:tabs>
          <w:tab w:val="left" w:pos="993"/>
          <w:tab w:val="left" w:pos="1134"/>
          <w:tab w:val="left" w:pos="1276"/>
        </w:tabs>
        <w:ind w:right="104"/>
      </w:pPr>
    </w:p>
    <w:p>
      <w:pPr>
        <w:tabs>
          <w:tab w:val="left" w:pos="1276"/>
        </w:tabs>
        <w:ind w:right="-1"/>
      </w:pPr>
      <w:r>
        <w:t>В соответствии с ГОСТ</w:t>
      </w:r>
      <w:r>
        <w:rPr>
          <w:lang w:val="en-US"/>
        </w:rPr>
        <w:t> </w:t>
      </w:r>
      <w:r>
        <w:t>Р</w:t>
      </w:r>
      <w:r>
        <w:rPr>
          <w:lang w:val="en-US"/>
        </w:rPr>
        <w:t> </w:t>
      </w:r>
      <w:r>
        <w:t>56001, гайки и шпильки для соединений, работающих под давлением, должны изготавливаться из сталей с разной твердостью так, чтобы твердость гаек была ниже твердости шпилек не менее чем на 15</w:t>
      </w:r>
      <w:r>
        <w:rPr>
          <w:lang w:val="en-US"/>
        </w:rPr>
        <w:t> </w:t>
      </w:r>
      <w:r>
        <w:t>НВ.</w:t>
      </w:r>
    </w:p>
    <w:p>
      <w:pPr>
        <w:pStyle w:val="a7"/>
        <w:widowControl w:val="0"/>
        <w:tabs>
          <w:tab w:val="left" w:pos="1134"/>
          <w:tab w:val="left" w:pos="1276"/>
        </w:tabs>
        <w:spacing w:after="0"/>
        <w:ind w:right="103"/>
      </w:pPr>
    </w:p>
    <w:p>
      <w:pPr>
        <w:tabs>
          <w:tab w:val="left" w:pos="1276"/>
        </w:tabs>
        <w:ind w:right="-1"/>
      </w:pPr>
      <w:r>
        <w:t xml:space="preserve">Материалы, применяемые для изготовления сварных соединений арматуры, должны обеспечивать ее надежную работу в течение срока службы, с учетом заданных условий эксплуатации (рабочее давление, минимальная отрицательная и максимальная расчетная </w:t>
      </w:r>
      <w:r>
        <w:lastRenderedPageBreak/>
        <w:t xml:space="preserve">температура), состава и характера среды (коррозионная активность, взрывоопасность, токсичность и др.) и влияния температуры окружающего воздуха. Допустимое содержание массовых долей ряда химических элементов в основных деталях </w:t>
      </w:r>
      <w:r>
        <w:rPr>
          <w:rFonts w:eastAsia="PMingLiU"/>
          <w:lang w:eastAsia="en-US"/>
        </w:rPr>
        <w:t>крана шарового</w:t>
      </w:r>
      <w:r>
        <w:t>, работающего под давлением, указано в Таблице 6.</w:t>
      </w:r>
    </w:p>
    <w:p>
      <w:pPr>
        <w:tabs>
          <w:tab w:val="left" w:pos="1276"/>
        </w:tabs>
        <w:ind w:right="-1"/>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6</w:t>
      </w:r>
      <w:r>
        <w:rPr>
          <w:rFonts w:ascii="Arial" w:eastAsia="Times New Roman" w:hAnsi="Arial"/>
          <w:b/>
          <w:sz w:val="20"/>
        </w:rPr>
        <w:fldChar w:fldCharType="end"/>
      </w:r>
    </w:p>
    <w:p>
      <w:pPr>
        <w:pStyle w:val="Sd"/>
        <w:spacing w:after="60"/>
        <w:rPr>
          <w:rFonts w:cs="Arial"/>
          <w:szCs w:val="20"/>
        </w:rPr>
      </w:pPr>
      <w:r>
        <w:rPr>
          <w:rFonts w:cs="Arial"/>
          <w:szCs w:val="20"/>
        </w:rPr>
        <w:t>Допустимое содержание массовых долей ряда химических элементов в основных</w:t>
      </w:r>
      <w:r>
        <w:rPr>
          <w:rFonts w:cs="Arial"/>
          <w:szCs w:val="20"/>
        </w:rPr>
        <w:br/>
        <w:t xml:space="preserve">деталях </w:t>
      </w:r>
      <w:r>
        <w:rPr>
          <w:rFonts w:eastAsia="PMingLiU"/>
          <w:lang w:eastAsia="en-US"/>
        </w:rPr>
        <w:t>крана шарового</w:t>
      </w:r>
      <w:r>
        <w:rPr>
          <w:rFonts w:cs="Arial"/>
          <w:szCs w:val="20"/>
        </w:rPr>
        <w:t>, работающего под давлением</w:t>
      </w:r>
    </w:p>
    <w:tbl>
      <w:tblPr>
        <w:tblStyle w:val="Sf8"/>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91"/>
        <w:gridCol w:w="1900"/>
        <w:gridCol w:w="1580"/>
        <w:gridCol w:w="5883"/>
      </w:tblGrid>
      <w:tr>
        <w:trPr>
          <w:cnfStyle w:val="100000000000" w:firstRow="1" w:lastRow="0" w:firstColumn="0" w:lastColumn="0" w:oddVBand="0" w:evenVBand="0" w:oddHBand="0" w:evenHBand="0" w:firstRowFirstColumn="0" w:firstRowLastColumn="0" w:lastRowFirstColumn="0" w:lastRowLastColumn="0"/>
          <w:tblHeader/>
        </w:trPr>
        <w:tc>
          <w:tcPr>
            <w:tcW w:w="249" w:type="pct"/>
            <w:tcBorders>
              <w:top w:val="single" w:sz="12" w:space="0" w:color="auto"/>
              <w:left w:val="single" w:sz="12" w:space="0" w:color="auto"/>
              <w:bottom w:val="single" w:sz="12" w:space="0" w:color="auto"/>
            </w:tcBorders>
            <w:vAlign w:val="center"/>
          </w:tcPr>
          <w:p>
            <w:pPr>
              <w:pStyle w:val="S0"/>
              <w:spacing w:before="20" w:after="20"/>
              <w:jc w:val="center"/>
              <w:rPr>
                <w:rFonts w:ascii="Arial" w:eastAsiaTheme="minorHAnsi" w:hAnsi="Arial" w:cs="Arial"/>
                <w:sz w:val="16"/>
                <w:szCs w:val="16"/>
              </w:rPr>
            </w:pPr>
            <w:r>
              <w:rPr>
                <w:rFonts w:ascii="Arial" w:eastAsiaTheme="minorHAnsi" w:hAnsi="Arial" w:cs="Arial"/>
                <w:sz w:val="16"/>
                <w:szCs w:val="16"/>
              </w:rPr>
              <w:t>№ П/П</w:t>
            </w:r>
          </w:p>
        </w:tc>
        <w:tc>
          <w:tcPr>
            <w:tcW w:w="964" w:type="pct"/>
            <w:tcBorders>
              <w:top w:val="single" w:sz="12" w:space="0" w:color="auto"/>
              <w:bottom w:val="single" w:sz="12" w:space="0" w:color="auto"/>
            </w:tcBorders>
            <w:vAlign w:val="center"/>
          </w:tcPr>
          <w:p>
            <w:pPr>
              <w:pStyle w:val="S0"/>
              <w:spacing w:before="20" w:after="20"/>
              <w:jc w:val="center"/>
              <w:rPr>
                <w:rFonts w:ascii="Arial" w:eastAsiaTheme="minorHAnsi" w:hAnsi="Arial" w:cs="Arial"/>
                <w:sz w:val="16"/>
                <w:szCs w:val="16"/>
              </w:rPr>
            </w:pPr>
            <w:r>
              <w:rPr>
                <w:rFonts w:ascii="Arial" w:eastAsiaTheme="minorHAnsi" w:hAnsi="Arial" w:cs="Arial"/>
                <w:sz w:val="16"/>
                <w:szCs w:val="16"/>
              </w:rPr>
              <w:t>НАИМЕНОВАНИЕ МАТЕРИАЛА</w:t>
            </w:r>
          </w:p>
        </w:tc>
        <w:tc>
          <w:tcPr>
            <w:tcW w:w="802" w:type="pct"/>
            <w:tcBorders>
              <w:top w:val="single" w:sz="12" w:space="0" w:color="auto"/>
              <w:bottom w:val="single" w:sz="12" w:space="0" w:color="auto"/>
            </w:tcBorders>
            <w:vAlign w:val="center"/>
          </w:tcPr>
          <w:p>
            <w:pPr>
              <w:pStyle w:val="S0"/>
              <w:spacing w:before="20" w:after="20"/>
              <w:jc w:val="center"/>
              <w:rPr>
                <w:rFonts w:ascii="Arial" w:eastAsiaTheme="minorHAnsi" w:hAnsi="Arial" w:cs="Arial"/>
                <w:sz w:val="16"/>
                <w:szCs w:val="16"/>
              </w:rPr>
            </w:pPr>
            <w:r>
              <w:rPr>
                <w:rFonts w:ascii="Arial" w:eastAsiaTheme="minorHAnsi" w:hAnsi="Arial" w:cs="Arial"/>
                <w:sz w:val="16"/>
                <w:szCs w:val="16"/>
              </w:rPr>
              <w:t>СОСТАВ РАБОЧЕЙ СРЕДЫ</w:t>
            </w:r>
          </w:p>
        </w:tc>
        <w:tc>
          <w:tcPr>
            <w:tcW w:w="2985" w:type="pct"/>
            <w:tcBorders>
              <w:top w:val="single" w:sz="12" w:space="0" w:color="auto"/>
              <w:bottom w:val="single" w:sz="12" w:space="0" w:color="auto"/>
              <w:right w:val="single" w:sz="12" w:space="0" w:color="auto"/>
            </w:tcBorders>
            <w:vAlign w:val="center"/>
          </w:tcPr>
          <w:p>
            <w:pPr>
              <w:pStyle w:val="S0"/>
              <w:spacing w:before="20" w:after="20"/>
              <w:jc w:val="center"/>
              <w:rPr>
                <w:rFonts w:ascii="Arial" w:eastAsiaTheme="minorHAnsi" w:hAnsi="Arial" w:cs="Arial"/>
                <w:sz w:val="16"/>
                <w:szCs w:val="16"/>
              </w:rPr>
            </w:pPr>
            <w:r>
              <w:rPr>
                <w:rFonts w:ascii="Arial" w:eastAsiaTheme="minorHAnsi" w:hAnsi="Arial" w:cs="Arial"/>
                <w:sz w:val="16"/>
                <w:szCs w:val="16"/>
              </w:rPr>
              <w:t>ПРИМЕЧАНИЕ (РЕКОМЕНДАЦИИ ПО ПРИМЕНЕНИЮ)</w:t>
            </w:r>
          </w:p>
        </w:tc>
      </w:tr>
      <w:tr>
        <w:trPr>
          <w:cnfStyle w:val="100000000000" w:firstRow="1" w:lastRow="0" w:firstColumn="0" w:lastColumn="0" w:oddVBand="0" w:evenVBand="0" w:oddHBand="0" w:evenHBand="0" w:firstRowFirstColumn="0" w:firstRowLastColumn="0" w:lastRowFirstColumn="0" w:lastRowLastColumn="0"/>
          <w:tblHeader/>
        </w:trPr>
        <w:tc>
          <w:tcPr>
            <w:tcW w:w="249" w:type="pct"/>
            <w:tcBorders>
              <w:top w:val="single" w:sz="12" w:space="0" w:color="auto"/>
              <w:left w:val="single" w:sz="12" w:space="0" w:color="auto"/>
              <w:bottom w:val="single" w:sz="12" w:space="0" w:color="auto"/>
            </w:tcBorders>
          </w:tcPr>
          <w:p>
            <w:pPr>
              <w:pStyle w:val="S0"/>
              <w:jc w:val="center"/>
              <w:rPr>
                <w:rFonts w:ascii="Arial" w:eastAsiaTheme="minorHAnsi" w:hAnsi="Arial" w:cs="Arial"/>
                <w:sz w:val="14"/>
                <w:szCs w:val="14"/>
              </w:rPr>
            </w:pPr>
            <w:r>
              <w:rPr>
                <w:rFonts w:ascii="Arial" w:eastAsiaTheme="minorHAnsi" w:hAnsi="Arial" w:cs="Arial"/>
                <w:sz w:val="14"/>
                <w:szCs w:val="14"/>
              </w:rPr>
              <w:t>1</w:t>
            </w:r>
          </w:p>
        </w:tc>
        <w:tc>
          <w:tcPr>
            <w:tcW w:w="964" w:type="pct"/>
            <w:tcBorders>
              <w:top w:val="single" w:sz="12" w:space="0" w:color="auto"/>
              <w:bottom w:val="single" w:sz="12" w:space="0" w:color="auto"/>
            </w:tcBorders>
          </w:tcPr>
          <w:p>
            <w:pPr>
              <w:pStyle w:val="S0"/>
              <w:jc w:val="center"/>
              <w:rPr>
                <w:rFonts w:ascii="Arial" w:eastAsiaTheme="minorHAnsi" w:hAnsi="Arial" w:cs="Arial"/>
                <w:sz w:val="14"/>
                <w:szCs w:val="14"/>
              </w:rPr>
            </w:pPr>
            <w:r>
              <w:rPr>
                <w:rFonts w:ascii="Arial" w:eastAsiaTheme="minorHAnsi" w:hAnsi="Arial" w:cs="Arial"/>
                <w:sz w:val="14"/>
                <w:szCs w:val="14"/>
              </w:rPr>
              <w:t>2</w:t>
            </w:r>
          </w:p>
        </w:tc>
        <w:tc>
          <w:tcPr>
            <w:tcW w:w="802" w:type="pct"/>
            <w:tcBorders>
              <w:top w:val="single" w:sz="12" w:space="0" w:color="auto"/>
              <w:bottom w:val="single" w:sz="12" w:space="0" w:color="auto"/>
            </w:tcBorders>
          </w:tcPr>
          <w:p>
            <w:pPr>
              <w:pStyle w:val="S0"/>
              <w:jc w:val="center"/>
              <w:rPr>
                <w:rFonts w:ascii="Arial" w:eastAsiaTheme="minorHAnsi" w:hAnsi="Arial" w:cs="Arial"/>
                <w:sz w:val="14"/>
                <w:szCs w:val="14"/>
              </w:rPr>
            </w:pPr>
            <w:r>
              <w:rPr>
                <w:rFonts w:ascii="Arial" w:eastAsiaTheme="minorHAnsi" w:hAnsi="Arial" w:cs="Arial"/>
                <w:sz w:val="14"/>
                <w:szCs w:val="14"/>
              </w:rPr>
              <w:t>3</w:t>
            </w:r>
          </w:p>
        </w:tc>
        <w:tc>
          <w:tcPr>
            <w:tcW w:w="2985" w:type="pct"/>
            <w:tcBorders>
              <w:top w:val="single" w:sz="12" w:space="0" w:color="auto"/>
              <w:bottom w:val="single" w:sz="12" w:space="0" w:color="auto"/>
              <w:right w:val="single" w:sz="12" w:space="0" w:color="auto"/>
            </w:tcBorders>
          </w:tcPr>
          <w:p>
            <w:pPr>
              <w:pStyle w:val="S0"/>
              <w:jc w:val="center"/>
              <w:rPr>
                <w:rFonts w:ascii="Arial" w:eastAsiaTheme="minorHAnsi" w:hAnsi="Arial" w:cs="Arial"/>
                <w:sz w:val="14"/>
                <w:szCs w:val="14"/>
              </w:rPr>
            </w:pPr>
            <w:r>
              <w:rPr>
                <w:rFonts w:ascii="Arial" w:eastAsiaTheme="minorHAnsi" w:hAnsi="Arial" w:cs="Arial"/>
                <w:sz w:val="14"/>
                <w:szCs w:val="14"/>
              </w:rPr>
              <w:t>4</w:t>
            </w:r>
          </w:p>
        </w:tc>
      </w:tr>
      <w:tr>
        <w:tc>
          <w:tcPr>
            <w:tcW w:w="249" w:type="pct"/>
            <w:vMerge w:val="restart"/>
            <w:tcBorders>
              <w:top w:val="single" w:sz="12" w:space="0" w:color="auto"/>
            </w:tcBorders>
          </w:tcPr>
          <w:p>
            <w:pPr>
              <w:pStyle w:val="S0"/>
              <w:jc w:val="center"/>
              <w:rPr>
                <w:rFonts w:eastAsiaTheme="minorHAnsi"/>
                <w:sz w:val="20"/>
                <w:szCs w:val="16"/>
              </w:rPr>
            </w:pPr>
            <w:r>
              <w:rPr>
                <w:rFonts w:eastAsiaTheme="minorHAnsi"/>
                <w:sz w:val="20"/>
                <w:szCs w:val="16"/>
              </w:rPr>
              <w:t>1</w:t>
            </w:r>
          </w:p>
        </w:tc>
        <w:tc>
          <w:tcPr>
            <w:tcW w:w="964" w:type="pct"/>
            <w:tcBorders>
              <w:top w:val="single" w:sz="12" w:space="0" w:color="auto"/>
            </w:tcBorders>
          </w:tcPr>
          <w:p>
            <w:pPr>
              <w:pStyle w:val="S0"/>
              <w:jc w:val="left"/>
              <w:rPr>
                <w:rFonts w:eastAsiaTheme="minorHAnsi"/>
                <w:sz w:val="16"/>
              </w:rPr>
            </w:pPr>
            <w:r>
              <w:rPr>
                <w:rFonts w:eastAsiaTheme="minorHAnsi"/>
                <w:color w:val="000000"/>
                <w:sz w:val="20"/>
                <w:szCs w:val="20"/>
              </w:rPr>
              <w:t>Низкоуглеродистая сталь</w:t>
            </w:r>
          </w:p>
        </w:tc>
        <w:tc>
          <w:tcPr>
            <w:tcW w:w="802" w:type="pct"/>
            <w:vMerge w:val="restart"/>
            <w:tcBorders>
              <w:top w:val="single" w:sz="12" w:space="0" w:color="auto"/>
            </w:tcBorders>
          </w:tcPr>
          <w:p>
            <w:pPr>
              <w:pStyle w:val="S0"/>
              <w:jc w:val="left"/>
              <w:rPr>
                <w:rFonts w:eastAsiaTheme="minorEastAsia"/>
                <w:spacing w:val="-3"/>
                <w:sz w:val="20"/>
              </w:rPr>
            </w:pPr>
            <w:r>
              <w:rPr>
                <w:rFonts w:eastAsiaTheme="minorEastAsia"/>
                <w:spacing w:val="-3"/>
                <w:sz w:val="20"/>
              </w:rPr>
              <w:t>При содержании в рабочей среде  P</w:t>
            </w:r>
            <w:r>
              <w:rPr>
                <w:rFonts w:eastAsiaTheme="minorEastAsia"/>
                <w:spacing w:val="-3"/>
                <w:sz w:val="20"/>
                <w:vertAlign w:val="subscript"/>
              </w:rPr>
              <w:t>H2S</w:t>
            </w:r>
            <w:r>
              <w:rPr>
                <w:b/>
                <w:caps/>
                <w:sz w:val="20"/>
                <w:szCs w:val="20"/>
              </w:rPr>
              <w:t> </w:t>
            </w:r>
            <w:r>
              <w:rPr>
                <w:rFonts w:eastAsiaTheme="minorEastAsia"/>
                <w:spacing w:val="-3"/>
                <w:sz w:val="20"/>
              </w:rPr>
              <w:t>&lt;</w:t>
            </w:r>
            <w:r>
              <w:rPr>
                <w:b/>
                <w:caps/>
                <w:sz w:val="20"/>
                <w:szCs w:val="20"/>
              </w:rPr>
              <w:t> </w:t>
            </w:r>
            <w:r>
              <w:rPr>
                <w:rFonts w:eastAsiaTheme="minorEastAsia"/>
                <w:sz w:val="20"/>
              </w:rPr>
              <w:t>300</w:t>
            </w:r>
            <w:r>
              <w:rPr>
                <w:rFonts w:eastAsiaTheme="minorEastAsia"/>
                <w:sz w:val="20"/>
                <w:lang w:val="en-US"/>
              </w:rPr>
              <w:t> </w:t>
            </w:r>
            <w:r>
              <w:rPr>
                <w:rFonts w:eastAsiaTheme="minorEastAsia"/>
                <w:sz w:val="20"/>
              </w:rPr>
              <w:t>Па в газовой фазе</w:t>
            </w:r>
          </w:p>
        </w:tc>
        <w:tc>
          <w:tcPr>
            <w:tcW w:w="2985" w:type="pct"/>
            <w:vMerge w:val="restart"/>
            <w:tcBorders>
              <w:top w:val="single" w:sz="12" w:space="0" w:color="auto"/>
            </w:tcBorders>
          </w:tcPr>
          <w:p>
            <w:pPr>
              <w:pStyle w:val="S0"/>
              <w:jc w:val="left"/>
              <w:rPr>
                <w:rFonts w:ascii="Arial" w:eastAsiaTheme="minorHAnsi" w:hAnsi="Arial" w:cs="Arial"/>
                <w:sz w:val="20"/>
              </w:rPr>
            </w:pPr>
            <w:r>
              <w:rPr>
                <w:rFonts w:eastAsiaTheme="minorEastAsia"/>
                <w:spacing w:val="-3"/>
                <w:sz w:val="20"/>
              </w:rPr>
              <w:t xml:space="preserve">Материалы основных корпусных деталей и деталей узла затвора крана шарового должны соответствовать </w:t>
            </w:r>
            <w:r>
              <w:rPr>
                <w:rFonts w:eastAsiaTheme="minorEastAsia"/>
                <w:spacing w:val="-3"/>
                <w:sz w:val="20"/>
              </w:rPr>
              <w:br/>
              <w:t>ГОСТ</w:t>
            </w:r>
            <w:r>
              <w:rPr>
                <w:rFonts w:eastAsiaTheme="minorEastAsia"/>
                <w:spacing w:val="-3"/>
                <w:sz w:val="20"/>
                <w:lang w:val="en-US"/>
              </w:rPr>
              <w:t> </w:t>
            </w:r>
            <w:r>
              <w:rPr>
                <w:rFonts w:eastAsiaTheme="minorEastAsia"/>
                <w:spacing w:val="-3"/>
                <w:sz w:val="20"/>
              </w:rPr>
              <w:t>33260, без специальных требований к стойкости против СКРН</w:t>
            </w:r>
          </w:p>
        </w:tc>
      </w:tr>
      <w:tr>
        <w:tc>
          <w:tcPr>
            <w:tcW w:w="249" w:type="pct"/>
            <w:vMerge/>
          </w:tcPr>
          <w:p>
            <w:pPr>
              <w:pStyle w:val="S0"/>
              <w:jc w:val="center"/>
              <w:rPr>
                <w:rFonts w:eastAsiaTheme="minorHAnsi"/>
                <w:sz w:val="20"/>
                <w:szCs w:val="16"/>
              </w:rPr>
            </w:pPr>
          </w:p>
        </w:tc>
        <w:tc>
          <w:tcPr>
            <w:tcW w:w="964" w:type="pct"/>
          </w:tcPr>
          <w:p>
            <w:pPr>
              <w:pStyle w:val="S11"/>
              <w:jc w:val="left"/>
              <w:rPr>
                <w:rFonts w:ascii="Times New Roman" w:hAnsi="Times New Roman"/>
                <w:b w:val="0"/>
                <w:caps w:val="0"/>
                <w:sz w:val="20"/>
                <w:szCs w:val="20"/>
              </w:rPr>
            </w:pPr>
            <w:r>
              <w:rPr>
                <w:rFonts w:ascii="Times New Roman" w:hAnsi="Times New Roman"/>
                <w:b w:val="0"/>
                <w:caps w:val="0"/>
                <w:sz w:val="20"/>
                <w:szCs w:val="20"/>
              </w:rPr>
              <w:t>Низколегированная</w:t>
            </w:r>
          </w:p>
          <w:p>
            <w:pPr>
              <w:pStyle w:val="S0"/>
              <w:jc w:val="left"/>
              <w:rPr>
                <w:rFonts w:eastAsiaTheme="minorHAnsi"/>
              </w:rPr>
            </w:pPr>
            <w:r>
              <w:rPr>
                <w:sz w:val="20"/>
                <w:szCs w:val="20"/>
              </w:rPr>
              <w:t xml:space="preserve">сталь </w:t>
            </w:r>
          </w:p>
        </w:tc>
        <w:tc>
          <w:tcPr>
            <w:tcW w:w="802" w:type="pct"/>
            <w:vMerge/>
          </w:tcPr>
          <w:p>
            <w:pPr>
              <w:pStyle w:val="S0"/>
              <w:jc w:val="left"/>
              <w:rPr>
                <w:rFonts w:eastAsiaTheme="minorHAnsi"/>
              </w:rPr>
            </w:pPr>
          </w:p>
        </w:tc>
        <w:tc>
          <w:tcPr>
            <w:tcW w:w="2985" w:type="pct"/>
            <w:vMerge/>
          </w:tcPr>
          <w:p>
            <w:pPr>
              <w:pStyle w:val="S0"/>
              <w:jc w:val="left"/>
              <w:rPr>
                <w:rFonts w:eastAsiaTheme="minorHAnsi"/>
              </w:rPr>
            </w:pPr>
          </w:p>
        </w:tc>
      </w:tr>
      <w:tr>
        <w:tc>
          <w:tcPr>
            <w:tcW w:w="249" w:type="pct"/>
            <w:vMerge w:val="restart"/>
          </w:tcPr>
          <w:p>
            <w:pPr>
              <w:pStyle w:val="S0"/>
              <w:jc w:val="center"/>
              <w:rPr>
                <w:rFonts w:eastAsiaTheme="minorHAnsi"/>
                <w:sz w:val="20"/>
                <w:szCs w:val="16"/>
              </w:rPr>
            </w:pPr>
            <w:r>
              <w:rPr>
                <w:rFonts w:eastAsiaTheme="minorHAnsi"/>
                <w:sz w:val="20"/>
                <w:szCs w:val="16"/>
              </w:rPr>
              <w:t>2</w:t>
            </w:r>
          </w:p>
        </w:tc>
        <w:tc>
          <w:tcPr>
            <w:tcW w:w="964" w:type="pct"/>
          </w:tcPr>
          <w:p>
            <w:pPr>
              <w:pStyle w:val="S0"/>
              <w:jc w:val="left"/>
              <w:rPr>
                <w:rFonts w:eastAsiaTheme="minorHAnsi"/>
              </w:rPr>
            </w:pPr>
            <w:r>
              <w:rPr>
                <w:rFonts w:eastAsiaTheme="minorHAnsi"/>
                <w:color w:val="000000"/>
                <w:sz w:val="20"/>
                <w:szCs w:val="20"/>
              </w:rPr>
              <w:t>Низкоуглеродистая сталь</w:t>
            </w:r>
          </w:p>
        </w:tc>
        <w:tc>
          <w:tcPr>
            <w:tcW w:w="802" w:type="pct"/>
            <w:vMerge w:val="restart"/>
          </w:tcPr>
          <w:p>
            <w:pPr>
              <w:pStyle w:val="S11"/>
              <w:jc w:val="left"/>
              <w:rPr>
                <w:rFonts w:ascii="Times New Roman" w:eastAsia="PMingLiU" w:hAnsi="Times New Roman"/>
                <w:b w:val="0"/>
                <w:caps w:val="0"/>
                <w:sz w:val="20"/>
                <w:szCs w:val="20"/>
              </w:rPr>
            </w:pPr>
            <w:r>
              <w:rPr>
                <w:rFonts w:ascii="Times New Roman" w:eastAsia="PMingLiU" w:hAnsi="Times New Roman"/>
                <w:b w:val="0"/>
                <w:caps w:val="0"/>
                <w:sz w:val="20"/>
                <w:szCs w:val="20"/>
              </w:rPr>
              <w:t>При содержании в рабочей среде Р</w:t>
            </w:r>
            <w:r>
              <w:rPr>
                <w:rFonts w:ascii="Times New Roman" w:eastAsia="PMingLiU" w:hAnsi="Times New Roman"/>
                <w:b w:val="0"/>
                <w:caps w:val="0"/>
                <w:sz w:val="20"/>
                <w:szCs w:val="20"/>
                <w:vertAlign w:val="subscript"/>
                <w:lang w:val="en-US"/>
              </w:rPr>
              <w:t>H</w:t>
            </w:r>
            <w:r>
              <w:rPr>
                <w:rFonts w:ascii="Times New Roman" w:eastAsia="PMingLiU" w:hAnsi="Times New Roman"/>
                <w:b w:val="0"/>
                <w:caps w:val="0"/>
                <w:sz w:val="20"/>
                <w:szCs w:val="20"/>
                <w:vertAlign w:val="subscript"/>
              </w:rPr>
              <w:t>2</w:t>
            </w:r>
            <w:r>
              <w:rPr>
                <w:rFonts w:ascii="Times New Roman" w:eastAsia="PMingLiU" w:hAnsi="Times New Roman"/>
                <w:b w:val="0"/>
                <w:caps w:val="0"/>
                <w:sz w:val="20"/>
                <w:szCs w:val="20"/>
                <w:vertAlign w:val="subscript"/>
                <w:lang w:val="en-US"/>
              </w:rPr>
              <w:t>S</w:t>
            </w:r>
            <w:r>
              <w:rPr>
                <w:rFonts w:ascii="Times New Roman" w:hAnsi="Times New Roman"/>
                <w:b w:val="0"/>
                <w:caps w:val="0"/>
                <w:sz w:val="20"/>
                <w:szCs w:val="20"/>
              </w:rPr>
              <w:t> </w:t>
            </w:r>
            <w:r>
              <w:rPr>
                <w:rFonts w:ascii="Times New Roman" w:eastAsia="PMingLiU" w:hAnsi="Times New Roman"/>
                <w:b w:val="0"/>
                <w:caps w:val="0"/>
                <w:sz w:val="20"/>
                <w:szCs w:val="20"/>
              </w:rPr>
              <w:t>≥</w:t>
            </w:r>
            <w:r>
              <w:rPr>
                <w:rFonts w:ascii="Times New Roman" w:hAnsi="Times New Roman"/>
                <w:b w:val="0"/>
                <w:caps w:val="0"/>
                <w:sz w:val="20"/>
                <w:szCs w:val="20"/>
              </w:rPr>
              <w:t> </w:t>
            </w:r>
            <w:r>
              <w:rPr>
                <w:rFonts w:ascii="Times New Roman" w:eastAsia="PMingLiU" w:hAnsi="Times New Roman"/>
                <w:b w:val="0"/>
                <w:caps w:val="0"/>
                <w:sz w:val="20"/>
                <w:szCs w:val="20"/>
              </w:rPr>
              <w:t>300</w:t>
            </w:r>
            <w:r>
              <w:rPr>
                <w:rFonts w:ascii="Times New Roman" w:eastAsia="PMingLiU" w:hAnsi="Times New Roman"/>
                <w:b w:val="0"/>
                <w:caps w:val="0"/>
                <w:sz w:val="20"/>
                <w:szCs w:val="20"/>
                <w:lang w:val="en-US"/>
              </w:rPr>
              <w:t> </w:t>
            </w:r>
            <w:r>
              <w:rPr>
                <w:rFonts w:ascii="Times New Roman" w:eastAsia="PMingLiU" w:hAnsi="Times New Roman"/>
                <w:b w:val="0"/>
                <w:caps w:val="0"/>
                <w:sz w:val="20"/>
                <w:szCs w:val="20"/>
              </w:rPr>
              <w:t>Па в газовой фазе</w:t>
            </w:r>
          </w:p>
        </w:tc>
        <w:tc>
          <w:tcPr>
            <w:tcW w:w="2985" w:type="pct"/>
            <w:vMerge w:val="restart"/>
          </w:tcPr>
          <w:p>
            <w:pPr>
              <w:pStyle w:val="S11"/>
              <w:jc w:val="left"/>
              <w:rPr>
                <w:rFonts w:ascii="Times New Roman" w:eastAsia="PMingLiU" w:hAnsi="Times New Roman"/>
                <w:b w:val="0"/>
                <w:caps w:val="0"/>
                <w:sz w:val="20"/>
                <w:szCs w:val="20"/>
              </w:rPr>
            </w:pPr>
            <w:r>
              <w:rPr>
                <w:rFonts w:ascii="Times New Roman" w:hAnsi="Times New Roman"/>
                <w:b w:val="0"/>
                <w:caps w:val="0"/>
                <w:kern w:val="28"/>
                <w:sz w:val="20"/>
                <w:szCs w:val="20"/>
              </w:rPr>
              <w:t>М</w:t>
            </w:r>
            <w:r>
              <w:rPr>
                <w:rFonts w:ascii="Times New Roman" w:eastAsiaTheme="minorEastAsia" w:hAnsi="Times New Roman"/>
                <w:b w:val="0"/>
                <w:caps w:val="0"/>
                <w:spacing w:val="-3"/>
                <w:sz w:val="20"/>
                <w:szCs w:val="24"/>
              </w:rPr>
              <w:t xml:space="preserve">атериалы основных корпусных деталей и деталей узла затвора </w:t>
            </w:r>
            <w:r>
              <w:rPr>
                <w:rFonts w:ascii="Times New Roman" w:hAnsi="Times New Roman"/>
                <w:b w:val="0"/>
                <w:caps w:val="0"/>
                <w:color w:val="000000"/>
                <w:sz w:val="20"/>
                <w:szCs w:val="20"/>
              </w:rPr>
              <w:t>крана шарового</w:t>
            </w:r>
            <w:r>
              <w:rPr>
                <w:rFonts w:ascii="Times New Roman" w:eastAsiaTheme="minorEastAsia" w:hAnsi="Times New Roman"/>
                <w:b w:val="0"/>
                <w:caps w:val="0"/>
                <w:spacing w:val="-3"/>
                <w:sz w:val="20"/>
                <w:szCs w:val="24"/>
              </w:rPr>
              <w:t xml:space="preserve"> д</w:t>
            </w:r>
            <w:r>
              <w:rPr>
                <w:rFonts w:ascii="Times New Roman" w:hAnsi="Times New Roman"/>
                <w:b w:val="0"/>
                <w:caps w:val="0"/>
                <w:kern w:val="28"/>
                <w:sz w:val="20"/>
                <w:szCs w:val="20"/>
              </w:rPr>
              <w:t xml:space="preserve">ля сталей хладостойких стойких к коррозионному растрескиванию </w:t>
            </w:r>
            <w:r>
              <w:rPr>
                <w:rFonts w:ascii="Times New Roman" w:eastAsiaTheme="minorEastAsia" w:hAnsi="Times New Roman"/>
                <w:b w:val="0"/>
                <w:caps w:val="0"/>
                <w:spacing w:val="-3"/>
                <w:sz w:val="20"/>
                <w:szCs w:val="24"/>
              </w:rPr>
              <w:t xml:space="preserve">должны </w:t>
            </w:r>
            <w:r>
              <w:rPr>
                <w:rFonts w:ascii="Times New Roman" w:eastAsiaTheme="minorEastAsia" w:hAnsi="Times New Roman"/>
                <w:b w:val="0"/>
                <w:caps w:val="0"/>
                <w:spacing w:val="-3"/>
                <w:sz w:val="20"/>
              </w:rPr>
              <w:t xml:space="preserve">соответствовать </w:t>
            </w:r>
            <w:r>
              <w:rPr>
                <w:rFonts w:ascii="Times New Roman" w:eastAsiaTheme="minorEastAsia" w:hAnsi="Times New Roman"/>
                <w:b w:val="0"/>
                <w:spacing w:val="-3"/>
                <w:sz w:val="20"/>
              </w:rPr>
              <w:t>ГОСТ</w:t>
            </w:r>
            <w:r>
              <w:rPr>
                <w:rFonts w:ascii="Times New Roman" w:eastAsiaTheme="minorEastAsia" w:hAnsi="Times New Roman"/>
                <w:b w:val="0"/>
                <w:spacing w:val="-3"/>
                <w:sz w:val="20"/>
                <w:lang w:val="en-US"/>
              </w:rPr>
              <w:t> </w:t>
            </w:r>
            <w:r>
              <w:rPr>
                <w:rFonts w:ascii="Times New Roman" w:eastAsiaTheme="minorEastAsia" w:hAnsi="Times New Roman"/>
                <w:b w:val="0"/>
                <w:spacing w:val="-3"/>
                <w:sz w:val="20"/>
              </w:rPr>
              <w:t>33260,</w:t>
            </w:r>
            <w:r>
              <w:rPr>
                <w:rFonts w:ascii="Times New Roman" w:hAnsi="Times New Roman"/>
                <w:b w:val="0"/>
                <w:caps w:val="0"/>
                <w:kern w:val="28"/>
                <w:sz w:val="20"/>
                <w:szCs w:val="20"/>
              </w:rPr>
              <w:t xml:space="preserve"> при условии полного раскисления, модифицирования стали </w:t>
            </w:r>
            <w:r>
              <w:rPr>
                <w:rFonts w:ascii="Times New Roman" w:hAnsi="Times New Roman"/>
                <w:b w:val="0"/>
                <w:caps w:val="0"/>
                <w:color w:val="000000"/>
                <w:sz w:val="20"/>
                <w:szCs w:val="20"/>
              </w:rPr>
              <w:t xml:space="preserve">РЗМ, массовая доля получения в стали </w:t>
            </w:r>
            <w:r>
              <w:rPr>
                <w:rFonts w:ascii="Times New Roman" w:hAnsi="Times New Roman"/>
                <w:b w:val="0"/>
                <w:caps w:val="0"/>
                <w:color w:val="000000"/>
                <w:sz w:val="20"/>
                <w:szCs w:val="20"/>
                <w:lang w:val="en-US"/>
              </w:rPr>
              <w:t>Al</w:t>
            </w:r>
            <w:r>
              <w:rPr>
                <w:rFonts w:ascii="Times New Roman" w:hAnsi="Times New Roman"/>
                <w:b w:val="0"/>
                <w:caps w:val="0"/>
                <w:color w:val="000000"/>
                <w:sz w:val="20"/>
                <w:szCs w:val="20"/>
              </w:rPr>
              <w:t xml:space="preserve"> 0,03-0,05</w:t>
            </w:r>
            <w:r>
              <w:rPr>
                <w:rFonts w:ascii="Times New Roman" w:hAnsi="Times New Roman"/>
                <w:b w:val="0"/>
                <w:caps w:val="0"/>
                <w:sz w:val="20"/>
                <w:szCs w:val="20"/>
              </w:rPr>
              <w:t> </w:t>
            </w:r>
            <w:r>
              <w:rPr>
                <w:rFonts w:ascii="Times New Roman" w:hAnsi="Times New Roman"/>
                <w:b w:val="0"/>
                <w:caps w:val="0"/>
                <w:color w:val="000000"/>
                <w:sz w:val="20"/>
                <w:szCs w:val="20"/>
              </w:rPr>
              <w:t>%,</w:t>
            </w:r>
            <w:r>
              <w:rPr>
                <w:rFonts w:ascii="Times New Roman" w:hAnsi="Times New Roman"/>
                <w:b w:val="0"/>
                <w:caps w:val="0"/>
                <w:sz w:val="20"/>
                <w:szCs w:val="20"/>
              </w:rPr>
              <w:t xml:space="preserve"> </w:t>
            </w:r>
            <w:r>
              <w:rPr>
                <w:rFonts w:ascii="Times New Roman" w:hAnsi="Times New Roman"/>
                <w:b w:val="0"/>
                <w:caps w:val="0"/>
                <w:sz w:val="20"/>
                <w:szCs w:val="20"/>
                <w:lang w:val="en-US"/>
              </w:rPr>
              <w:t>S</w:t>
            </w:r>
            <w:r>
              <w:rPr>
                <w:rFonts w:ascii="Times New Roman" w:hAnsi="Times New Roman"/>
                <w:b w:val="0"/>
                <w:caps w:val="0"/>
                <w:sz w:val="20"/>
                <w:szCs w:val="20"/>
              </w:rPr>
              <w:t xml:space="preserve"> ≤ 0,005 %, </w:t>
            </w:r>
            <w:r>
              <w:rPr>
                <w:rFonts w:ascii="Times New Roman" w:hAnsi="Times New Roman"/>
                <w:b w:val="0"/>
                <w:caps w:val="0"/>
                <w:sz w:val="20"/>
                <w:szCs w:val="20"/>
                <w:lang w:val="en-US"/>
              </w:rPr>
              <w:t>P</w:t>
            </w:r>
            <w:r>
              <w:rPr>
                <w:rFonts w:ascii="Times New Roman" w:hAnsi="Times New Roman"/>
                <w:b w:val="0"/>
                <w:caps w:val="0"/>
                <w:sz w:val="20"/>
                <w:szCs w:val="20"/>
              </w:rPr>
              <w:t xml:space="preserve"> ≤ 0,015 % </w:t>
            </w:r>
            <w:r>
              <w:rPr>
                <w:rFonts w:ascii="Times New Roman" w:hAnsi="Times New Roman"/>
                <w:b w:val="0"/>
                <w:caps w:val="0"/>
                <w:color w:val="000000"/>
                <w:sz w:val="20"/>
                <w:szCs w:val="20"/>
              </w:rPr>
              <w:t>и проведения термической обработки, включающей полную закалку и отпуск (по режиму завода-изготовителя крана).</w:t>
            </w:r>
            <w:r>
              <w:rPr>
                <w:rFonts w:ascii="Times New Roman" w:hAnsi="Times New Roman"/>
                <w:b w:val="0"/>
                <w:caps w:val="0"/>
                <w:kern w:val="28"/>
                <w:sz w:val="20"/>
                <w:szCs w:val="20"/>
              </w:rPr>
              <w:t xml:space="preserve"> </w:t>
            </w:r>
            <w:r>
              <w:rPr>
                <w:rFonts w:ascii="Times New Roman" w:hAnsi="Times New Roman"/>
                <w:b w:val="0"/>
                <w:caps w:val="0"/>
                <w:color w:val="000000"/>
                <w:sz w:val="20"/>
                <w:szCs w:val="20"/>
              </w:rPr>
              <w:t>Вид, способ обработки стали модификаторами и количество, а также режимы окончательной термической обработки корпусных деталей крана шарового указываются в КД завода-изготовителя.</w:t>
            </w:r>
          </w:p>
          <w:p>
            <w:pPr>
              <w:pStyle w:val="S0"/>
              <w:jc w:val="left"/>
              <w:rPr>
                <w:rFonts w:eastAsiaTheme="minorHAnsi"/>
              </w:rPr>
            </w:pPr>
            <w:r>
              <w:rPr>
                <w:sz w:val="20"/>
                <w:szCs w:val="20"/>
              </w:rPr>
              <w:t>Количество модифицирующих элементов должно быть достаточным для сфероидизации большинства сульфидных включений и получения требуемых механических и коррозионных характеристик</w:t>
            </w:r>
          </w:p>
        </w:tc>
      </w:tr>
      <w:tr>
        <w:tc>
          <w:tcPr>
            <w:tcW w:w="249" w:type="pct"/>
            <w:vMerge/>
          </w:tcPr>
          <w:p>
            <w:pPr>
              <w:pStyle w:val="S0"/>
              <w:jc w:val="center"/>
              <w:rPr>
                <w:rFonts w:eastAsiaTheme="minorHAnsi"/>
                <w:sz w:val="20"/>
                <w:szCs w:val="16"/>
              </w:rPr>
            </w:pPr>
          </w:p>
        </w:tc>
        <w:tc>
          <w:tcPr>
            <w:tcW w:w="964" w:type="pct"/>
          </w:tcPr>
          <w:p>
            <w:pPr>
              <w:pStyle w:val="S11"/>
              <w:jc w:val="left"/>
              <w:rPr>
                <w:rFonts w:ascii="Times New Roman" w:hAnsi="Times New Roman"/>
                <w:b w:val="0"/>
                <w:caps w:val="0"/>
                <w:sz w:val="20"/>
                <w:szCs w:val="20"/>
              </w:rPr>
            </w:pPr>
            <w:r>
              <w:rPr>
                <w:rFonts w:ascii="Times New Roman" w:hAnsi="Times New Roman"/>
                <w:b w:val="0"/>
                <w:caps w:val="0"/>
                <w:sz w:val="20"/>
                <w:szCs w:val="20"/>
              </w:rPr>
              <w:t>Низколегированная</w:t>
            </w:r>
          </w:p>
          <w:p>
            <w:pPr>
              <w:pStyle w:val="S0"/>
              <w:jc w:val="left"/>
              <w:rPr>
                <w:rFonts w:eastAsiaTheme="minorHAnsi"/>
              </w:rPr>
            </w:pPr>
            <w:r>
              <w:rPr>
                <w:sz w:val="20"/>
                <w:szCs w:val="20"/>
              </w:rPr>
              <w:t xml:space="preserve">сталь </w:t>
            </w:r>
          </w:p>
        </w:tc>
        <w:tc>
          <w:tcPr>
            <w:tcW w:w="802" w:type="pct"/>
            <w:vMerge/>
          </w:tcPr>
          <w:p>
            <w:pPr>
              <w:pStyle w:val="S0"/>
              <w:rPr>
                <w:rFonts w:eastAsiaTheme="minorHAnsi"/>
              </w:rPr>
            </w:pPr>
          </w:p>
        </w:tc>
        <w:tc>
          <w:tcPr>
            <w:tcW w:w="2985" w:type="pct"/>
            <w:vMerge/>
          </w:tcPr>
          <w:p>
            <w:pPr>
              <w:pStyle w:val="S0"/>
              <w:jc w:val="left"/>
              <w:rPr>
                <w:rFonts w:eastAsiaTheme="minorHAnsi"/>
              </w:rPr>
            </w:pPr>
          </w:p>
        </w:tc>
      </w:tr>
    </w:tbl>
    <w:p>
      <w:pPr>
        <w:tabs>
          <w:tab w:val="left" w:pos="1276"/>
        </w:tabs>
        <w:ind w:right="-1"/>
      </w:pPr>
    </w:p>
    <w:p>
      <w:pPr>
        <w:tabs>
          <w:tab w:val="left" w:pos="1276"/>
        </w:tabs>
        <w:ind w:right="-1"/>
      </w:pPr>
      <w:r>
        <w:t>Испытание механических свойств сварных соединений основных деталей крана, проводить по ГОСТ</w:t>
      </w:r>
      <w:r>
        <w:rPr>
          <w:lang w:val="en-US"/>
        </w:rPr>
        <w:t> </w:t>
      </w:r>
      <w:r>
        <w:t>6996.</w:t>
      </w:r>
    </w:p>
    <w:p>
      <w:pPr>
        <w:pStyle w:val="a7"/>
        <w:widowControl w:val="0"/>
        <w:tabs>
          <w:tab w:val="left" w:pos="1134"/>
        </w:tabs>
        <w:spacing w:after="0"/>
        <w:ind w:right="103"/>
      </w:pPr>
    </w:p>
    <w:p>
      <w:pPr>
        <w:tabs>
          <w:tab w:val="left" w:pos="1276"/>
        </w:tabs>
        <w:ind w:right="-1"/>
      </w:pPr>
      <w:r>
        <w:rPr>
          <w:spacing w:val="-1"/>
        </w:rPr>
        <w:t>Механические</w:t>
      </w:r>
      <w:r>
        <w:rPr>
          <w:spacing w:val="1"/>
        </w:rPr>
        <w:t xml:space="preserve"> </w:t>
      </w:r>
      <w:r>
        <w:rPr>
          <w:spacing w:val="-1"/>
        </w:rPr>
        <w:t>свойства</w:t>
      </w:r>
      <w:r>
        <w:rPr>
          <w:spacing w:val="3"/>
        </w:rPr>
        <w:t xml:space="preserve"> </w:t>
      </w:r>
      <w:r>
        <w:rPr>
          <w:spacing w:val="-1"/>
        </w:rPr>
        <w:t>сварных</w:t>
      </w:r>
      <w:r>
        <w:rPr>
          <w:spacing w:val="2"/>
        </w:rPr>
        <w:t xml:space="preserve"> </w:t>
      </w:r>
      <w:r>
        <w:rPr>
          <w:spacing w:val="-1"/>
        </w:rPr>
        <w:t>соединений</w:t>
      </w:r>
      <w:r>
        <w:rPr>
          <w:spacing w:val="1"/>
        </w:rPr>
        <w:t xml:space="preserve"> основных деталей </w:t>
      </w:r>
      <w:r>
        <w:rPr>
          <w:rFonts w:eastAsia="PMingLiU"/>
          <w:lang w:eastAsia="en-US"/>
        </w:rPr>
        <w:t>крана шарового</w:t>
      </w:r>
      <w:r>
        <w:rPr>
          <w:spacing w:val="-1"/>
        </w:rPr>
        <w:t xml:space="preserve"> должны</w:t>
      </w:r>
      <w:r>
        <w:rPr>
          <w:spacing w:val="4"/>
        </w:rPr>
        <w:t xml:space="preserve"> </w:t>
      </w:r>
      <w:r>
        <w:rPr>
          <w:spacing w:val="-1"/>
        </w:rPr>
        <w:t>отвечать</w:t>
      </w:r>
      <w:r>
        <w:rPr>
          <w:spacing w:val="2"/>
        </w:rPr>
        <w:t xml:space="preserve"> </w:t>
      </w:r>
      <w:r>
        <w:t xml:space="preserve">следующим </w:t>
      </w:r>
      <w:r>
        <w:rPr>
          <w:spacing w:val="-4"/>
        </w:rPr>
        <w:t>требованиям:</w:t>
      </w:r>
    </w:p>
    <w:p>
      <w:pPr>
        <w:numPr>
          <w:ilvl w:val="0"/>
          <w:numId w:val="12"/>
        </w:numPr>
        <w:tabs>
          <w:tab w:val="left" w:pos="539"/>
        </w:tabs>
        <w:spacing w:before="120"/>
        <w:ind w:left="538" w:hanging="357"/>
      </w:pPr>
      <w:r>
        <w:t>временное сопротивление разрыву должно быть не ниже минимального значения временного сопротивления разрыву основного металла по стандарту или требованиям для данной марки стали;</w:t>
      </w:r>
    </w:p>
    <w:p>
      <w:pPr>
        <w:numPr>
          <w:ilvl w:val="0"/>
          <w:numId w:val="12"/>
        </w:numPr>
        <w:tabs>
          <w:tab w:val="left" w:pos="539"/>
        </w:tabs>
        <w:spacing w:before="120"/>
        <w:ind w:left="538" w:hanging="357"/>
      </w:pPr>
      <w:r>
        <w:t>минимальное значение угла изгиба должно быть не менее 120°, при отсутствии трещин или надрывов длиной более 12,5 % его ширины, но не более 3 мм;</w:t>
      </w:r>
    </w:p>
    <w:p>
      <w:pPr>
        <w:numPr>
          <w:ilvl w:val="0"/>
          <w:numId w:val="12"/>
        </w:numPr>
        <w:tabs>
          <w:tab w:val="left" w:pos="539"/>
        </w:tabs>
        <w:spacing w:before="120"/>
        <w:ind w:left="538" w:hanging="357"/>
      </w:pPr>
      <w:r>
        <w:t>твердость в зоне термического влияния (от 1 до 3 мм от линии сплавления) после сварки низкоуглеродистой стали должна быть не более 250 HV10;</w:t>
      </w:r>
    </w:p>
    <w:p>
      <w:pPr>
        <w:numPr>
          <w:ilvl w:val="0"/>
          <w:numId w:val="12"/>
        </w:numPr>
        <w:tabs>
          <w:tab w:val="left" w:pos="539"/>
        </w:tabs>
        <w:spacing w:before="120"/>
        <w:ind w:left="538" w:hanging="357"/>
      </w:pPr>
      <w:r>
        <w:t>твердость в зоне термического влияния (от 1 до 3 мм от линии сплавления) после сварки низколегированной стали должна быть не более 275 HV10;</w:t>
      </w:r>
    </w:p>
    <w:p>
      <w:pPr>
        <w:pStyle w:val="affd"/>
        <w:widowControl w:val="0"/>
        <w:numPr>
          <w:ilvl w:val="0"/>
          <w:numId w:val="74"/>
        </w:numPr>
        <w:tabs>
          <w:tab w:val="left" w:pos="709"/>
        </w:tabs>
        <w:spacing w:before="120" w:line="240" w:lineRule="auto"/>
        <w:ind w:left="541"/>
        <w:contextualSpacing w:val="0"/>
        <w:rPr>
          <w:rFonts w:ascii="Times New Roman" w:hAnsi="Times New Roman"/>
          <w:sz w:val="24"/>
        </w:rPr>
      </w:pPr>
      <w:r>
        <w:rPr>
          <w:rFonts w:ascii="Times New Roman" w:hAnsi="Times New Roman"/>
          <w:sz w:val="24"/>
        </w:rPr>
        <w:t>значения величины ударной вязкости сварных соединений на образцах KCU (канавка в середине шва) по ГОСТ</w:t>
      </w:r>
      <w:r>
        <w:rPr>
          <w:rFonts w:ascii="Times New Roman" w:hAnsi="Times New Roman"/>
          <w:sz w:val="24"/>
          <w:lang w:val="en-US"/>
        </w:rPr>
        <w:t> </w:t>
      </w:r>
      <w:r>
        <w:rPr>
          <w:rFonts w:ascii="Times New Roman" w:hAnsi="Times New Roman"/>
          <w:sz w:val="24"/>
        </w:rPr>
        <w:t>6996 должны производить при температуре минус 40 и минус</w:t>
      </w:r>
      <w:r>
        <w:rPr>
          <w:rFonts w:ascii="Times New Roman" w:hAnsi="Times New Roman"/>
          <w:sz w:val="24"/>
          <w:lang w:val="en-US"/>
        </w:rPr>
        <w:t> </w:t>
      </w:r>
      <w:r>
        <w:rPr>
          <w:rFonts w:ascii="Times New Roman" w:hAnsi="Times New Roman"/>
          <w:sz w:val="24"/>
        </w:rPr>
        <w:t>60 ºС, в соответствии с Таблицей 7.</w:t>
      </w:r>
    </w:p>
    <w:p>
      <w:pPr>
        <w:pStyle w:val="a7"/>
        <w:widowControl w:val="0"/>
        <w:spacing w:after="0"/>
        <w:rPr>
          <w:spacing w:val="-4"/>
        </w:rPr>
      </w:pPr>
    </w:p>
    <w:p>
      <w:pPr>
        <w:keepNext/>
        <w:widowControl w:val="0"/>
        <w:jc w:val="right"/>
        <w:rPr>
          <w:rFonts w:ascii="Arial" w:eastAsia="Times New Roman" w:hAnsi="Arial"/>
          <w:b/>
          <w:sz w:val="20"/>
        </w:rPr>
      </w:pPr>
      <w:r>
        <w:rPr>
          <w:rFonts w:ascii="Arial" w:eastAsia="Times New Roman" w:hAnsi="Arial"/>
          <w:b/>
          <w:sz w:val="20"/>
        </w:rPr>
        <w:lastRenderedPageBreak/>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7</w:t>
      </w:r>
      <w:r>
        <w:rPr>
          <w:rFonts w:ascii="Arial" w:eastAsia="Times New Roman" w:hAnsi="Arial"/>
          <w:b/>
          <w:sz w:val="20"/>
        </w:rPr>
        <w:fldChar w:fldCharType="end"/>
      </w:r>
    </w:p>
    <w:p>
      <w:pPr>
        <w:pStyle w:val="Sd"/>
        <w:spacing w:after="60"/>
      </w:pPr>
      <w:r>
        <w:t>Значения величины ударной вязкости сварного соединения</w:t>
      </w:r>
    </w:p>
    <w:tbl>
      <w:tblPr>
        <w:tblW w:w="5000" w:type="pct"/>
        <w:tblCellMar>
          <w:left w:w="0" w:type="dxa"/>
          <w:right w:w="0" w:type="dxa"/>
        </w:tblCellMar>
        <w:tblLook w:val="01E0" w:firstRow="1" w:lastRow="1" w:firstColumn="1" w:lastColumn="1" w:noHBand="0" w:noVBand="0"/>
      </w:tblPr>
      <w:tblGrid>
        <w:gridCol w:w="3135"/>
        <w:gridCol w:w="3140"/>
        <w:gridCol w:w="3393"/>
      </w:tblGrid>
      <w:tr>
        <w:trPr>
          <w:trHeight w:val="463"/>
          <w:tblHeader/>
        </w:trPr>
        <w:tc>
          <w:tcPr>
            <w:tcW w:w="1621" w:type="pct"/>
            <w:vMerge w:val="restart"/>
            <w:tcBorders>
              <w:top w:val="single" w:sz="12" w:space="0" w:color="000000"/>
              <w:left w:val="single" w:sz="12" w:space="0" w:color="000000"/>
              <w:bottom w:val="single" w:sz="6" w:space="0" w:color="000000"/>
              <w:right w:val="single" w:sz="6" w:space="0" w:color="000000"/>
            </w:tcBorders>
            <w:shd w:val="clear" w:color="auto" w:fill="FFD200"/>
            <w:vAlign w:val="center"/>
          </w:tcPr>
          <w:p>
            <w:pPr>
              <w:pStyle w:val="TableParagraph"/>
              <w:jc w:val="center"/>
              <w:rPr>
                <w:rFonts w:ascii="Arial" w:hAnsi="Arial" w:cs="Arial"/>
                <w:b/>
                <w:sz w:val="16"/>
                <w:szCs w:val="16"/>
                <w:lang w:val="ru-RU"/>
              </w:rPr>
            </w:pPr>
            <w:r>
              <w:rPr>
                <w:rFonts w:ascii="Arial" w:hAnsi="Arial" w:cs="Arial"/>
                <w:b/>
                <w:sz w:val="16"/>
                <w:szCs w:val="16"/>
                <w:lang w:val="ru-RU"/>
              </w:rPr>
              <w:t>НОМИНАЛЬНАЯ ТОЛЩИНА СТЕНКИ СВАРИВАЕМЫХ ДЕТАЛЕЙ, ММ</w:t>
            </w:r>
          </w:p>
        </w:tc>
        <w:tc>
          <w:tcPr>
            <w:tcW w:w="3379" w:type="pct"/>
            <w:gridSpan w:val="2"/>
            <w:tcBorders>
              <w:top w:val="single" w:sz="12" w:space="0" w:color="000000"/>
              <w:left w:val="single" w:sz="6" w:space="0" w:color="000000"/>
              <w:bottom w:val="single" w:sz="6" w:space="0" w:color="000000"/>
              <w:right w:val="single" w:sz="12" w:space="0" w:color="000000"/>
            </w:tcBorders>
            <w:shd w:val="clear" w:color="auto" w:fill="FFD200"/>
            <w:vAlign w:val="center"/>
          </w:tcPr>
          <w:p>
            <w:pPr>
              <w:pStyle w:val="TableParagraph"/>
              <w:jc w:val="center"/>
              <w:rPr>
                <w:rFonts w:ascii="Arial" w:eastAsia="Times New Roman" w:hAnsi="Arial" w:cs="Arial"/>
                <w:b/>
                <w:sz w:val="16"/>
                <w:szCs w:val="16"/>
                <w:lang w:val="ru-RU"/>
              </w:rPr>
            </w:pPr>
            <w:r>
              <w:rPr>
                <w:rFonts w:ascii="Arial" w:eastAsia="Times New Roman" w:hAnsi="Arial" w:cs="Arial"/>
                <w:b/>
                <w:sz w:val="16"/>
                <w:szCs w:val="16"/>
                <w:lang w:val="ru-RU"/>
              </w:rPr>
              <w:t xml:space="preserve">ЗНАЧЕНИЯ ВЕЛИЧИНЫ УДАРНОЙ ВЯЗКОСТИ СВАРНОГО СОЕДИНЕНИЯ НА ОБРАЗЦАХ </w:t>
            </w:r>
            <w:r>
              <w:rPr>
                <w:rFonts w:ascii="Arial" w:eastAsia="Times New Roman" w:hAnsi="Arial" w:cs="Arial"/>
                <w:b/>
                <w:sz w:val="16"/>
                <w:szCs w:val="16"/>
              </w:rPr>
              <w:t>KCU</w:t>
            </w:r>
            <w:r>
              <w:rPr>
                <w:rFonts w:ascii="Arial" w:eastAsia="Times New Roman" w:hAnsi="Arial" w:cs="Arial"/>
                <w:b/>
                <w:sz w:val="16"/>
                <w:szCs w:val="16"/>
                <w:lang w:val="ru-RU"/>
              </w:rPr>
              <w:t>, НЕ МЕНЕЕ, ДЖ/СМ² (КГС*М/СМ²)</w:t>
            </w:r>
          </w:p>
        </w:tc>
      </w:tr>
      <w:tr>
        <w:trPr>
          <w:trHeight w:val="248"/>
          <w:tblHeader/>
        </w:trPr>
        <w:tc>
          <w:tcPr>
            <w:tcW w:w="1621" w:type="pct"/>
            <w:vMerge/>
            <w:tcBorders>
              <w:top w:val="single" w:sz="6" w:space="0" w:color="000000"/>
              <w:left w:val="single" w:sz="12" w:space="0" w:color="000000"/>
              <w:bottom w:val="single" w:sz="12" w:space="0" w:color="000000"/>
              <w:right w:val="single" w:sz="6" w:space="0" w:color="000000"/>
            </w:tcBorders>
            <w:shd w:val="clear" w:color="auto" w:fill="FFD200"/>
            <w:vAlign w:val="center"/>
          </w:tcPr>
          <w:p>
            <w:pPr>
              <w:pStyle w:val="TableParagraph"/>
              <w:jc w:val="center"/>
              <w:rPr>
                <w:rFonts w:ascii="Arial" w:hAnsi="Arial" w:cs="Arial"/>
                <w:b/>
                <w:sz w:val="16"/>
                <w:szCs w:val="16"/>
                <w:lang w:val="ru-RU"/>
              </w:rPr>
            </w:pPr>
          </w:p>
        </w:tc>
        <w:tc>
          <w:tcPr>
            <w:tcW w:w="1624" w:type="pct"/>
            <w:tcBorders>
              <w:top w:val="single" w:sz="6" w:space="0" w:color="000000"/>
              <w:left w:val="single" w:sz="6" w:space="0" w:color="000000"/>
              <w:bottom w:val="single" w:sz="12" w:space="0" w:color="000000"/>
              <w:right w:val="single" w:sz="6" w:space="0" w:color="000000"/>
            </w:tcBorders>
            <w:shd w:val="clear" w:color="auto" w:fill="FFD200"/>
            <w:vAlign w:val="center"/>
          </w:tcPr>
          <w:p>
            <w:pPr>
              <w:pStyle w:val="TableParagraph"/>
              <w:jc w:val="center"/>
              <w:rPr>
                <w:rFonts w:ascii="Arial" w:eastAsia="Times New Roman" w:hAnsi="Arial" w:cs="Arial"/>
                <w:b/>
                <w:sz w:val="14"/>
                <w:szCs w:val="16"/>
                <w:lang w:val="ru-RU"/>
              </w:rPr>
            </w:pPr>
            <w:r>
              <w:rPr>
                <w:rFonts w:ascii="Arial" w:eastAsia="Times New Roman" w:hAnsi="Arial" w:cs="Arial"/>
                <w:b/>
                <w:sz w:val="14"/>
                <w:szCs w:val="16"/>
                <w:lang w:val="ru-RU"/>
              </w:rPr>
              <w:t>ПРИ ТЕМПЕРАТУРЕ МИНУС 40</w:t>
            </w:r>
            <w:r>
              <w:rPr>
                <w:rFonts w:ascii="Arial" w:eastAsia="Times New Roman" w:hAnsi="Arial" w:cs="Arial"/>
                <w:b/>
                <w:spacing w:val="-2"/>
                <w:sz w:val="14"/>
                <w:szCs w:val="16"/>
                <w:lang w:val="ru-RU"/>
              </w:rPr>
              <w:t>°С</w:t>
            </w:r>
          </w:p>
        </w:tc>
        <w:tc>
          <w:tcPr>
            <w:tcW w:w="1755" w:type="pct"/>
            <w:tcBorders>
              <w:top w:val="single" w:sz="6" w:space="0" w:color="000000"/>
              <w:left w:val="single" w:sz="6" w:space="0" w:color="000000"/>
              <w:bottom w:val="single" w:sz="12" w:space="0" w:color="000000"/>
              <w:right w:val="single" w:sz="12" w:space="0" w:color="000000"/>
            </w:tcBorders>
            <w:shd w:val="clear" w:color="auto" w:fill="FFD200"/>
            <w:vAlign w:val="center"/>
          </w:tcPr>
          <w:p>
            <w:pPr>
              <w:pStyle w:val="TableParagraph"/>
              <w:jc w:val="center"/>
              <w:rPr>
                <w:rFonts w:ascii="Arial" w:eastAsia="Times New Roman" w:hAnsi="Arial" w:cs="Arial"/>
                <w:b/>
                <w:sz w:val="14"/>
                <w:szCs w:val="16"/>
                <w:lang w:val="ru-RU"/>
              </w:rPr>
            </w:pPr>
            <w:r>
              <w:rPr>
                <w:rFonts w:ascii="Arial" w:eastAsia="Times New Roman" w:hAnsi="Arial" w:cs="Arial"/>
                <w:b/>
                <w:sz w:val="14"/>
                <w:szCs w:val="16"/>
                <w:lang w:val="ru-RU"/>
              </w:rPr>
              <w:t>ПРИ ТЕМПЕРАТУРЕ МИНУС 60</w:t>
            </w:r>
            <w:r>
              <w:rPr>
                <w:rFonts w:ascii="Arial" w:eastAsia="Times New Roman" w:hAnsi="Arial" w:cs="Arial"/>
                <w:b/>
                <w:spacing w:val="-2"/>
                <w:sz w:val="14"/>
                <w:szCs w:val="16"/>
                <w:lang w:val="ru-RU"/>
              </w:rPr>
              <w:t>°С</w:t>
            </w:r>
          </w:p>
        </w:tc>
      </w:tr>
      <w:tr>
        <w:trPr>
          <w:trHeight w:val="265"/>
          <w:tblHeader/>
        </w:trPr>
        <w:tc>
          <w:tcPr>
            <w:tcW w:w="1621" w:type="pct"/>
            <w:tcBorders>
              <w:top w:val="single" w:sz="6" w:space="0" w:color="000000"/>
              <w:left w:val="single" w:sz="12" w:space="0" w:color="000000"/>
              <w:bottom w:val="single" w:sz="12" w:space="0" w:color="000000"/>
              <w:right w:val="single" w:sz="6" w:space="0" w:color="000000"/>
            </w:tcBorders>
            <w:shd w:val="clear" w:color="auto" w:fill="FFD200"/>
            <w:vAlign w:val="center"/>
          </w:tcPr>
          <w:p>
            <w:pPr>
              <w:pStyle w:val="TableParagraph"/>
              <w:jc w:val="center"/>
              <w:rPr>
                <w:rFonts w:ascii="Arial" w:hAnsi="Arial" w:cs="Arial"/>
                <w:b/>
                <w:sz w:val="16"/>
                <w:szCs w:val="16"/>
                <w:lang w:val="ru-RU"/>
              </w:rPr>
            </w:pPr>
            <w:r>
              <w:rPr>
                <w:rFonts w:ascii="Arial" w:hAnsi="Arial" w:cs="Arial"/>
                <w:b/>
                <w:sz w:val="16"/>
                <w:szCs w:val="16"/>
                <w:lang w:val="ru-RU"/>
              </w:rPr>
              <w:t>1</w:t>
            </w:r>
          </w:p>
        </w:tc>
        <w:tc>
          <w:tcPr>
            <w:tcW w:w="1624" w:type="pct"/>
            <w:tcBorders>
              <w:top w:val="single" w:sz="6" w:space="0" w:color="000000"/>
              <w:left w:val="single" w:sz="6" w:space="0" w:color="000000"/>
              <w:bottom w:val="single" w:sz="12" w:space="0" w:color="000000"/>
              <w:right w:val="single" w:sz="6" w:space="0" w:color="000000"/>
            </w:tcBorders>
            <w:shd w:val="clear" w:color="auto" w:fill="FFD200"/>
            <w:vAlign w:val="center"/>
          </w:tcPr>
          <w:p>
            <w:pPr>
              <w:pStyle w:val="TableParagraph"/>
              <w:jc w:val="center"/>
              <w:rPr>
                <w:rFonts w:ascii="Arial" w:eastAsia="Times New Roman" w:hAnsi="Arial" w:cs="Arial"/>
                <w:b/>
                <w:sz w:val="16"/>
                <w:szCs w:val="16"/>
                <w:lang w:val="ru-RU"/>
              </w:rPr>
            </w:pPr>
            <w:r>
              <w:rPr>
                <w:rFonts w:ascii="Arial" w:eastAsia="Times New Roman" w:hAnsi="Arial" w:cs="Arial"/>
                <w:b/>
                <w:sz w:val="16"/>
                <w:szCs w:val="16"/>
                <w:lang w:val="ru-RU"/>
              </w:rPr>
              <w:t>2</w:t>
            </w:r>
          </w:p>
        </w:tc>
        <w:tc>
          <w:tcPr>
            <w:tcW w:w="1755" w:type="pct"/>
            <w:tcBorders>
              <w:top w:val="single" w:sz="6" w:space="0" w:color="000000"/>
              <w:left w:val="single" w:sz="6" w:space="0" w:color="000000"/>
              <w:bottom w:val="single" w:sz="12" w:space="0" w:color="000000"/>
              <w:right w:val="single" w:sz="12" w:space="0" w:color="000000"/>
            </w:tcBorders>
            <w:shd w:val="clear" w:color="auto" w:fill="FFD200"/>
            <w:vAlign w:val="center"/>
          </w:tcPr>
          <w:p>
            <w:pPr>
              <w:pStyle w:val="TableParagraph"/>
              <w:jc w:val="center"/>
              <w:rPr>
                <w:rFonts w:ascii="Arial" w:eastAsia="Times New Roman" w:hAnsi="Arial" w:cs="Arial"/>
                <w:b/>
                <w:sz w:val="16"/>
                <w:szCs w:val="16"/>
                <w:lang w:val="ru-RU"/>
              </w:rPr>
            </w:pPr>
            <w:r>
              <w:rPr>
                <w:rFonts w:ascii="Arial" w:eastAsia="Times New Roman" w:hAnsi="Arial" w:cs="Arial"/>
                <w:b/>
                <w:sz w:val="16"/>
                <w:szCs w:val="16"/>
                <w:lang w:val="ru-RU"/>
              </w:rPr>
              <w:t>3</w:t>
            </w:r>
          </w:p>
        </w:tc>
      </w:tr>
      <w:tr>
        <w:trPr>
          <w:trHeight w:val="246"/>
        </w:trPr>
        <w:tc>
          <w:tcPr>
            <w:tcW w:w="1621" w:type="pct"/>
            <w:tcBorders>
              <w:top w:val="single" w:sz="12" w:space="0" w:color="000000"/>
              <w:left w:val="single" w:sz="12" w:space="0" w:color="000000"/>
              <w:bottom w:val="single" w:sz="6" w:space="0" w:color="000000"/>
              <w:right w:val="single" w:sz="6" w:space="0" w:color="000000"/>
            </w:tcBorders>
            <w:shd w:val="clear" w:color="auto" w:fill="auto"/>
          </w:tcPr>
          <w:p>
            <w:pPr>
              <w:pStyle w:val="TableParagraph"/>
              <w:jc w:val="left"/>
              <w:rPr>
                <w:rFonts w:ascii="Times New Roman" w:eastAsia="Times New Roman" w:hAnsi="Times New Roman"/>
                <w:sz w:val="20"/>
                <w:szCs w:val="24"/>
                <w:lang w:val="ru-RU"/>
              </w:rPr>
            </w:pPr>
            <w:r>
              <w:rPr>
                <w:rFonts w:ascii="Times New Roman" w:eastAsia="Times New Roman" w:hAnsi="Times New Roman"/>
                <w:sz w:val="20"/>
                <w:szCs w:val="24"/>
                <w:lang w:val="ru-RU"/>
              </w:rPr>
              <w:t>До 25 включительно</w:t>
            </w:r>
          </w:p>
        </w:tc>
        <w:tc>
          <w:tcPr>
            <w:tcW w:w="3379" w:type="pct"/>
            <w:gridSpan w:val="2"/>
            <w:tcBorders>
              <w:top w:val="single" w:sz="12" w:space="0" w:color="000000"/>
              <w:left w:val="single" w:sz="6" w:space="0" w:color="000000"/>
              <w:bottom w:val="single" w:sz="6" w:space="0" w:color="000000"/>
              <w:right w:val="single" w:sz="12" w:space="0" w:color="000000"/>
            </w:tcBorders>
            <w:shd w:val="clear" w:color="auto" w:fill="auto"/>
            <w:vAlign w:val="center"/>
          </w:tcPr>
          <w:p>
            <w:pPr>
              <w:pStyle w:val="TableParagraph"/>
              <w:jc w:val="center"/>
              <w:rPr>
                <w:rFonts w:ascii="Times New Roman" w:eastAsia="Times New Roman" w:hAnsi="Times New Roman"/>
                <w:sz w:val="20"/>
                <w:szCs w:val="24"/>
                <w:lang w:val="ru-RU"/>
              </w:rPr>
            </w:pPr>
            <w:r>
              <w:rPr>
                <w:rFonts w:ascii="Times New Roman" w:eastAsia="Times New Roman" w:hAnsi="Times New Roman"/>
                <w:sz w:val="20"/>
                <w:szCs w:val="24"/>
                <w:lang w:val="ru-RU"/>
              </w:rPr>
              <w:t>29,4 (3,0)</w:t>
            </w:r>
          </w:p>
        </w:tc>
      </w:tr>
      <w:tr>
        <w:trPr>
          <w:trHeight w:val="266"/>
        </w:trPr>
        <w:tc>
          <w:tcPr>
            <w:tcW w:w="1621" w:type="pct"/>
            <w:tcBorders>
              <w:top w:val="single" w:sz="6" w:space="0" w:color="000000"/>
              <w:left w:val="single" w:sz="12" w:space="0" w:color="000000"/>
              <w:bottom w:val="single" w:sz="12" w:space="0" w:color="000000"/>
              <w:right w:val="single" w:sz="6" w:space="0" w:color="000000"/>
            </w:tcBorders>
            <w:shd w:val="clear" w:color="auto" w:fill="auto"/>
          </w:tcPr>
          <w:p>
            <w:pPr>
              <w:pStyle w:val="TableParagraph"/>
              <w:jc w:val="left"/>
              <w:rPr>
                <w:rFonts w:ascii="Times New Roman" w:eastAsia="Times New Roman" w:hAnsi="Times New Roman"/>
                <w:sz w:val="20"/>
                <w:szCs w:val="24"/>
                <w:lang w:val="ru-RU"/>
              </w:rPr>
            </w:pPr>
            <w:r>
              <w:rPr>
                <w:rFonts w:ascii="Times New Roman" w:eastAsia="Times New Roman" w:hAnsi="Times New Roman"/>
                <w:sz w:val="20"/>
                <w:szCs w:val="24"/>
                <w:lang w:val="ru-RU"/>
              </w:rPr>
              <w:t xml:space="preserve">Свыше 25 </w:t>
            </w:r>
          </w:p>
        </w:tc>
        <w:tc>
          <w:tcPr>
            <w:tcW w:w="3379" w:type="pct"/>
            <w:gridSpan w:val="2"/>
            <w:tcBorders>
              <w:top w:val="single" w:sz="6" w:space="0" w:color="000000"/>
              <w:left w:val="single" w:sz="6" w:space="0" w:color="000000"/>
              <w:bottom w:val="single" w:sz="12" w:space="0" w:color="000000"/>
              <w:right w:val="single" w:sz="12" w:space="0" w:color="000000"/>
            </w:tcBorders>
            <w:shd w:val="clear" w:color="auto" w:fill="auto"/>
            <w:vAlign w:val="center"/>
          </w:tcPr>
          <w:p>
            <w:pPr>
              <w:pStyle w:val="TableParagraph"/>
              <w:jc w:val="center"/>
              <w:rPr>
                <w:rFonts w:ascii="Times New Roman" w:eastAsia="Times New Roman" w:hAnsi="Times New Roman"/>
                <w:sz w:val="20"/>
                <w:szCs w:val="24"/>
                <w:lang w:val="ru-RU"/>
              </w:rPr>
            </w:pPr>
            <w:r>
              <w:rPr>
                <w:rFonts w:ascii="Times New Roman" w:eastAsia="Times New Roman" w:hAnsi="Times New Roman"/>
                <w:sz w:val="20"/>
                <w:szCs w:val="24"/>
                <w:lang w:val="ru-RU"/>
              </w:rPr>
              <w:t>39,2 (4,0)</w:t>
            </w:r>
          </w:p>
        </w:tc>
      </w:tr>
    </w:tbl>
    <w:p>
      <w:pPr>
        <w:ind w:right="-57"/>
      </w:pPr>
    </w:p>
    <w:p>
      <w:pPr>
        <w:shd w:val="clear" w:color="auto" w:fill="FFFFFF" w:themeFill="background1"/>
        <w:tabs>
          <w:tab w:val="left" w:pos="993"/>
          <w:tab w:val="left" w:pos="1134"/>
          <w:tab w:val="left" w:pos="1276"/>
        </w:tabs>
        <w:ind w:right="-1"/>
        <w:rPr>
          <w:spacing w:val="1"/>
        </w:rPr>
      </w:pPr>
      <w:r>
        <w:rPr>
          <w:spacing w:val="1"/>
        </w:rPr>
        <w:t xml:space="preserve">Стыковые сварные соединения корпусных деталей </w:t>
      </w:r>
      <w:r>
        <w:rPr>
          <w:rFonts w:eastAsia="PMingLiU"/>
          <w:lang w:eastAsia="en-US"/>
        </w:rPr>
        <w:t>крана шарового</w:t>
      </w:r>
      <w:r>
        <w:rPr>
          <w:spacing w:val="1"/>
        </w:rPr>
        <w:t xml:space="preserve"> (кольцевые, продольные), и другие сварные соединения, определяющие ее прочность, необходимо подвергать металлографическим исследованиям. Металлографические макро и (или) микроисследования должны проводиться не менее чем на одном образце от каждого контрольного сварного соединения. Металлографические макро и (или) микроисследования должны проводиться в соответствии с требованиями ГОСТ</w:t>
      </w:r>
      <w:r>
        <w:rPr>
          <w:spacing w:val="1"/>
          <w:lang w:val="en-US"/>
        </w:rPr>
        <w:t> </w:t>
      </w:r>
      <w:r>
        <w:rPr>
          <w:spacing w:val="1"/>
        </w:rPr>
        <w:t>10243 и РД</w:t>
      </w:r>
      <w:r>
        <w:rPr>
          <w:spacing w:val="1"/>
          <w:lang w:val="en-US"/>
        </w:rPr>
        <w:t> </w:t>
      </w:r>
      <w:r>
        <w:rPr>
          <w:spacing w:val="1"/>
        </w:rPr>
        <w:t>24.200.04.</w:t>
      </w:r>
    </w:p>
    <w:p>
      <w:pPr>
        <w:pStyle w:val="a7"/>
        <w:widowControl w:val="0"/>
        <w:spacing w:after="0"/>
        <w:rPr>
          <w:spacing w:val="-4"/>
        </w:rPr>
      </w:pPr>
    </w:p>
    <w:p>
      <w:pPr>
        <w:shd w:val="clear" w:color="auto" w:fill="FFFFFF" w:themeFill="background1"/>
        <w:tabs>
          <w:tab w:val="left" w:pos="993"/>
          <w:tab w:val="left" w:pos="1134"/>
          <w:tab w:val="left" w:pos="1276"/>
        </w:tabs>
        <w:ind w:right="-1"/>
        <w:rPr>
          <w:spacing w:val="1"/>
        </w:rPr>
      </w:pPr>
      <w:r>
        <w:rPr>
          <w:spacing w:val="1"/>
        </w:rPr>
        <w:t>В случае, если при рассмотрении макрошлифов в контрольном сварном соединении будут обнаружены недопустимые внутренние дефекты, которые должны были быть выявлены радиографическим или УЗК, все сварные соединения, контролируемые данным методом, подлежат повторному испытанию тем же методом неразрушающего контроля в объеме 100 %. При этом повторная проверка качества всех сварных соединений должна осуществляться после калибровки оборудования неразрушающих методов контроля на эталонных образцах.</w:t>
      </w:r>
    </w:p>
    <w:p>
      <w:pPr>
        <w:shd w:val="clear" w:color="auto" w:fill="FFFFFF" w:themeFill="background1"/>
        <w:tabs>
          <w:tab w:val="left" w:pos="993"/>
          <w:tab w:val="left" w:pos="1134"/>
          <w:tab w:val="left" w:pos="1276"/>
        </w:tabs>
        <w:ind w:right="104"/>
        <w:rPr>
          <w:spacing w:val="1"/>
        </w:rPr>
      </w:pPr>
    </w:p>
    <w:p>
      <w:pPr>
        <w:shd w:val="clear" w:color="auto" w:fill="FFFFFF" w:themeFill="background1"/>
        <w:tabs>
          <w:tab w:val="left" w:pos="993"/>
          <w:tab w:val="left" w:pos="1134"/>
          <w:tab w:val="left" w:pos="1276"/>
        </w:tabs>
        <w:ind w:right="104"/>
        <w:rPr>
          <w:spacing w:val="1"/>
        </w:rPr>
      </w:pPr>
      <w:r>
        <w:rPr>
          <w:spacing w:val="1"/>
        </w:rPr>
        <w:t>В случае подтверждения по результатам повторного неразрушающего контроля наличия в сварных соединениях недопустимых дефектов, сварные соединения бракуются.</w:t>
      </w:r>
    </w:p>
    <w:p>
      <w:pPr>
        <w:shd w:val="clear" w:color="auto" w:fill="FFFFFF" w:themeFill="background1"/>
        <w:tabs>
          <w:tab w:val="left" w:pos="993"/>
          <w:tab w:val="left" w:pos="1134"/>
          <w:tab w:val="left" w:pos="1276"/>
        </w:tabs>
        <w:ind w:right="104"/>
        <w:rPr>
          <w:spacing w:val="1"/>
        </w:rPr>
      </w:pPr>
    </w:p>
    <w:p>
      <w:pPr>
        <w:shd w:val="clear" w:color="auto" w:fill="FFFFFF" w:themeFill="background1"/>
        <w:tabs>
          <w:tab w:val="left" w:pos="993"/>
          <w:tab w:val="left" w:pos="1134"/>
          <w:tab w:val="left" w:pos="1276"/>
        </w:tabs>
        <w:ind w:right="104"/>
        <w:rPr>
          <w:spacing w:val="1"/>
        </w:rPr>
      </w:pPr>
      <w:r>
        <w:rPr>
          <w:spacing w:val="1"/>
        </w:rPr>
        <w:t>Допускается пересечение стыковых швов корпуса угловыми швами.</w:t>
      </w:r>
    </w:p>
    <w:p>
      <w:pPr>
        <w:shd w:val="clear" w:color="auto" w:fill="FFFFFF" w:themeFill="background1"/>
        <w:tabs>
          <w:tab w:val="left" w:pos="993"/>
          <w:tab w:val="left" w:pos="1134"/>
          <w:tab w:val="left" w:pos="1276"/>
        </w:tabs>
        <w:ind w:right="104"/>
        <w:rPr>
          <w:spacing w:val="1"/>
        </w:rPr>
      </w:pPr>
    </w:p>
    <w:p>
      <w:pPr>
        <w:shd w:val="clear" w:color="auto" w:fill="FFFFFF" w:themeFill="background1"/>
        <w:tabs>
          <w:tab w:val="left" w:pos="993"/>
          <w:tab w:val="left" w:pos="1134"/>
          <w:tab w:val="left" w:pos="1276"/>
        </w:tabs>
        <w:ind w:right="104"/>
        <w:rPr>
          <w:spacing w:val="1"/>
        </w:rPr>
      </w:pPr>
      <w:r>
        <w:rPr>
          <w:spacing w:val="1"/>
        </w:rPr>
        <w:t>Материалы крана шарового должны соответствовать требованиям настоящих Методических указаний, НД РФ или КД на материалы. Соответствие материалов этим требованиям должно подтверждаться протоколами испытаний завода-изготовителя кранов по методике на соответствующий материал.</w:t>
      </w:r>
    </w:p>
    <w:p>
      <w:pPr>
        <w:shd w:val="clear" w:color="auto" w:fill="FFFFFF" w:themeFill="background1"/>
        <w:tabs>
          <w:tab w:val="left" w:pos="993"/>
          <w:tab w:val="left" w:pos="1134"/>
          <w:tab w:val="left" w:pos="1276"/>
        </w:tabs>
        <w:ind w:right="104"/>
        <w:rPr>
          <w:spacing w:val="1"/>
        </w:rPr>
      </w:pPr>
    </w:p>
    <w:p>
      <w:pPr>
        <w:tabs>
          <w:tab w:val="left" w:pos="1276"/>
        </w:tabs>
        <w:ind w:right="-1"/>
        <w:rPr>
          <w:spacing w:val="1"/>
        </w:rPr>
      </w:pPr>
      <w:r>
        <w:rPr>
          <w:spacing w:val="1"/>
        </w:rPr>
        <w:t>Использование материалов, поступивших без сертификатов, для изготовления основных деталей кранов не допускается.</w:t>
      </w:r>
    </w:p>
    <w:p>
      <w:pPr>
        <w:shd w:val="clear" w:color="auto" w:fill="FFFFFF" w:themeFill="background1"/>
        <w:tabs>
          <w:tab w:val="left" w:pos="993"/>
          <w:tab w:val="left" w:pos="1134"/>
          <w:tab w:val="left" w:pos="1276"/>
        </w:tabs>
        <w:ind w:right="104"/>
        <w:rPr>
          <w:sz w:val="28"/>
        </w:rPr>
      </w:pPr>
    </w:p>
    <w:p>
      <w:pPr>
        <w:shd w:val="clear" w:color="auto" w:fill="FFFFFF" w:themeFill="background1"/>
        <w:tabs>
          <w:tab w:val="left" w:pos="1276"/>
        </w:tabs>
        <w:ind w:right="-1"/>
      </w:pPr>
      <w:r>
        <w:t xml:space="preserve">Применение </w:t>
      </w:r>
      <w:r>
        <w:rPr>
          <w:spacing w:val="1"/>
        </w:rPr>
        <w:t xml:space="preserve">новых материалов, </w:t>
      </w:r>
      <w:r>
        <w:t>материалов изготовленных из импортных марок материалов или полуфабрикатов зарубежных заводов-изготовителей, может рассматриваться только после предоставления заключения от СМО, которая аккредитована и соответствует требованиям ГОСТ</w:t>
      </w:r>
      <w:r>
        <w:rPr>
          <w:lang w:val="en-US"/>
        </w:rPr>
        <w:t> </w:t>
      </w:r>
      <w:r>
        <w:t>ИСО/МЭК</w:t>
      </w:r>
      <w:r>
        <w:rPr>
          <w:lang w:val="en-US"/>
        </w:rPr>
        <w:t> </w:t>
      </w:r>
      <w:r>
        <w:t>17025. Результаты комплексных испытаний должны оформляться в виде заключения/отчета и являются действительными в течение 3 лет с даты получения их заводом-изготовителем кранов от СМО, аккредитованной на соответствие требованиям ГОСТ</w:t>
      </w:r>
      <w:r>
        <w:rPr>
          <w:lang w:val="en-US"/>
        </w:rPr>
        <w:t> </w:t>
      </w:r>
      <w:r>
        <w:t>ИСО/МЭК</w:t>
      </w:r>
      <w:r>
        <w:rPr>
          <w:lang w:val="en-US"/>
        </w:rPr>
        <w:t> </w:t>
      </w:r>
      <w:r>
        <w:t>17025.</w:t>
      </w:r>
    </w:p>
    <w:p>
      <w:pPr>
        <w:shd w:val="clear" w:color="auto" w:fill="FFFFFF" w:themeFill="background1"/>
        <w:tabs>
          <w:tab w:val="left" w:pos="993"/>
          <w:tab w:val="left" w:pos="1134"/>
          <w:tab w:val="left" w:pos="1276"/>
        </w:tabs>
        <w:ind w:right="104"/>
        <w:rPr>
          <w:spacing w:val="1"/>
        </w:rPr>
      </w:pPr>
    </w:p>
    <w:p>
      <w:pPr>
        <w:widowControl w:val="0"/>
        <w:tabs>
          <w:tab w:val="left" w:pos="1134"/>
        </w:tabs>
      </w:pPr>
      <w:r>
        <w:t>ТРЕБОВАНИЯ К КОРРОЗИОННЫМ СВОЙСТВАМ.</w:t>
      </w:r>
    </w:p>
    <w:p/>
    <w:p>
      <w:pPr>
        <w:rPr>
          <w:rFonts w:eastAsia="Times New Roman"/>
          <w:szCs w:val="22"/>
          <w:lang w:eastAsia="en-US"/>
        </w:rPr>
      </w:pPr>
      <w:r>
        <w:rPr>
          <w:rFonts w:eastAsia="Times New Roman"/>
          <w:szCs w:val="22"/>
          <w:lang w:eastAsia="en-US"/>
        </w:rPr>
        <w:t>Взаимодействие факторов окружающей среды и условий эксплуатации оказывают влияние на скорость общей коррозии и коррозионное растрескивание.</w:t>
      </w:r>
    </w:p>
    <w:p>
      <w:pPr>
        <w:rPr>
          <w:rFonts w:eastAsia="Times New Roman"/>
          <w:szCs w:val="22"/>
          <w:lang w:eastAsia="en-US"/>
        </w:rPr>
      </w:pPr>
    </w:p>
    <w:p>
      <w:pPr>
        <w:rPr>
          <w:rFonts w:eastAsia="Times New Roman"/>
          <w:szCs w:val="22"/>
          <w:lang w:eastAsia="en-US"/>
        </w:rPr>
      </w:pPr>
      <w:r>
        <w:rPr>
          <w:rFonts w:eastAsia="Times New Roman"/>
          <w:szCs w:val="22"/>
          <w:lang w:eastAsia="en-US"/>
        </w:rPr>
        <w:lastRenderedPageBreak/>
        <w:t>Условием, влияющим на агрессивность рабочей среды, являются количественные характеристики Р</w:t>
      </w:r>
      <w:r>
        <w:rPr>
          <w:rFonts w:eastAsia="Times New Roman"/>
          <w:szCs w:val="22"/>
          <w:vertAlign w:val="subscript"/>
          <w:lang w:eastAsia="en-US"/>
        </w:rPr>
        <w:t>H2S</w:t>
      </w:r>
      <w:r>
        <w:rPr>
          <w:rFonts w:eastAsia="Times New Roman"/>
          <w:szCs w:val="22"/>
          <w:lang w:eastAsia="en-US"/>
        </w:rPr>
        <w:t>.</w:t>
      </w:r>
    </w:p>
    <w:p>
      <w:pPr>
        <w:rPr>
          <w:rFonts w:eastAsia="Times New Roman"/>
          <w:szCs w:val="22"/>
          <w:lang w:eastAsia="en-US"/>
        </w:rPr>
      </w:pPr>
    </w:p>
    <w:p>
      <w:pPr>
        <w:rPr>
          <w:rFonts w:eastAsia="Times New Roman"/>
          <w:szCs w:val="22"/>
          <w:lang w:eastAsia="en-US"/>
        </w:rPr>
      </w:pPr>
      <w:r>
        <w:rPr>
          <w:rFonts w:eastAsia="Times New Roman"/>
          <w:szCs w:val="22"/>
          <w:lang w:eastAsia="en-US"/>
        </w:rPr>
        <w:t>В соответствии с Таблицей 2 ГОСТ</w:t>
      </w:r>
      <w:r>
        <w:rPr>
          <w:rFonts w:eastAsia="Times New Roman"/>
          <w:szCs w:val="22"/>
          <w:lang w:val="en-US" w:eastAsia="en-US"/>
        </w:rPr>
        <w:t> </w:t>
      </w:r>
      <w:r>
        <w:rPr>
          <w:rFonts w:eastAsia="Times New Roman"/>
          <w:szCs w:val="22"/>
          <w:lang w:eastAsia="en-US"/>
        </w:rPr>
        <w:t>Р</w:t>
      </w:r>
      <w:r>
        <w:rPr>
          <w:rFonts w:eastAsia="Times New Roman"/>
          <w:szCs w:val="22"/>
          <w:lang w:val="en-US" w:eastAsia="en-US"/>
        </w:rPr>
        <w:t> </w:t>
      </w:r>
      <w:r>
        <w:rPr>
          <w:rFonts w:eastAsia="Times New Roman"/>
          <w:szCs w:val="22"/>
          <w:lang w:eastAsia="en-US"/>
        </w:rPr>
        <w:t>55990-2014 рабочие среды, содержащие H</w:t>
      </w:r>
      <w:r>
        <w:rPr>
          <w:rFonts w:eastAsia="Times New Roman"/>
          <w:szCs w:val="22"/>
          <w:vertAlign w:val="subscript"/>
          <w:lang w:eastAsia="en-US"/>
        </w:rPr>
        <w:t>2</w:t>
      </w:r>
      <w:r>
        <w:rPr>
          <w:rFonts w:eastAsia="Times New Roman"/>
          <w:szCs w:val="22"/>
          <w:lang w:eastAsia="en-US"/>
        </w:rPr>
        <w:t>S, в зависимости от стойкости оборудования к СКРН, подразделяются на продукты с низким, средним и высоким содержанием H</w:t>
      </w:r>
      <w:r>
        <w:rPr>
          <w:rFonts w:eastAsia="Times New Roman"/>
          <w:szCs w:val="22"/>
          <w:vertAlign w:val="subscript"/>
          <w:lang w:eastAsia="en-US"/>
        </w:rPr>
        <w:t>2</w:t>
      </w:r>
      <w:r>
        <w:rPr>
          <w:rFonts w:eastAsia="Times New Roman"/>
          <w:szCs w:val="22"/>
          <w:lang w:eastAsia="en-US"/>
        </w:rPr>
        <w:t>S.</w:t>
      </w:r>
    </w:p>
    <w:p>
      <w:pPr>
        <w:rPr>
          <w:rFonts w:eastAsia="Times New Roman"/>
          <w:szCs w:val="22"/>
          <w:lang w:eastAsia="en-US"/>
        </w:rPr>
      </w:pPr>
    </w:p>
    <w:p>
      <w:pPr>
        <w:rPr>
          <w:rFonts w:eastAsia="Times New Roman"/>
          <w:szCs w:val="22"/>
          <w:lang w:eastAsia="en-US"/>
        </w:rPr>
      </w:pPr>
      <w:r>
        <w:rPr>
          <w:rFonts w:eastAsia="Times New Roman"/>
          <w:szCs w:val="22"/>
          <w:lang w:eastAsia="en-US"/>
        </w:rPr>
        <w:t>Рабочие среды с Р</w:t>
      </w:r>
      <w:r>
        <w:rPr>
          <w:rFonts w:eastAsia="Times New Roman"/>
          <w:szCs w:val="22"/>
          <w:vertAlign w:val="subscript"/>
          <w:lang w:eastAsia="en-US"/>
        </w:rPr>
        <w:t>H2S</w:t>
      </w:r>
      <w:r>
        <w:rPr>
          <w:rFonts w:eastAsia="Times New Roman"/>
          <w:szCs w:val="22"/>
          <w:lang w:eastAsia="en-US"/>
        </w:rPr>
        <w:t> &lt; 300</w:t>
      </w:r>
      <w:r>
        <w:rPr>
          <w:rFonts w:eastAsia="Times New Roman"/>
          <w:szCs w:val="22"/>
          <w:lang w:val="en-US" w:eastAsia="en-US"/>
        </w:rPr>
        <w:t> </w:t>
      </w:r>
      <w:r>
        <w:rPr>
          <w:rFonts w:eastAsia="Times New Roman"/>
          <w:szCs w:val="22"/>
          <w:lang w:eastAsia="en-US"/>
        </w:rPr>
        <w:t>Па не вызывают СКРН трубопроводов.</w:t>
      </w:r>
    </w:p>
    <w:p>
      <w:pPr>
        <w:rPr>
          <w:rFonts w:eastAsia="Times New Roman"/>
          <w:szCs w:val="22"/>
          <w:lang w:eastAsia="en-US"/>
        </w:rPr>
      </w:pPr>
    </w:p>
    <w:p>
      <w:pPr>
        <w:rPr>
          <w:rFonts w:eastAsia="Times New Roman"/>
          <w:szCs w:val="22"/>
          <w:lang w:eastAsia="en-US"/>
        </w:rPr>
      </w:pPr>
      <w:r>
        <w:rPr>
          <w:rFonts w:eastAsia="Times New Roman"/>
          <w:szCs w:val="22"/>
          <w:lang w:eastAsia="en-US"/>
        </w:rPr>
        <w:t>Классификация рабочей среды, в зависимости от содержания агрессивных сред, приведена в Таблице 8.</w:t>
      </w:r>
      <w:bookmarkStart w:id="95" w:name="_Toc339020500"/>
    </w:p>
    <w:p>
      <w:pPr>
        <w:rPr>
          <w:rFonts w:eastAsia="Times New Roman"/>
          <w:szCs w:val="22"/>
          <w:lang w:eastAsia="en-US"/>
        </w:rPr>
      </w:pPr>
    </w:p>
    <w:p>
      <w:pPr>
        <w:keepNext/>
        <w:widowControl w:val="0"/>
        <w:jc w:val="right"/>
        <w:rPr>
          <w:rFonts w:ascii="Arial" w:eastAsia="Times New Roman" w:hAnsi="Arial"/>
          <w:b/>
          <w:sz w:val="20"/>
        </w:rPr>
      </w:pPr>
      <w:bookmarkStart w:id="96" w:name="_Toc339020501"/>
      <w:bookmarkEnd w:id="95"/>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8</w:t>
      </w:r>
      <w:r>
        <w:rPr>
          <w:rFonts w:ascii="Arial" w:eastAsia="Times New Roman" w:hAnsi="Arial"/>
          <w:b/>
          <w:sz w:val="20"/>
        </w:rPr>
        <w:fldChar w:fldCharType="end"/>
      </w:r>
    </w:p>
    <w:p>
      <w:pPr>
        <w:keepNext/>
        <w:spacing w:after="60"/>
        <w:jc w:val="right"/>
        <w:rPr>
          <w:rFonts w:ascii="Arial" w:hAnsi="Arial" w:cs="Arial"/>
          <w:b/>
          <w:bCs/>
          <w:sz w:val="20"/>
          <w:szCs w:val="20"/>
        </w:rPr>
      </w:pPr>
      <w:r>
        <w:rPr>
          <w:rFonts w:ascii="Arial" w:hAnsi="Arial" w:cs="Arial"/>
          <w:b/>
          <w:bCs/>
          <w:sz w:val="20"/>
          <w:szCs w:val="20"/>
        </w:rPr>
        <w:t>Классификация рабочей среды в зависимости от содержания агрессивных сред</w:t>
      </w:r>
    </w:p>
    <w:tbl>
      <w:tblPr>
        <w:tblW w:w="4945"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6"/>
        <w:gridCol w:w="1834"/>
        <w:gridCol w:w="5719"/>
        <w:gridCol w:w="1667"/>
      </w:tblGrid>
      <w:tr>
        <w:trPr>
          <w:trHeight w:val="510"/>
          <w:tblHeader/>
        </w:trPr>
        <w:tc>
          <w:tcPr>
            <w:tcW w:w="270" w:type="pct"/>
            <w:tcBorders>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w:t>
            </w:r>
          </w:p>
          <w:p>
            <w:pPr>
              <w:autoSpaceDE w:val="0"/>
              <w:autoSpaceDN w:val="0"/>
              <w:jc w:val="center"/>
              <w:rPr>
                <w:rFonts w:ascii="Arial" w:eastAsia="SimSun" w:hAnsi="Arial" w:cs="Arial"/>
                <w:b/>
                <w:bCs/>
                <w:sz w:val="16"/>
                <w:szCs w:val="16"/>
                <w:lang w:eastAsia="zh-CN"/>
              </w:rPr>
            </w:pPr>
            <w:r>
              <w:rPr>
                <w:rFonts w:ascii="Arial" w:hAnsi="Arial" w:cs="Arial"/>
                <w:b/>
                <w:bCs/>
                <w:sz w:val="16"/>
                <w:szCs w:val="16"/>
              </w:rPr>
              <w:t>П/П</w:t>
            </w:r>
          </w:p>
        </w:tc>
        <w:tc>
          <w:tcPr>
            <w:tcW w:w="941" w:type="pct"/>
            <w:tcBorders>
              <w:bottom w:val="single" w:sz="12" w:space="0" w:color="auto"/>
            </w:tcBorders>
            <w:shd w:val="clear" w:color="auto" w:fill="FFD200"/>
            <w:tcMar>
              <w:top w:w="0" w:type="dxa"/>
              <w:left w:w="108" w:type="dxa"/>
              <w:bottom w:w="0" w:type="dxa"/>
              <w:right w:w="108" w:type="dxa"/>
            </w:tcMar>
            <w:vAlign w:val="center"/>
            <w:hideMark/>
          </w:tcPr>
          <w:p>
            <w:pPr>
              <w:autoSpaceDE w:val="0"/>
              <w:autoSpaceDN w:val="0"/>
              <w:rPr>
                <w:rFonts w:ascii="Arial" w:eastAsia="SimSun" w:hAnsi="Arial" w:cs="Arial"/>
                <w:b/>
                <w:bCs/>
                <w:sz w:val="16"/>
                <w:szCs w:val="16"/>
                <w:lang w:eastAsia="zh-CN"/>
              </w:rPr>
            </w:pPr>
            <w:r>
              <w:rPr>
                <w:rFonts w:ascii="Arial" w:hAnsi="Arial" w:cs="Arial"/>
                <w:b/>
                <w:bCs/>
                <w:sz w:val="16"/>
                <w:szCs w:val="16"/>
              </w:rPr>
              <w:t>КЛАССИФИКАЦИЯ</w:t>
            </w:r>
          </w:p>
        </w:tc>
        <w:tc>
          <w:tcPr>
            <w:tcW w:w="2934" w:type="pct"/>
            <w:tcBorders>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 xml:space="preserve">ПАРЦИАЛЬНОЕ ДАВЛЕНИЕ </w:t>
            </w:r>
          </w:p>
        </w:tc>
        <w:tc>
          <w:tcPr>
            <w:tcW w:w="855" w:type="pct"/>
            <w:tcBorders>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УСЛОВНОЕ ОБОЗНАЧЕНИЕ</w:t>
            </w:r>
          </w:p>
        </w:tc>
      </w:tr>
      <w:tr>
        <w:trPr>
          <w:trHeight w:val="227"/>
          <w:tblHeader/>
        </w:trPr>
        <w:tc>
          <w:tcPr>
            <w:tcW w:w="270" w:type="pct"/>
            <w:tcBorders>
              <w:top w:val="single" w:sz="12" w:space="0" w:color="auto"/>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1</w:t>
            </w:r>
          </w:p>
        </w:tc>
        <w:tc>
          <w:tcPr>
            <w:tcW w:w="941" w:type="pct"/>
            <w:tcBorders>
              <w:top w:val="single" w:sz="12" w:space="0" w:color="auto"/>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2</w:t>
            </w:r>
          </w:p>
        </w:tc>
        <w:tc>
          <w:tcPr>
            <w:tcW w:w="2934" w:type="pct"/>
            <w:tcBorders>
              <w:top w:val="single" w:sz="12" w:space="0" w:color="auto"/>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3</w:t>
            </w:r>
          </w:p>
        </w:tc>
        <w:tc>
          <w:tcPr>
            <w:tcW w:w="855" w:type="pct"/>
            <w:tcBorders>
              <w:top w:val="single" w:sz="12" w:space="0" w:color="auto"/>
              <w:bottom w:val="single" w:sz="12" w:space="0" w:color="auto"/>
            </w:tcBorders>
            <w:shd w:val="clear" w:color="auto" w:fill="FFD200"/>
            <w:tcMar>
              <w:top w:w="0" w:type="dxa"/>
              <w:left w:w="108" w:type="dxa"/>
              <w:bottom w:w="0" w:type="dxa"/>
              <w:right w:w="108" w:type="dxa"/>
            </w:tcMar>
            <w:vAlign w:val="center"/>
            <w:hideMark/>
          </w:tcPr>
          <w:p>
            <w:pPr>
              <w:autoSpaceDE w:val="0"/>
              <w:autoSpaceDN w:val="0"/>
              <w:jc w:val="center"/>
              <w:rPr>
                <w:rFonts w:ascii="Arial" w:eastAsia="SimSun" w:hAnsi="Arial" w:cs="Arial"/>
                <w:b/>
                <w:bCs/>
                <w:sz w:val="16"/>
                <w:szCs w:val="16"/>
                <w:lang w:eastAsia="zh-CN"/>
              </w:rPr>
            </w:pPr>
            <w:r>
              <w:rPr>
                <w:rFonts w:ascii="Arial" w:hAnsi="Arial" w:cs="Arial"/>
                <w:b/>
                <w:bCs/>
                <w:sz w:val="16"/>
                <w:szCs w:val="16"/>
              </w:rPr>
              <w:t>4</w:t>
            </w:r>
          </w:p>
        </w:tc>
      </w:tr>
      <w:tr>
        <w:trPr>
          <w:trHeight w:val="255"/>
        </w:trPr>
        <w:tc>
          <w:tcPr>
            <w:tcW w:w="270" w:type="pct"/>
            <w:tcBorders>
              <w:top w:val="single" w:sz="12" w:space="0" w:color="auto"/>
            </w:tcBorders>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1</w:t>
            </w:r>
          </w:p>
        </w:tc>
        <w:tc>
          <w:tcPr>
            <w:tcW w:w="4730" w:type="pct"/>
            <w:gridSpan w:val="3"/>
            <w:tcBorders>
              <w:top w:val="single" w:sz="12" w:space="0" w:color="auto"/>
            </w:tcBorders>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Сероводородсодержащие среды (H</w:t>
            </w:r>
            <w:r>
              <w:rPr>
                <w:vertAlign w:val="subscript"/>
              </w:rPr>
              <w:t>2</w:t>
            </w:r>
            <w:r>
              <w:rPr>
                <w:sz w:val="20"/>
                <w:szCs w:val="20"/>
              </w:rPr>
              <w:t>S)</w:t>
            </w: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1.1</w:t>
            </w:r>
          </w:p>
        </w:tc>
        <w:tc>
          <w:tcPr>
            <w:tcW w:w="941"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Отсутствует</w:t>
            </w:r>
          </w:p>
        </w:tc>
        <w:tc>
          <w:tcPr>
            <w:tcW w:w="2934"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Менее 300 Па – в расчетах корр. агрессивности рабочей среды не учитывается</w:t>
            </w:r>
          </w:p>
        </w:tc>
        <w:tc>
          <w:tcPr>
            <w:tcW w:w="855" w:type="pct"/>
            <w:tcMar>
              <w:top w:w="0" w:type="dxa"/>
              <w:left w:w="108" w:type="dxa"/>
              <w:bottom w:w="0" w:type="dxa"/>
              <w:right w:w="108" w:type="dxa"/>
            </w:tcMar>
            <w:hideMark/>
          </w:tcPr>
          <w:p>
            <w:pPr>
              <w:autoSpaceDE w:val="0"/>
              <w:autoSpaceDN w:val="0"/>
              <w:jc w:val="center"/>
              <w:rPr>
                <w:rFonts w:eastAsia="SimSun"/>
                <w:sz w:val="20"/>
                <w:szCs w:val="20"/>
                <w:lang w:eastAsia="zh-CN"/>
              </w:rPr>
            </w:pPr>
            <w:r>
              <w:rPr>
                <w:sz w:val="20"/>
                <w:szCs w:val="20"/>
              </w:rPr>
              <w:t>К0</w:t>
            </w: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1.2</w:t>
            </w:r>
          </w:p>
        </w:tc>
        <w:tc>
          <w:tcPr>
            <w:tcW w:w="941"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Низкое</w:t>
            </w:r>
          </w:p>
        </w:tc>
        <w:tc>
          <w:tcPr>
            <w:tcW w:w="2934"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От 300 до 10 000 Па включительно</w:t>
            </w:r>
          </w:p>
        </w:tc>
        <w:tc>
          <w:tcPr>
            <w:tcW w:w="855" w:type="pct"/>
            <w:tcMar>
              <w:top w:w="0" w:type="dxa"/>
              <w:left w:w="108" w:type="dxa"/>
              <w:bottom w:w="0" w:type="dxa"/>
              <w:right w:w="108" w:type="dxa"/>
            </w:tcMar>
            <w:hideMark/>
          </w:tcPr>
          <w:p>
            <w:pPr>
              <w:autoSpaceDE w:val="0"/>
              <w:autoSpaceDN w:val="0"/>
              <w:jc w:val="center"/>
              <w:rPr>
                <w:rFonts w:eastAsia="SimSun"/>
                <w:sz w:val="20"/>
                <w:szCs w:val="20"/>
                <w:lang w:eastAsia="zh-CN"/>
              </w:rPr>
            </w:pPr>
            <w:r>
              <w:rPr>
                <w:sz w:val="20"/>
                <w:szCs w:val="20"/>
              </w:rPr>
              <w:t>К1</w:t>
            </w: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1.3</w:t>
            </w:r>
          </w:p>
        </w:tc>
        <w:tc>
          <w:tcPr>
            <w:tcW w:w="941"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Среднее</w:t>
            </w:r>
          </w:p>
        </w:tc>
        <w:tc>
          <w:tcPr>
            <w:tcW w:w="2934"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Свыше 10 000 Па до 1 000 000 Па включительно</w:t>
            </w:r>
          </w:p>
        </w:tc>
        <w:tc>
          <w:tcPr>
            <w:tcW w:w="855" w:type="pct"/>
            <w:tcMar>
              <w:top w:w="0" w:type="dxa"/>
              <w:left w:w="108" w:type="dxa"/>
              <w:bottom w:w="0" w:type="dxa"/>
              <w:right w:w="108" w:type="dxa"/>
            </w:tcMar>
            <w:hideMark/>
          </w:tcPr>
          <w:p>
            <w:pPr>
              <w:autoSpaceDE w:val="0"/>
              <w:autoSpaceDN w:val="0"/>
              <w:jc w:val="center"/>
              <w:rPr>
                <w:rFonts w:eastAsia="SimSun"/>
                <w:sz w:val="20"/>
                <w:szCs w:val="20"/>
                <w:lang w:eastAsia="zh-CN"/>
              </w:rPr>
            </w:pPr>
            <w:r>
              <w:rPr>
                <w:sz w:val="20"/>
                <w:szCs w:val="20"/>
              </w:rPr>
              <w:t>К2</w:t>
            </w: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1.4</w:t>
            </w:r>
          </w:p>
        </w:tc>
        <w:tc>
          <w:tcPr>
            <w:tcW w:w="941"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Высокое</w:t>
            </w:r>
          </w:p>
        </w:tc>
        <w:tc>
          <w:tcPr>
            <w:tcW w:w="2934"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 xml:space="preserve">Свыше 1 000 000 Па </w:t>
            </w:r>
          </w:p>
        </w:tc>
        <w:tc>
          <w:tcPr>
            <w:tcW w:w="855" w:type="pct"/>
            <w:tcMar>
              <w:top w:w="0" w:type="dxa"/>
              <w:left w:w="108" w:type="dxa"/>
              <w:bottom w:w="0" w:type="dxa"/>
              <w:right w:w="108" w:type="dxa"/>
            </w:tcMar>
            <w:hideMark/>
          </w:tcPr>
          <w:p>
            <w:pPr>
              <w:autoSpaceDE w:val="0"/>
              <w:autoSpaceDN w:val="0"/>
              <w:jc w:val="center"/>
              <w:rPr>
                <w:rFonts w:eastAsia="SimSun"/>
                <w:sz w:val="20"/>
                <w:szCs w:val="20"/>
                <w:lang w:eastAsia="zh-CN"/>
              </w:rPr>
            </w:pPr>
            <w:r>
              <w:rPr>
                <w:sz w:val="20"/>
                <w:szCs w:val="20"/>
              </w:rPr>
              <w:t>К3</w:t>
            </w: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rFonts w:eastAsia="SimSun"/>
                <w:sz w:val="20"/>
                <w:szCs w:val="20"/>
                <w:lang w:eastAsia="zh-CN"/>
              </w:rPr>
              <w:t>2</w:t>
            </w:r>
          </w:p>
        </w:tc>
        <w:tc>
          <w:tcPr>
            <w:tcW w:w="3875" w:type="pct"/>
            <w:gridSpan w:val="2"/>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Среды содержащие аммиак (</w:t>
            </w:r>
            <w:r>
              <w:rPr>
                <w:color w:val="222222"/>
                <w:sz w:val="20"/>
                <w:szCs w:val="20"/>
              </w:rPr>
              <w:t>NH</w:t>
            </w:r>
            <w:r>
              <w:rPr>
                <w:color w:val="222222"/>
                <w:vertAlign w:val="subscript"/>
              </w:rPr>
              <w:t>3</w:t>
            </w:r>
            <w:r>
              <w:rPr>
                <w:sz w:val="20"/>
                <w:szCs w:val="20"/>
              </w:rPr>
              <w:t>)</w:t>
            </w:r>
          </w:p>
        </w:tc>
        <w:tc>
          <w:tcPr>
            <w:tcW w:w="855" w:type="pct"/>
            <w:tcMar>
              <w:top w:w="0" w:type="dxa"/>
              <w:left w:w="108" w:type="dxa"/>
              <w:bottom w:w="0" w:type="dxa"/>
              <w:right w:w="108" w:type="dxa"/>
            </w:tcMar>
          </w:tcPr>
          <w:p>
            <w:pPr>
              <w:pStyle w:val="FORMATTEXT0"/>
              <w:jc w:val="center"/>
              <w:rPr>
                <w:sz w:val="20"/>
                <w:szCs w:val="20"/>
                <w:lang w:eastAsia="zh-CN"/>
              </w:rPr>
            </w:pPr>
          </w:p>
        </w:tc>
      </w:tr>
      <w:tr>
        <w:trPr>
          <w:trHeight w:val="255"/>
        </w:trPr>
        <w:tc>
          <w:tcPr>
            <w:tcW w:w="270"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2.1</w:t>
            </w:r>
          </w:p>
        </w:tc>
        <w:tc>
          <w:tcPr>
            <w:tcW w:w="941" w:type="pct"/>
            <w:tcMar>
              <w:top w:w="0" w:type="dxa"/>
              <w:left w:w="108" w:type="dxa"/>
              <w:bottom w:w="0" w:type="dxa"/>
              <w:right w:w="108" w:type="dxa"/>
            </w:tcMar>
            <w:hideMark/>
          </w:tcPr>
          <w:p>
            <w:pPr>
              <w:autoSpaceDE w:val="0"/>
              <w:autoSpaceDN w:val="0"/>
              <w:rPr>
                <w:rFonts w:eastAsia="SimSun"/>
                <w:sz w:val="20"/>
                <w:szCs w:val="20"/>
                <w:lang w:eastAsia="zh-CN"/>
              </w:rPr>
            </w:pPr>
            <w:r>
              <w:rPr>
                <w:sz w:val="20"/>
                <w:szCs w:val="20"/>
              </w:rPr>
              <w:t>Наличие</w:t>
            </w:r>
          </w:p>
        </w:tc>
        <w:tc>
          <w:tcPr>
            <w:tcW w:w="2934" w:type="pct"/>
            <w:tcMar>
              <w:top w:w="0" w:type="dxa"/>
              <w:left w:w="108" w:type="dxa"/>
              <w:bottom w:w="0" w:type="dxa"/>
              <w:right w:w="108" w:type="dxa"/>
            </w:tcMar>
            <w:hideMark/>
          </w:tcPr>
          <w:p>
            <w:pPr>
              <w:pStyle w:val="affff8"/>
              <w:rPr>
                <w:sz w:val="20"/>
                <w:szCs w:val="20"/>
                <w:lang w:eastAsia="zh-CN"/>
              </w:rPr>
            </w:pPr>
            <w:r>
              <w:rPr>
                <w:sz w:val="20"/>
                <w:szCs w:val="20"/>
              </w:rPr>
              <w:t>От 1 000 000 Па включительно</w:t>
            </w:r>
          </w:p>
        </w:tc>
        <w:tc>
          <w:tcPr>
            <w:tcW w:w="855" w:type="pct"/>
            <w:tcMar>
              <w:top w:w="0" w:type="dxa"/>
              <w:left w:w="108" w:type="dxa"/>
              <w:bottom w:w="0" w:type="dxa"/>
              <w:right w:w="108" w:type="dxa"/>
            </w:tcMar>
            <w:hideMark/>
          </w:tcPr>
          <w:p>
            <w:pPr>
              <w:pStyle w:val="FORMATTEXT0"/>
              <w:jc w:val="center"/>
              <w:rPr>
                <w:sz w:val="20"/>
                <w:szCs w:val="20"/>
                <w:lang w:eastAsia="zh-CN"/>
              </w:rPr>
            </w:pPr>
            <w:r>
              <w:rPr>
                <w:sz w:val="20"/>
                <w:szCs w:val="20"/>
              </w:rPr>
              <w:t>А</w:t>
            </w:r>
          </w:p>
        </w:tc>
      </w:tr>
    </w:tbl>
    <w:p>
      <w:pPr>
        <w:pStyle w:val="S0"/>
        <w:rPr>
          <w:rFonts w:eastAsia="SimSun"/>
          <w:lang w:val="en-US" w:eastAsia="zh-CN"/>
        </w:rPr>
      </w:pPr>
    </w:p>
    <w:p>
      <w:pPr>
        <w:rPr>
          <w:rFonts w:eastAsia="Times New Roman"/>
          <w:szCs w:val="22"/>
          <w:lang w:eastAsia="en-US"/>
        </w:rPr>
      </w:pPr>
      <w:r>
        <w:rPr>
          <w:rFonts w:eastAsia="Times New Roman"/>
          <w:szCs w:val="22"/>
          <w:lang w:eastAsia="en-US"/>
        </w:rPr>
        <w:t>В соответствии с РД</w:t>
      </w:r>
      <w:r>
        <w:rPr>
          <w:rFonts w:eastAsia="Times New Roman"/>
          <w:szCs w:val="22"/>
          <w:lang w:val="en-US" w:eastAsia="en-US"/>
        </w:rPr>
        <w:t> </w:t>
      </w:r>
      <w:r>
        <w:rPr>
          <w:rFonts w:eastAsia="Times New Roman"/>
          <w:szCs w:val="22"/>
          <w:lang w:eastAsia="en-US"/>
        </w:rPr>
        <w:t>39-0147103-362, при наличии в рабочей среде, содержащей H</w:t>
      </w:r>
      <w:r>
        <w:rPr>
          <w:rFonts w:eastAsia="Times New Roman"/>
          <w:szCs w:val="22"/>
          <w:vertAlign w:val="subscript"/>
          <w:lang w:eastAsia="en-US"/>
        </w:rPr>
        <w:t>2</w:t>
      </w:r>
      <w:r>
        <w:rPr>
          <w:rFonts w:eastAsia="Times New Roman"/>
          <w:szCs w:val="22"/>
          <w:lang w:eastAsia="en-US"/>
        </w:rPr>
        <w:t>S (Р</w:t>
      </w:r>
      <w:r>
        <w:rPr>
          <w:rFonts w:eastAsia="Times New Roman"/>
          <w:szCs w:val="22"/>
          <w:vertAlign w:val="subscript"/>
          <w:lang w:eastAsia="en-US"/>
        </w:rPr>
        <w:t>H2S</w:t>
      </w:r>
      <w:r>
        <w:rPr>
          <w:rFonts w:eastAsia="Times New Roman"/>
          <w:szCs w:val="22"/>
          <w:lang w:eastAsia="en-US"/>
        </w:rPr>
        <w:t> &gt; 300</w:t>
      </w:r>
      <w:r>
        <w:rPr>
          <w:rFonts w:eastAsia="Times New Roman"/>
          <w:szCs w:val="22"/>
          <w:lang w:val="en-US" w:eastAsia="en-US"/>
        </w:rPr>
        <w:t> </w:t>
      </w:r>
      <w:r>
        <w:rPr>
          <w:rFonts w:eastAsia="Times New Roman"/>
          <w:szCs w:val="22"/>
          <w:lang w:eastAsia="en-US"/>
        </w:rPr>
        <w:t>Па), дополнительно агрессивного компонента СО</w:t>
      </w:r>
      <w:r>
        <w:rPr>
          <w:rFonts w:eastAsia="Times New Roman"/>
          <w:szCs w:val="22"/>
          <w:vertAlign w:val="subscript"/>
          <w:lang w:eastAsia="en-US"/>
        </w:rPr>
        <w:t>2</w:t>
      </w:r>
      <w:r>
        <w:rPr>
          <w:rFonts w:eastAsia="Times New Roman"/>
          <w:szCs w:val="22"/>
          <w:lang w:eastAsia="en-US"/>
        </w:rPr>
        <w:t> &gt; 50 000</w:t>
      </w:r>
      <w:r>
        <w:rPr>
          <w:rFonts w:eastAsia="Times New Roman"/>
          <w:szCs w:val="22"/>
          <w:lang w:val="en-US" w:eastAsia="en-US"/>
        </w:rPr>
        <w:t> </w:t>
      </w:r>
      <w:r>
        <w:rPr>
          <w:rFonts w:eastAsia="Times New Roman"/>
          <w:szCs w:val="22"/>
          <w:lang w:eastAsia="en-US"/>
        </w:rPr>
        <w:t>Па, степень агрессивного воздействия К возрастает на одну ступень.</w:t>
      </w:r>
    </w:p>
    <w:p>
      <w:pPr>
        <w:rPr>
          <w:rFonts w:eastAsia="Times New Roman"/>
          <w:szCs w:val="22"/>
          <w:lang w:eastAsia="en-US"/>
        </w:rPr>
      </w:pPr>
    </w:p>
    <w:p>
      <w:pPr>
        <w:rPr>
          <w:rFonts w:eastAsia="Times New Roman"/>
          <w:szCs w:val="22"/>
          <w:lang w:eastAsia="en-US"/>
        </w:rPr>
      </w:pPr>
      <w:r>
        <w:rPr>
          <w:rFonts w:eastAsia="Times New Roman"/>
          <w:szCs w:val="22"/>
          <w:lang w:eastAsia="en-US"/>
        </w:rPr>
        <w:t>При Р</w:t>
      </w:r>
      <w:r>
        <w:rPr>
          <w:rFonts w:eastAsia="Times New Roman"/>
          <w:szCs w:val="22"/>
          <w:vertAlign w:val="subscript"/>
          <w:lang w:eastAsia="en-US"/>
        </w:rPr>
        <w:t>H2S</w:t>
      </w:r>
      <w:r>
        <w:rPr>
          <w:rFonts w:eastAsia="Times New Roman"/>
          <w:szCs w:val="22"/>
          <w:lang w:eastAsia="en-US"/>
        </w:rPr>
        <w:t> &lt; 300 Па, и наличии в рабочей среде СО</w:t>
      </w:r>
      <w:r>
        <w:rPr>
          <w:rFonts w:eastAsia="Times New Roman"/>
          <w:szCs w:val="22"/>
          <w:vertAlign w:val="subscript"/>
          <w:lang w:eastAsia="en-US"/>
        </w:rPr>
        <w:t>2</w:t>
      </w:r>
      <w:r>
        <w:rPr>
          <w:rFonts w:eastAsia="Times New Roman"/>
          <w:szCs w:val="22"/>
          <w:lang w:eastAsia="en-US"/>
        </w:rPr>
        <w:t xml:space="preserve"> с Р</w:t>
      </w:r>
      <w:r>
        <w:rPr>
          <w:rFonts w:eastAsia="Times New Roman"/>
          <w:szCs w:val="22"/>
          <w:vertAlign w:val="subscript"/>
          <w:lang w:eastAsia="en-US"/>
        </w:rPr>
        <w:t>СО2</w:t>
      </w:r>
      <w:r>
        <w:rPr>
          <w:rFonts w:eastAsia="Times New Roman"/>
          <w:szCs w:val="22"/>
          <w:lang w:eastAsia="en-US"/>
        </w:rPr>
        <w:t> &gt; 50 000</w:t>
      </w:r>
      <w:r>
        <w:rPr>
          <w:rFonts w:eastAsia="Times New Roman"/>
          <w:szCs w:val="22"/>
          <w:lang w:val="en-US" w:eastAsia="en-US"/>
        </w:rPr>
        <w:t> </w:t>
      </w:r>
      <w:r>
        <w:rPr>
          <w:rFonts w:eastAsia="Times New Roman"/>
          <w:szCs w:val="22"/>
          <w:lang w:eastAsia="en-US"/>
        </w:rPr>
        <w:t xml:space="preserve">Па, испытание на скорость общей коррозии деталей </w:t>
      </w:r>
      <w:r>
        <w:rPr>
          <w:rFonts w:eastAsia="PMingLiU"/>
          <w:lang w:eastAsia="en-US"/>
        </w:rPr>
        <w:t>крана шарового</w:t>
      </w:r>
      <w:r>
        <w:rPr>
          <w:rFonts w:eastAsia="Times New Roman"/>
          <w:szCs w:val="22"/>
          <w:lang w:eastAsia="en-US"/>
        </w:rPr>
        <w:t xml:space="preserve"> и сварных швов должна определяться в соответствии с </w:t>
      </w:r>
      <w:hyperlink w:anchor="_ПРИЛОЖЕНИЕ_5._ПЕРЕЧЕНЬ" w:history="1">
        <w:r>
          <w:rPr>
            <w:rStyle w:val="a6"/>
            <w:rFonts w:eastAsia="Times New Roman"/>
            <w:szCs w:val="22"/>
            <w:lang w:eastAsia="en-US"/>
          </w:rPr>
          <w:t>Приложением 4</w:t>
        </w:r>
      </w:hyperlink>
      <w:r>
        <w:rPr>
          <w:rFonts w:eastAsia="Times New Roman"/>
          <w:szCs w:val="22"/>
          <w:lang w:eastAsia="en-US"/>
        </w:rPr>
        <w:t xml:space="preserve"> настоящих Методических указаний.</w:t>
      </w:r>
    </w:p>
    <w:p>
      <w:pPr>
        <w:rPr>
          <w:rFonts w:eastAsia="Times New Roman"/>
          <w:szCs w:val="22"/>
          <w:lang w:eastAsia="en-US"/>
        </w:rPr>
      </w:pPr>
    </w:p>
    <w:p>
      <w:pPr>
        <w:rPr>
          <w:rFonts w:eastAsia="Times New Roman"/>
          <w:szCs w:val="22"/>
          <w:lang w:eastAsia="en-US"/>
        </w:rPr>
      </w:pPr>
      <w:r>
        <w:rPr>
          <w:rFonts w:eastAsia="Times New Roman"/>
          <w:szCs w:val="22"/>
          <w:lang w:eastAsia="en-US"/>
        </w:rPr>
        <w:t>Для сред с повышенным содержанием Р</w:t>
      </w:r>
      <w:r>
        <w:rPr>
          <w:rFonts w:eastAsia="Times New Roman"/>
          <w:szCs w:val="22"/>
          <w:vertAlign w:val="subscript"/>
          <w:lang w:eastAsia="en-US"/>
        </w:rPr>
        <w:t>H2S</w:t>
      </w:r>
      <w:r>
        <w:rPr>
          <w:rFonts w:eastAsia="Times New Roman"/>
          <w:szCs w:val="22"/>
          <w:lang w:eastAsia="en-US"/>
        </w:rPr>
        <w:t> &gt; 300 Па выбор основных и наплавочных материалов должен производиться по Приложению Б ГОСТ</w:t>
      </w:r>
      <w:r>
        <w:rPr>
          <w:rFonts w:eastAsia="Times New Roman"/>
          <w:szCs w:val="22"/>
          <w:lang w:val="en-US" w:eastAsia="en-US"/>
        </w:rPr>
        <w:t> </w:t>
      </w:r>
      <w:r>
        <w:rPr>
          <w:rFonts w:eastAsia="Times New Roman"/>
          <w:szCs w:val="22"/>
          <w:lang w:eastAsia="en-US"/>
        </w:rPr>
        <w:t>33260-2015, Приложению В и Таблице 2 СТ ЦКБА</w:t>
      </w:r>
      <w:r>
        <w:rPr>
          <w:rFonts w:eastAsia="Times New Roman"/>
          <w:szCs w:val="22"/>
          <w:lang w:val="en-US" w:eastAsia="en-US"/>
        </w:rPr>
        <w:t> </w:t>
      </w:r>
      <w:r>
        <w:rPr>
          <w:rFonts w:eastAsia="Times New Roman"/>
          <w:szCs w:val="22"/>
          <w:lang w:eastAsia="en-US"/>
        </w:rPr>
        <w:t xml:space="preserve">052-2005. Рекомендованный, но не ограниченный перечень материалов основных деталей </w:t>
      </w:r>
      <w:r>
        <w:rPr>
          <w:rFonts w:eastAsia="PMingLiU"/>
          <w:lang w:eastAsia="en-US"/>
        </w:rPr>
        <w:t>крана шарового</w:t>
      </w:r>
      <w:r>
        <w:rPr>
          <w:rFonts w:eastAsia="Times New Roman"/>
          <w:szCs w:val="22"/>
          <w:lang w:eastAsia="en-US"/>
        </w:rPr>
        <w:t xml:space="preserve"> для сред с повышенным содержанием H</w:t>
      </w:r>
      <w:r>
        <w:rPr>
          <w:rFonts w:eastAsia="Times New Roman"/>
          <w:szCs w:val="22"/>
          <w:vertAlign w:val="subscript"/>
          <w:lang w:eastAsia="en-US"/>
        </w:rPr>
        <w:t>2</w:t>
      </w:r>
      <w:r>
        <w:rPr>
          <w:rFonts w:eastAsia="Times New Roman"/>
          <w:szCs w:val="22"/>
          <w:lang w:eastAsia="en-US"/>
        </w:rPr>
        <w:t>S представлен в Таблице 9.</w:t>
      </w:r>
    </w:p>
    <w:p>
      <w:pPr>
        <w:rPr>
          <w:rFonts w:eastAsia="Times New Roman"/>
          <w:szCs w:val="22"/>
          <w:lang w:eastAsia="en-US"/>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9</w:t>
      </w:r>
      <w:r>
        <w:rPr>
          <w:rFonts w:ascii="Arial" w:eastAsia="Times New Roman" w:hAnsi="Arial"/>
          <w:b/>
          <w:sz w:val="20"/>
        </w:rPr>
        <w:fldChar w:fldCharType="end"/>
      </w:r>
    </w:p>
    <w:p>
      <w:pPr>
        <w:keepNext/>
        <w:widowControl w:val="0"/>
        <w:spacing w:after="60"/>
        <w:jc w:val="right"/>
        <w:rPr>
          <w:rFonts w:ascii="Arial" w:eastAsia="Times New Roman" w:hAnsi="Arial"/>
          <w:b/>
          <w:sz w:val="20"/>
          <w:szCs w:val="16"/>
        </w:rPr>
      </w:pPr>
      <w:r>
        <w:rPr>
          <w:rFonts w:ascii="Arial" w:eastAsia="Times New Roman" w:hAnsi="Arial"/>
          <w:b/>
          <w:sz w:val="20"/>
          <w:szCs w:val="16"/>
        </w:rPr>
        <w:t>Рекомендованный, но не ограниченный перечень материалов основных деталей крана шарового сред с повышенным содержанием H</w:t>
      </w:r>
      <w:r>
        <w:rPr>
          <w:rFonts w:ascii="Arial" w:eastAsia="Times New Roman" w:hAnsi="Arial"/>
          <w:b/>
          <w:sz w:val="20"/>
          <w:szCs w:val="16"/>
          <w:vertAlign w:val="subscript"/>
        </w:rPr>
        <w:t>2</w:t>
      </w:r>
      <w:r>
        <w:rPr>
          <w:rFonts w:ascii="Arial" w:eastAsia="Times New Roman" w:hAnsi="Arial"/>
          <w:b/>
          <w:sz w:val="20"/>
          <w:szCs w:val="16"/>
        </w:rPr>
        <w:t>S</w:t>
      </w:r>
    </w:p>
    <w:tbl>
      <w:tblPr>
        <w:tblStyle w:val="1b"/>
        <w:tblW w:w="4945"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26"/>
        <w:gridCol w:w="3017"/>
        <w:gridCol w:w="2694"/>
        <w:gridCol w:w="3509"/>
      </w:tblGrid>
      <w:tr>
        <w:trPr>
          <w:trHeight w:val="510"/>
          <w:tblHeader/>
        </w:trPr>
        <w:tc>
          <w:tcPr>
            <w:tcW w:w="270" w:type="pct"/>
            <w:tcBorders>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w:t>
            </w:r>
          </w:p>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П/П</w:t>
            </w:r>
          </w:p>
        </w:tc>
        <w:tc>
          <w:tcPr>
            <w:tcW w:w="1548" w:type="pct"/>
            <w:tcBorders>
              <w:bottom w:val="single" w:sz="12" w:space="0" w:color="auto"/>
            </w:tcBorders>
            <w:shd w:val="clear" w:color="auto" w:fill="FFD200"/>
            <w:vAlign w:val="center"/>
          </w:tcPr>
          <w:p>
            <w:pPr>
              <w:widowControl w:val="0"/>
              <w:autoSpaceDE w:val="0"/>
              <w:autoSpaceDN w:val="0"/>
              <w:adjustRightInd w:val="0"/>
              <w:rPr>
                <w:rFonts w:ascii="Arial" w:eastAsia="Times New Roman" w:hAnsi="Arial" w:cs="Arial"/>
                <w:b/>
                <w:sz w:val="16"/>
              </w:rPr>
            </w:pPr>
            <w:r>
              <w:rPr>
                <w:rFonts w:ascii="Arial" w:eastAsia="Times New Roman" w:hAnsi="Arial" w:cs="Arial"/>
                <w:b/>
                <w:sz w:val="16"/>
              </w:rPr>
              <w:t>ПАРАМЕТРЫ ПРИМЕНЕНИЯ</w:t>
            </w:r>
          </w:p>
        </w:tc>
        <w:tc>
          <w:tcPr>
            <w:tcW w:w="1382" w:type="pct"/>
            <w:tcBorders>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УСЛОВНОЕ ОБОЗНАЧЕНИЕ</w:t>
            </w:r>
          </w:p>
        </w:tc>
        <w:tc>
          <w:tcPr>
            <w:tcW w:w="1800" w:type="pct"/>
            <w:tcBorders>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МАТЕРИАЛ ОСНОВНЫХ ДЕТАЛЕЙ КРАНА ШАРОВОГО</w:t>
            </w:r>
          </w:p>
        </w:tc>
      </w:tr>
      <w:tr>
        <w:trPr>
          <w:trHeight w:val="227"/>
          <w:tblHeader/>
        </w:trPr>
        <w:tc>
          <w:tcPr>
            <w:tcW w:w="270" w:type="pct"/>
            <w:tcBorders>
              <w:top w:val="single" w:sz="12" w:space="0" w:color="auto"/>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1</w:t>
            </w:r>
          </w:p>
        </w:tc>
        <w:tc>
          <w:tcPr>
            <w:tcW w:w="1548" w:type="pct"/>
            <w:tcBorders>
              <w:top w:val="single" w:sz="12" w:space="0" w:color="auto"/>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2</w:t>
            </w:r>
          </w:p>
        </w:tc>
        <w:tc>
          <w:tcPr>
            <w:tcW w:w="1382" w:type="pct"/>
            <w:tcBorders>
              <w:top w:val="single" w:sz="12" w:space="0" w:color="auto"/>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3</w:t>
            </w:r>
          </w:p>
        </w:tc>
        <w:tc>
          <w:tcPr>
            <w:tcW w:w="1800" w:type="pct"/>
            <w:tcBorders>
              <w:top w:val="single" w:sz="12" w:space="0" w:color="auto"/>
              <w:bottom w:val="single" w:sz="12" w:space="0" w:color="auto"/>
            </w:tcBorders>
            <w:shd w:val="clear" w:color="auto" w:fill="FFD200"/>
            <w:vAlign w:val="center"/>
          </w:tcPr>
          <w:p>
            <w:pPr>
              <w:widowControl w:val="0"/>
              <w:autoSpaceDE w:val="0"/>
              <w:autoSpaceDN w:val="0"/>
              <w:adjustRightInd w:val="0"/>
              <w:jc w:val="center"/>
              <w:rPr>
                <w:rFonts w:ascii="Arial" w:eastAsia="Times New Roman" w:hAnsi="Arial" w:cs="Arial"/>
                <w:b/>
                <w:sz w:val="16"/>
              </w:rPr>
            </w:pPr>
            <w:r>
              <w:rPr>
                <w:rFonts w:ascii="Arial" w:eastAsia="Times New Roman" w:hAnsi="Arial" w:cs="Arial"/>
                <w:b/>
                <w:sz w:val="16"/>
              </w:rPr>
              <w:t>4</w:t>
            </w:r>
          </w:p>
        </w:tc>
      </w:tr>
      <w:tr>
        <w:tc>
          <w:tcPr>
            <w:tcW w:w="270" w:type="pct"/>
            <w:tcBorders>
              <w:top w:val="single" w:sz="6" w:space="0" w:color="auto"/>
            </w:tcBorders>
          </w:tcPr>
          <w:p>
            <w:pPr>
              <w:widowControl w:val="0"/>
              <w:autoSpaceDE w:val="0"/>
              <w:autoSpaceDN w:val="0"/>
              <w:adjustRightInd w:val="0"/>
              <w:jc w:val="left"/>
              <w:rPr>
                <w:rFonts w:eastAsia="Times New Roman"/>
                <w:sz w:val="20"/>
              </w:rPr>
            </w:pPr>
            <w:r>
              <w:rPr>
                <w:rFonts w:eastAsia="Times New Roman"/>
                <w:sz w:val="20"/>
              </w:rPr>
              <w:t>1</w:t>
            </w:r>
          </w:p>
        </w:tc>
        <w:tc>
          <w:tcPr>
            <w:tcW w:w="1548" w:type="pct"/>
            <w:tcBorders>
              <w:top w:val="single" w:sz="6" w:space="0" w:color="auto"/>
            </w:tcBorders>
          </w:tcPr>
          <w:p>
            <w:pPr>
              <w:widowControl w:val="0"/>
              <w:autoSpaceDE w:val="0"/>
              <w:autoSpaceDN w:val="0"/>
              <w:adjustRightInd w:val="0"/>
              <w:jc w:val="left"/>
              <w:rPr>
                <w:rFonts w:eastAsia="Times New Roman"/>
                <w:sz w:val="20"/>
              </w:rPr>
            </w:pPr>
            <w:r>
              <w:rPr>
                <w:rFonts w:eastAsia="Times New Roman"/>
                <w:sz w:val="20"/>
              </w:rPr>
              <w:t>От 300 до 10 000 Па включительно</w:t>
            </w:r>
          </w:p>
        </w:tc>
        <w:tc>
          <w:tcPr>
            <w:tcW w:w="1382" w:type="pct"/>
            <w:tcBorders>
              <w:top w:val="single" w:sz="6" w:space="0" w:color="auto"/>
            </w:tcBorders>
          </w:tcPr>
          <w:p>
            <w:pPr>
              <w:widowControl w:val="0"/>
              <w:autoSpaceDE w:val="0"/>
              <w:autoSpaceDN w:val="0"/>
              <w:adjustRightInd w:val="0"/>
              <w:jc w:val="left"/>
              <w:rPr>
                <w:rFonts w:eastAsia="Times New Roman"/>
                <w:sz w:val="20"/>
              </w:rPr>
            </w:pPr>
            <w:r>
              <w:rPr>
                <w:rFonts w:eastAsia="Times New Roman"/>
                <w:sz w:val="20"/>
              </w:rPr>
              <w:t>К1</w:t>
            </w:r>
          </w:p>
        </w:tc>
        <w:tc>
          <w:tcPr>
            <w:tcW w:w="1800" w:type="pct"/>
            <w:tcBorders>
              <w:top w:val="single" w:sz="6" w:space="0" w:color="auto"/>
            </w:tcBorders>
          </w:tcPr>
          <w:p>
            <w:pPr>
              <w:autoSpaceDE w:val="0"/>
              <w:autoSpaceDN w:val="0"/>
              <w:jc w:val="left"/>
              <w:rPr>
                <w:rFonts w:eastAsiaTheme="minorHAnsi"/>
                <w:sz w:val="20"/>
                <w:szCs w:val="20"/>
              </w:rPr>
            </w:pPr>
            <w:r>
              <w:rPr>
                <w:sz w:val="20"/>
                <w:szCs w:val="20"/>
              </w:rPr>
              <w:t>20ГМЛ; 09Г2С; 30ХМА; 09Г2СА-А; 09ГСНБЦ; 20ЮЧ; 20КА</w:t>
            </w:r>
          </w:p>
        </w:tc>
      </w:tr>
      <w:tr>
        <w:tc>
          <w:tcPr>
            <w:tcW w:w="270" w:type="pct"/>
          </w:tcPr>
          <w:p>
            <w:pPr>
              <w:widowControl w:val="0"/>
              <w:autoSpaceDE w:val="0"/>
              <w:autoSpaceDN w:val="0"/>
              <w:adjustRightInd w:val="0"/>
              <w:jc w:val="left"/>
              <w:rPr>
                <w:rFonts w:eastAsia="Times New Roman"/>
                <w:sz w:val="20"/>
              </w:rPr>
            </w:pPr>
            <w:r>
              <w:rPr>
                <w:rFonts w:eastAsia="Times New Roman"/>
                <w:sz w:val="20"/>
              </w:rPr>
              <w:t>2</w:t>
            </w:r>
          </w:p>
        </w:tc>
        <w:tc>
          <w:tcPr>
            <w:tcW w:w="1548" w:type="pct"/>
          </w:tcPr>
          <w:p>
            <w:pPr>
              <w:widowControl w:val="0"/>
              <w:autoSpaceDE w:val="0"/>
              <w:autoSpaceDN w:val="0"/>
              <w:adjustRightInd w:val="0"/>
              <w:jc w:val="left"/>
              <w:rPr>
                <w:rFonts w:eastAsia="Times New Roman"/>
                <w:sz w:val="20"/>
              </w:rPr>
            </w:pPr>
            <w:r>
              <w:rPr>
                <w:rFonts w:eastAsia="Times New Roman"/>
                <w:sz w:val="20"/>
              </w:rPr>
              <w:t>Свыше 10 000 Па до 1 000 000 Па включительно</w:t>
            </w:r>
          </w:p>
        </w:tc>
        <w:tc>
          <w:tcPr>
            <w:tcW w:w="1382" w:type="pct"/>
          </w:tcPr>
          <w:p>
            <w:pPr>
              <w:widowControl w:val="0"/>
              <w:autoSpaceDE w:val="0"/>
              <w:autoSpaceDN w:val="0"/>
              <w:adjustRightInd w:val="0"/>
              <w:jc w:val="left"/>
              <w:rPr>
                <w:rFonts w:eastAsia="Times New Roman"/>
                <w:sz w:val="20"/>
              </w:rPr>
            </w:pPr>
            <w:r>
              <w:rPr>
                <w:rFonts w:eastAsia="Times New Roman"/>
                <w:sz w:val="20"/>
              </w:rPr>
              <w:t>К2</w:t>
            </w:r>
          </w:p>
        </w:tc>
        <w:tc>
          <w:tcPr>
            <w:tcW w:w="1800" w:type="pct"/>
          </w:tcPr>
          <w:p>
            <w:pPr>
              <w:autoSpaceDE w:val="0"/>
              <w:autoSpaceDN w:val="0"/>
              <w:jc w:val="left"/>
              <w:rPr>
                <w:rFonts w:eastAsiaTheme="minorHAnsi"/>
                <w:sz w:val="20"/>
                <w:szCs w:val="20"/>
              </w:rPr>
            </w:pPr>
            <w:r>
              <w:rPr>
                <w:sz w:val="20"/>
                <w:szCs w:val="20"/>
              </w:rPr>
              <w:t>08Х18Н10Т; 12Х18Н10Т; 12Х18Н9ТЛ, 10Х17Н13М2Т; 10Х17Н13М3Т; 08Х17Н15М3Т</w:t>
            </w:r>
          </w:p>
        </w:tc>
      </w:tr>
      <w:tr>
        <w:tc>
          <w:tcPr>
            <w:tcW w:w="270" w:type="pct"/>
          </w:tcPr>
          <w:p>
            <w:pPr>
              <w:widowControl w:val="0"/>
              <w:autoSpaceDE w:val="0"/>
              <w:autoSpaceDN w:val="0"/>
              <w:adjustRightInd w:val="0"/>
              <w:jc w:val="left"/>
              <w:rPr>
                <w:rFonts w:eastAsia="Times New Roman"/>
                <w:sz w:val="20"/>
              </w:rPr>
            </w:pPr>
            <w:r>
              <w:rPr>
                <w:rFonts w:eastAsia="Times New Roman"/>
                <w:sz w:val="20"/>
              </w:rPr>
              <w:t>3</w:t>
            </w:r>
          </w:p>
        </w:tc>
        <w:tc>
          <w:tcPr>
            <w:tcW w:w="1548" w:type="pct"/>
          </w:tcPr>
          <w:p>
            <w:pPr>
              <w:widowControl w:val="0"/>
              <w:autoSpaceDE w:val="0"/>
              <w:autoSpaceDN w:val="0"/>
              <w:adjustRightInd w:val="0"/>
              <w:jc w:val="left"/>
              <w:rPr>
                <w:rFonts w:eastAsia="Times New Roman"/>
                <w:sz w:val="20"/>
              </w:rPr>
            </w:pPr>
            <w:r>
              <w:rPr>
                <w:rFonts w:eastAsia="Times New Roman"/>
                <w:sz w:val="20"/>
              </w:rPr>
              <w:t xml:space="preserve">Свыше 1 000 000 Па </w:t>
            </w:r>
          </w:p>
        </w:tc>
        <w:tc>
          <w:tcPr>
            <w:tcW w:w="1382" w:type="pct"/>
          </w:tcPr>
          <w:p>
            <w:pPr>
              <w:widowControl w:val="0"/>
              <w:autoSpaceDE w:val="0"/>
              <w:autoSpaceDN w:val="0"/>
              <w:adjustRightInd w:val="0"/>
              <w:jc w:val="left"/>
              <w:rPr>
                <w:rFonts w:eastAsia="Times New Roman"/>
                <w:sz w:val="20"/>
              </w:rPr>
            </w:pPr>
            <w:r>
              <w:rPr>
                <w:rFonts w:eastAsia="Times New Roman"/>
                <w:sz w:val="20"/>
              </w:rPr>
              <w:t>К3</w:t>
            </w:r>
          </w:p>
        </w:tc>
        <w:tc>
          <w:tcPr>
            <w:tcW w:w="1800" w:type="pct"/>
          </w:tcPr>
          <w:p>
            <w:pPr>
              <w:autoSpaceDE w:val="0"/>
              <w:autoSpaceDN w:val="0"/>
              <w:jc w:val="left"/>
              <w:rPr>
                <w:rFonts w:eastAsiaTheme="minorHAnsi"/>
                <w:sz w:val="20"/>
                <w:szCs w:val="20"/>
              </w:rPr>
            </w:pPr>
            <w:r>
              <w:rPr>
                <w:sz w:val="20"/>
                <w:szCs w:val="20"/>
              </w:rPr>
              <w:t>06ХН28МДТ; ХН43БМТЮ-ВД; ХН55МБЮ-ВД</w:t>
            </w:r>
          </w:p>
        </w:tc>
      </w:tr>
    </w:tbl>
    <w:p>
      <w:pPr>
        <w:pStyle w:val="affd"/>
        <w:shd w:val="clear" w:color="auto" w:fill="FFFFFF" w:themeFill="background1"/>
        <w:tabs>
          <w:tab w:val="left" w:pos="0"/>
          <w:tab w:val="left" w:pos="993"/>
          <w:tab w:val="left" w:pos="1134"/>
          <w:tab w:val="left" w:pos="1276"/>
        </w:tabs>
        <w:spacing w:line="240" w:lineRule="auto"/>
        <w:ind w:left="0" w:right="102" w:firstLine="0"/>
        <w:contextualSpacing w:val="0"/>
        <w:rPr>
          <w:rFonts w:ascii="Times New Roman" w:hAnsi="Times New Roman"/>
          <w:sz w:val="24"/>
        </w:rPr>
      </w:pPr>
    </w:p>
    <w:bookmarkEnd w:id="96"/>
    <w:p>
      <w:pPr>
        <w:rPr>
          <w:rFonts w:eastAsia="Times New Roman"/>
          <w:szCs w:val="22"/>
          <w:lang w:eastAsia="en-US"/>
        </w:rPr>
      </w:pPr>
      <w:r>
        <w:rPr>
          <w:rFonts w:eastAsia="Times New Roman"/>
          <w:szCs w:val="22"/>
          <w:lang w:eastAsia="en-US"/>
        </w:rPr>
        <w:t>Допускается применение других материалов (в том числе импортных), при соблюдении всех требований ГОСТ Р 53678, ГОСТ Р 53679, СТ</w:t>
      </w:r>
      <w:r>
        <w:rPr>
          <w:rFonts w:eastAsia="Times New Roman"/>
          <w:szCs w:val="22"/>
          <w:lang w:val="en-US" w:eastAsia="en-US"/>
        </w:rPr>
        <w:t> </w:t>
      </w:r>
      <w:r>
        <w:rPr>
          <w:rFonts w:eastAsia="Times New Roman"/>
          <w:szCs w:val="22"/>
          <w:lang w:eastAsia="en-US"/>
        </w:rPr>
        <w:t>ЦКБА</w:t>
      </w:r>
      <w:r>
        <w:rPr>
          <w:rFonts w:eastAsia="Times New Roman"/>
          <w:szCs w:val="22"/>
          <w:lang w:val="en-US" w:eastAsia="en-US"/>
        </w:rPr>
        <w:t> </w:t>
      </w:r>
      <w:r>
        <w:rPr>
          <w:rFonts w:eastAsia="Times New Roman"/>
          <w:szCs w:val="22"/>
          <w:lang w:eastAsia="en-US"/>
        </w:rPr>
        <w:t>052 и при согласовании со специализированной металловедческой организацией.</w:t>
      </w:r>
    </w:p>
    <w:p>
      <w:pPr>
        <w:rPr>
          <w:rFonts w:eastAsia="Times New Roman"/>
          <w:szCs w:val="22"/>
          <w:lang w:eastAsia="en-US"/>
        </w:rPr>
      </w:pPr>
    </w:p>
    <w:p>
      <w:pPr>
        <w:rPr>
          <w:rFonts w:eastAsia="Times New Roman"/>
          <w:szCs w:val="22"/>
          <w:lang w:eastAsia="en-US"/>
        </w:rPr>
      </w:pPr>
      <w:r>
        <w:rPr>
          <w:rFonts w:eastAsia="Times New Roman"/>
          <w:szCs w:val="22"/>
          <w:lang w:eastAsia="en-US"/>
        </w:rPr>
        <w:t>Допускается применение других наплавочных материалов (порошковые, ленты и др.) отечественных и импортных, удовлетворяющих по химическому составу и твердости требованиям ГОСТ</w:t>
      </w:r>
      <w:r>
        <w:rPr>
          <w:rFonts w:eastAsia="Times New Roman"/>
          <w:szCs w:val="22"/>
          <w:lang w:val="en-US" w:eastAsia="en-US"/>
        </w:rPr>
        <w:t> </w:t>
      </w:r>
      <w:r>
        <w:rPr>
          <w:rFonts w:eastAsia="Times New Roman"/>
          <w:szCs w:val="22"/>
          <w:lang w:eastAsia="en-US"/>
        </w:rPr>
        <w:t>10051, СТ</w:t>
      </w:r>
      <w:r>
        <w:rPr>
          <w:rFonts w:eastAsia="Times New Roman"/>
          <w:szCs w:val="22"/>
          <w:lang w:val="en-US" w:eastAsia="en-US"/>
        </w:rPr>
        <w:t> </w:t>
      </w:r>
      <w:r>
        <w:rPr>
          <w:rFonts w:eastAsia="Times New Roman"/>
          <w:szCs w:val="22"/>
          <w:lang w:eastAsia="en-US"/>
        </w:rPr>
        <w:t>ЦКБА</w:t>
      </w:r>
      <w:r>
        <w:rPr>
          <w:rFonts w:eastAsia="Times New Roman"/>
          <w:szCs w:val="22"/>
          <w:lang w:val="en-US" w:eastAsia="en-US"/>
        </w:rPr>
        <w:t> </w:t>
      </w:r>
      <w:r>
        <w:rPr>
          <w:rFonts w:eastAsia="Times New Roman"/>
          <w:szCs w:val="22"/>
          <w:lang w:eastAsia="en-US"/>
        </w:rPr>
        <w:t>053.</w:t>
      </w:r>
    </w:p>
    <w:p>
      <w:pPr>
        <w:tabs>
          <w:tab w:val="left" w:pos="9072"/>
        </w:tabs>
        <w:rPr>
          <w:rFonts w:eastAsia="Times New Roman"/>
          <w:szCs w:val="22"/>
          <w:lang w:eastAsia="en-US"/>
        </w:rPr>
      </w:pPr>
    </w:p>
    <w:p>
      <w:pPr>
        <w:rPr>
          <w:rFonts w:eastAsia="Times New Roman"/>
          <w:szCs w:val="22"/>
          <w:lang w:eastAsia="en-US"/>
        </w:rPr>
      </w:pPr>
      <w:r>
        <w:rPr>
          <w:rFonts w:eastAsia="Times New Roman"/>
          <w:szCs w:val="22"/>
          <w:lang w:eastAsia="en-US"/>
        </w:rPr>
        <w:t>Расчет парциального давления основан на определении концентрации H</w:t>
      </w:r>
      <w:r>
        <w:rPr>
          <w:rFonts w:eastAsia="Times New Roman"/>
          <w:szCs w:val="22"/>
          <w:vertAlign w:val="subscript"/>
          <w:lang w:eastAsia="en-US"/>
        </w:rPr>
        <w:t>2</w:t>
      </w:r>
      <w:r>
        <w:rPr>
          <w:rFonts w:eastAsia="Times New Roman"/>
          <w:szCs w:val="22"/>
          <w:lang w:eastAsia="en-US"/>
        </w:rPr>
        <w:t>S в рабочей среде, в зависимости от проектного (рабочего) давления, должен проводиться в соответствии с настоящими Методическими указаниями:</w:t>
      </w:r>
    </w:p>
    <w:p>
      <w:pPr>
        <w:rPr>
          <w:rFonts w:eastAsia="Times New Roman"/>
        </w:rPr>
      </w:pPr>
    </w:p>
    <w:p>
      <w:pPr>
        <w:widowControl w:val="0"/>
        <w:jc w:val="center"/>
        <w:rPr>
          <w:rFonts w:eastAsia="Times New Roman"/>
        </w:rPr>
      </w:pP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 xml:space="preserve">H2S </m:t>
            </m:r>
          </m:sub>
        </m:sSub>
        <m:r>
          <w:rPr>
            <w:rFonts w:ascii="Cambria Math" w:eastAsia="Times New Roman" w:hAnsi="Cambria Math"/>
          </w:rPr>
          <m:t>=</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eastAsia="Times New Roman" w:hAnsi="Cambria Math"/>
                    <w:lang w:val="en-US"/>
                  </w:rPr>
                  <m:t>H</m:t>
                </m:r>
              </m:e>
              <m:sub>
                <m:r>
                  <w:rPr>
                    <w:rFonts w:ascii="Cambria Math" w:eastAsia="Times New Roman" w:hAnsi="Cambria Math"/>
                  </w:rPr>
                  <m:t>2</m:t>
                </m:r>
              </m:sub>
            </m:sSub>
            <m:r>
              <w:rPr>
                <w:rFonts w:ascii="Cambria Math" w:eastAsia="Times New Roman" w:hAnsi="Cambria Math"/>
              </w:rPr>
              <m:t>S (%</m:t>
            </m:r>
            <m:r>
              <m:rPr>
                <m:sty m:val="p"/>
              </m:rPr>
              <w:rPr>
                <w:rFonts w:ascii="Cambria Math" w:eastAsia="Times New Roman"/>
              </w:rPr>
              <m:t>)</m:t>
            </m:r>
          </m:num>
          <m:den>
            <m:r>
              <w:rPr>
                <w:rFonts w:ascii="Cambria Math" w:eastAsia="Times New Roman" w:hAnsi="Cambria Math"/>
              </w:rPr>
              <m:t>100</m:t>
            </m:r>
          </m:den>
        </m:f>
        <m:r>
          <w:rPr>
            <w:rFonts w:ascii="Cambria Math" w:eastAsia="Times New Roman" w:hAnsi="Cambria Math"/>
          </w:rPr>
          <m:t xml:space="preserve"> х </m:t>
        </m:r>
        <m:sSub>
          <m:sSubPr>
            <m:ctrlPr>
              <w:rPr>
                <w:rFonts w:ascii="Cambria Math" w:eastAsia="Times New Roman" w:hAnsi="Cambria Math"/>
                <w:i/>
              </w:rPr>
            </m:ctrlPr>
          </m:sSubPr>
          <m:e>
            <m:r>
              <w:rPr>
                <w:rFonts w:ascii="Cambria Math" w:eastAsia="Times New Roman" w:hAnsi="Cambria Math"/>
              </w:rPr>
              <m:t>Р</m:t>
            </m:r>
          </m:e>
          <m:sub>
            <m:r>
              <w:rPr>
                <w:rFonts w:ascii="Cambria Math" w:eastAsia="Times New Roman" w:hAnsi="Cambria Math"/>
              </w:rPr>
              <m:t>р</m:t>
            </m:r>
          </m:sub>
        </m:sSub>
        <m:r>
          <w:rPr>
            <w:rFonts w:ascii="Cambria Math" w:eastAsia="Times New Roman" w:hAnsi="Cambria Math"/>
          </w:rPr>
          <m:t xml:space="preserve"> (Па)</m:t>
        </m:r>
      </m:oMath>
      <w:r>
        <w:rPr>
          <w:rFonts w:eastAsia="Times New Roman"/>
        </w:rPr>
        <w:tab/>
      </w:r>
      <w:r>
        <w:rPr>
          <w:rFonts w:eastAsia="Times New Roman"/>
        </w:rPr>
        <w:tab/>
      </w:r>
      <w:r>
        <w:rPr>
          <w:rFonts w:eastAsia="Times New Roman"/>
        </w:rPr>
        <w:tab/>
      </w:r>
      <w:r>
        <w:rPr>
          <w:rFonts w:eastAsia="Times New Roman"/>
        </w:rPr>
        <w:tab/>
        <w:t>(3)</w:t>
      </w:r>
    </w:p>
    <w:p>
      <w:pPr>
        <w:widowControl w:val="0"/>
        <w:rPr>
          <w:rFonts w:eastAsia="Times New Roman"/>
        </w:rPr>
      </w:pPr>
    </w:p>
    <w:p>
      <w:pPr>
        <w:widowControl w:val="0"/>
        <w:ind w:left="567"/>
        <w:rPr>
          <w:rFonts w:eastAsia="Times New Roman"/>
        </w:rPr>
      </w:pPr>
      <w:r>
        <w:rPr>
          <w:rFonts w:eastAsia="Times New Roman"/>
        </w:rPr>
        <w:t>где:</w:t>
      </w:r>
    </w:p>
    <w:p>
      <w:pPr>
        <w:widowControl w:val="0"/>
        <w:ind w:left="567"/>
        <w:rPr>
          <w:rFonts w:eastAsia="Times New Roman"/>
        </w:rPr>
      </w:pPr>
      <m:oMath>
        <m:sSub>
          <m:sSubPr>
            <m:ctrlPr>
              <w:rPr>
                <w:rFonts w:ascii="Cambria Math" w:eastAsia="Times New Roman" w:hAnsi="Cambria Math"/>
              </w:rPr>
            </m:ctrlPr>
          </m:sSubPr>
          <m:e>
            <m:r>
              <m:rPr>
                <m:sty m:val="p"/>
              </m:rPr>
              <w:rPr>
                <w:rFonts w:ascii="Cambria Math" w:eastAsia="Times New Roman" w:hAnsi="Cambria Math"/>
              </w:rPr>
              <m:t>H</m:t>
            </m:r>
          </m:e>
          <m:sub>
            <m:r>
              <m:rPr>
                <m:sty m:val="p"/>
              </m:rPr>
              <w:rPr>
                <w:rFonts w:ascii="Cambria Math" w:eastAsia="Times New Roman" w:hAnsi="Cambria Math"/>
              </w:rPr>
              <m:t>2</m:t>
            </m:r>
          </m:sub>
        </m:sSub>
        <m:r>
          <m:rPr>
            <m:sty m:val="p"/>
          </m:rPr>
          <w:rPr>
            <w:rFonts w:ascii="Cambria Math" w:eastAsia="Times New Roman" w:hAnsi="Cambria Math"/>
          </w:rPr>
          <m:t>S (%</m:t>
        </m:r>
        <m:r>
          <m:rPr>
            <m:sty m:val="p"/>
          </m:rPr>
          <w:rPr>
            <w:rFonts w:ascii="Cambria Math" w:eastAsia="Times New Roman"/>
          </w:rPr>
          <m:t>)</m:t>
        </m:r>
      </m:oMath>
      <w:r>
        <w:rPr>
          <w:rFonts w:eastAsia="Times New Roman"/>
        </w:rPr>
        <w:t xml:space="preserve"> – объемное процентное содержание сероводорода;</w:t>
      </w:r>
    </w:p>
    <w:p>
      <w:pPr>
        <w:widowControl w:val="0"/>
        <w:ind w:left="567"/>
        <w:rPr>
          <w:rFonts w:eastAsia="Times New Roman"/>
        </w:rPr>
      </w:pPr>
      <m:oMath>
        <m:sSub>
          <m:sSubPr>
            <m:ctrlPr>
              <w:rPr>
                <w:rFonts w:ascii="Cambria Math" w:eastAsia="Times New Roman" w:hAnsi="Cambria Math"/>
              </w:rPr>
            </m:ctrlPr>
          </m:sSubPr>
          <m:e>
            <m:r>
              <m:rPr>
                <m:sty m:val="p"/>
              </m:rPr>
              <w:rPr>
                <w:rFonts w:ascii="Cambria Math" w:eastAsia="Times New Roman" w:hAnsi="Cambria Math" w:hint="eastAsia"/>
              </w:rPr>
              <m:t>Р</m:t>
            </m:r>
          </m:e>
          <m:sub>
            <m:r>
              <m:rPr>
                <m:sty m:val="p"/>
              </m:rPr>
              <w:rPr>
                <w:rFonts w:ascii="Cambria Math" w:eastAsia="Times New Roman" w:hAnsi="Cambria Math" w:hint="eastAsia"/>
              </w:rPr>
              <m:t>р</m:t>
            </m:r>
          </m:sub>
        </m:sSub>
        <m:r>
          <m:rPr>
            <m:sty m:val="p"/>
          </m:rPr>
          <w:rPr>
            <w:rFonts w:ascii="Cambria Math" w:eastAsia="Times New Roman" w:hAnsi="Cambria Math"/>
          </w:rPr>
          <m:t xml:space="preserve"> (Па)</m:t>
        </m:r>
      </m:oMath>
      <w:r>
        <w:rPr>
          <w:rFonts w:eastAsia="Times New Roman"/>
        </w:rPr>
        <w:t>– проектное или рабочее давление.</w:t>
      </w:r>
    </w:p>
    <w:p>
      <w:pPr>
        <w:pStyle w:val="affd"/>
        <w:shd w:val="clear" w:color="auto" w:fill="FFFFFF" w:themeFill="background1"/>
        <w:tabs>
          <w:tab w:val="left" w:pos="0"/>
          <w:tab w:val="left" w:pos="993"/>
          <w:tab w:val="left" w:pos="1134"/>
          <w:tab w:val="left" w:pos="1276"/>
        </w:tabs>
        <w:spacing w:line="240" w:lineRule="auto"/>
        <w:ind w:left="0" w:firstLine="0"/>
        <w:rPr>
          <w:rFonts w:ascii="Times New Roman" w:hAnsi="Times New Roman"/>
          <w:sz w:val="24"/>
        </w:rPr>
      </w:pPr>
    </w:p>
    <w:p>
      <w:pPr>
        <w:pStyle w:val="affd"/>
        <w:widowControl w:val="0"/>
        <w:shd w:val="clear" w:color="auto" w:fill="FFFFFF" w:themeFill="background1"/>
        <w:tabs>
          <w:tab w:val="left" w:pos="993"/>
          <w:tab w:val="left" w:pos="1134"/>
        </w:tabs>
        <w:spacing w:line="240" w:lineRule="auto"/>
        <w:ind w:left="0" w:firstLine="0"/>
        <w:contextualSpacing w:val="0"/>
        <w:rPr>
          <w:rFonts w:ascii="Times New Roman" w:hAnsi="Times New Roman"/>
          <w:sz w:val="24"/>
        </w:rPr>
      </w:pPr>
      <w:r>
        <w:rPr>
          <w:rFonts w:ascii="Times New Roman" w:hAnsi="Times New Roman"/>
          <w:sz w:val="24"/>
        </w:rPr>
        <w:t>Для расчета степени коррозионной агрессивности рабочей среды ОГ, необходимо использовать базу данных «Физико-химические свойства транспортируемых сред», расположенную в модуле «Линейка реагентов» информационной системы «Web-Портал «ТИС-Добыча». Параметры для расчета стойкости материала корпуса кранов шаровых, в зависимости от содержания H</w:t>
      </w:r>
      <w:r>
        <w:rPr>
          <w:rFonts w:ascii="Times New Roman" w:hAnsi="Times New Roman"/>
          <w:sz w:val="24"/>
          <w:vertAlign w:val="subscript"/>
        </w:rPr>
        <w:t>2</w:t>
      </w:r>
      <w:r>
        <w:rPr>
          <w:rFonts w:ascii="Times New Roman" w:hAnsi="Times New Roman"/>
          <w:sz w:val="24"/>
        </w:rPr>
        <w:t xml:space="preserve">S, рассчитываются в соответствии с </w:t>
      </w:r>
      <w:hyperlink w:anchor="_ПРИЛОЖЕНИЯ" w:history="1">
        <w:r>
          <w:rPr>
            <w:rStyle w:val="a6"/>
            <w:rFonts w:ascii="Times New Roman" w:eastAsia="Times New Roman" w:hAnsi="Times New Roman"/>
            <w:sz w:val="24"/>
            <w:szCs w:val="22"/>
          </w:rPr>
          <w:t>Приложением 5</w:t>
        </w:r>
      </w:hyperlink>
      <w:r>
        <w:rPr>
          <w:rFonts w:ascii="Times New Roman" w:hAnsi="Times New Roman"/>
          <w:sz w:val="24"/>
        </w:rPr>
        <w:t xml:space="preserve"> настоящих Методических указаний.</w:t>
      </w:r>
    </w:p>
    <w:p>
      <w:pPr>
        <w:shd w:val="clear" w:color="auto" w:fill="FFFFFF" w:themeFill="background1"/>
        <w:tabs>
          <w:tab w:val="left" w:pos="0"/>
          <w:tab w:val="left" w:pos="993"/>
          <w:tab w:val="left" w:pos="1134"/>
          <w:tab w:val="left" w:pos="1276"/>
        </w:tabs>
        <w:ind w:right="104"/>
      </w:pPr>
    </w:p>
    <w:p>
      <w:pPr>
        <w:pStyle w:val="affd"/>
        <w:widowControl w:val="0"/>
        <w:shd w:val="clear" w:color="auto" w:fill="FFFFFF" w:themeFill="background1"/>
        <w:tabs>
          <w:tab w:val="left" w:pos="993"/>
          <w:tab w:val="left" w:pos="1134"/>
        </w:tabs>
        <w:spacing w:line="240" w:lineRule="auto"/>
        <w:ind w:left="0" w:right="-1" w:firstLine="0"/>
        <w:contextualSpacing w:val="0"/>
        <w:rPr>
          <w:rFonts w:ascii="Times New Roman" w:hAnsi="Times New Roman"/>
          <w:sz w:val="24"/>
        </w:rPr>
      </w:pPr>
      <w:r>
        <w:rPr>
          <w:rFonts w:ascii="Times New Roman" w:hAnsi="Times New Roman"/>
          <w:sz w:val="24"/>
        </w:rPr>
        <w:t>Объем контроля и технические требования к материалам основных деталей крана шарового при Р</w:t>
      </w:r>
      <w:r>
        <w:rPr>
          <w:rFonts w:ascii="Times New Roman" w:hAnsi="Times New Roman"/>
          <w:sz w:val="24"/>
          <w:vertAlign w:val="subscript"/>
        </w:rPr>
        <w:t>H2S</w:t>
      </w:r>
      <w:r>
        <w:rPr>
          <w:rFonts w:ascii="Times New Roman" w:hAnsi="Times New Roman"/>
          <w:sz w:val="24"/>
        </w:rPr>
        <w:t> &gt; 300</w:t>
      </w:r>
      <w:r>
        <w:rPr>
          <w:rFonts w:ascii="Times New Roman" w:hAnsi="Times New Roman"/>
          <w:sz w:val="24"/>
          <w:lang w:val="en-US"/>
        </w:rPr>
        <w:t> </w:t>
      </w:r>
      <w:r>
        <w:rPr>
          <w:rFonts w:ascii="Times New Roman" w:hAnsi="Times New Roman"/>
          <w:sz w:val="24"/>
        </w:rPr>
        <w:t>Па:</w:t>
      </w:r>
    </w:p>
    <w:p>
      <w:pPr>
        <w:numPr>
          <w:ilvl w:val="0"/>
          <w:numId w:val="12"/>
        </w:numPr>
        <w:tabs>
          <w:tab w:val="left" w:pos="539"/>
        </w:tabs>
        <w:spacing w:before="120"/>
        <w:ind w:left="538" w:hanging="357"/>
      </w:pPr>
      <w:r>
        <w:t>испытание для оценки стойкости металла к СКРН, в соответствии с требованиями ГОСТ Р 53678, п. 4.2.15 СТ</w:t>
      </w:r>
      <w:r>
        <w:rPr>
          <w:lang w:val="en-US"/>
        </w:rPr>
        <w:t> </w:t>
      </w:r>
      <w:r>
        <w:t>ЦКБА</w:t>
      </w:r>
      <w:r>
        <w:rPr>
          <w:lang w:val="en-US"/>
        </w:rPr>
        <w:t> </w:t>
      </w:r>
      <w:r>
        <w:t>052-2008:</w:t>
      </w:r>
    </w:p>
    <w:p>
      <w:pPr>
        <w:pStyle w:val="affd"/>
        <w:numPr>
          <w:ilvl w:val="0"/>
          <w:numId w:val="75"/>
        </w:numPr>
        <w:tabs>
          <w:tab w:val="left" w:pos="993"/>
        </w:tabs>
        <w:spacing w:before="120" w:line="240" w:lineRule="auto"/>
        <w:ind w:left="993" w:hanging="454"/>
        <w:contextualSpacing w:val="0"/>
        <w:rPr>
          <w:rFonts w:ascii="Times New Roman" w:hAnsi="Times New Roman"/>
          <w:sz w:val="24"/>
        </w:rPr>
      </w:pPr>
      <w:r>
        <w:rPr>
          <w:rFonts w:ascii="Times New Roman" w:hAnsi="Times New Roman"/>
          <w:sz w:val="24"/>
        </w:rPr>
        <w:t>испытательный раствор представляет собой концентрированный раствор с добавлением буфера, в котором содержание P</w:t>
      </w:r>
      <w:r>
        <w:rPr>
          <w:rFonts w:ascii="Times New Roman" w:hAnsi="Times New Roman"/>
          <w:sz w:val="24"/>
          <w:vertAlign w:val="subscript"/>
        </w:rPr>
        <w:t>H2S</w:t>
      </w:r>
      <w:r>
        <w:rPr>
          <w:rFonts w:ascii="Times New Roman" w:hAnsi="Times New Roman"/>
          <w:sz w:val="24"/>
        </w:rPr>
        <w:t xml:space="preserve"> и значение рН в соответствии с Таблицей 10.</w:t>
      </w:r>
    </w:p>
    <w:p>
      <w:pPr>
        <w:keepNext/>
        <w:widowControl w:val="0"/>
        <w:jc w:val="right"/>
        <w:rPr>
          <w:rFonts w:ascii="Arial" w:eastAsia="Times New Roman" w:hAnsi="Arial"/>
          <w:b/>
          <w:sz w:val="20"/>
          <w:szCs w:val="16"/>
        </w:rPr>
      </w:pPr>
      <w:r>
        <w:rPr>
          <w:rFonts w:ascii="Arial" w:eastAsia="Times New Roman" w:hAnsi="Arial"/>
          <w:b/>
          <w:sz w:val="20"/>
          <w:szCs w:val="16"/>
        </w:rPr>
        <w:t xml:space="preserve">Таблица </w:t>
      </w:r>
      <w:r>
        <w:rPr>
          <w:rFonts w:ascii="Arial" w:eastAsia="Times New Roman" w:hAnsi="Arial"/>
          <w:b/>
          <w:sz w:val="20"/>
          <w:szCs w:val="16"/>
        </w:rPr>
        <w:fldChar w:fldCharType="begin"/>
      </w:r>
      <w:r>
        <w:rPr>
          <w:rFonts w:ascii="Arial" w:eastAsia="Times New Roman" w:hAnsi="Arial"/>
          <w:b/>
          <w:sz w:val="20"/>
          <w:szCs w:val="16"/>
        </w:rPr>
        <w:instrText xml:space="preserve"> SEQ Таблица \* ARABIC </w:instrText>
      </w:r>
      <w:r>
        <w:rPr>
          <w:rFonts w:ascii="Arial" w:eastAsia="Times New Roman" w:hAnsi="Arial"/>
          <w:b/>
          <w:sz w:val="20"/>
          <w:szCs w:val="16"/>
        </w:rPr>
        <w:fldChar w:fldCharType="separate"/>
      </w:r>
      <w:r>
        <w:rPr>
          <w:rFonts w:ascii="Arial" w:eastAsia="Times New Roman" w:hAnsi="Arial"/>
          <w:b/>
          <w:noProof/>
          <w:sz w:val="20"/>
          <w:szCs w:val="16"/>
        </w:rPr>
        <w:t>10</w:t>
      </w:r>
      <w:r>
        <w:rPr>
          <w:rFonts w:ascii="Arial" w:eastAsia="Times New Roman" w:hAnsi="Arial"/>
          <w:b/>
          <w:sz w:val="20"/>
          <w:szCs w:val="16"/>
        </w:rPr>
        <w:fldChar w:fldCharType="end"/>
      </w:r>
    </w:p>
    <w:p>
      <w:pPr>
        <w:keepNext/>
        <w:widowControl w:val="0"/>
        <w:spacing w:after="60"/>
        <w:jc w:val="right"/>
        <w:rPr>
          <w:rFonts w:ascii="Arial" w:eastAsia="Times New Roman" w:hAnsi="Arial"/>
          <w:b/>
          <w:sz w:val="20"/>
          <w:szCs w:val="16"/>
        </w:rPr>
      </w:pPr>
      <w:r>
        <w:rPr>
          <w:rFonts w:ascii="Arial" w:eastAsia="Times New Roman" w:hAnsi="Arial"/>
          <w:b/>
          <w:sz w:val="20"/>
          <w:szCs w:val="16"/>
        </w:rPr>
        <w:t>Содержания рН, в зависимости от РH</w:t>
      </w:r>
      <w:r>
        <w:rPr>
          <w:rFonts w:ascii="Arial" w:eastAsia="Times New Roman" w:hAnsi="Arial"/>
          <w:b/>
          <w:sz w:val="20"/>
          <w:szCs w:val="16"/>
          <w:vertAlign w:val="subscript"/>
        </w:rPr>
        <w:t>2</w:t>
      </w:r>
      <w:r>
        <w:rPr>
          <w:rFonts w:ascii="Arial" w:eastAsia="Times New Roman" w:hAnsi="Arial"/>
          <w:b/>
          <w:sz w:val="20"/>
          <w:szCs w:val="16"/>
        </w:rPr>
        <w:t>S для условий испытаний</w:t>
      </w:r>
    </w:p>
    <w:tbl>
      <w:tblPr>
        <w:tblStyle w:val="aff6"/>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2976"/>
        <w:gridCol w:w="3119"/>
        <w:gridCol w:w="3225"/>
      </w:tblGrid>
      <w:tr>
        <w:trPr>
          <w:trHeight w:val="284"/>
        </w:trPr>
        <w:tc>
          <w:tcPr>
            <w:tcW w:w="534" w:type="dxa"/>
            <w:vMerge w:val="restart"/>
            <w:shd w:val="clear" w:color="auto" w:fill="FFD200"/>
            <w:vAlign w:val="center"/>
          </w:tcPr>
          <w:p>
            <w:pPr>
              <w:jc w:val="center"/>
              <w:rPr>
                <w:rFonts w:ascii="Arial" w:hAnsi="Arial" w:cs="Arial"/>
                <w:b/>
                <w:sz w:val="16"/>
                <w:szCs w:val="16"/>
              </w:rPr>
            </w:pPr>
            <w:r>
              <w:rPr>
                <w:rFonts w:ascii="Arial" w:hAnsi="Arial" w:cs="Arial"/>
                <w:b/>
                <w:kern w:val="28"/>
                <w:sz w:val="16"/>
                <w:szCs w:val="16"/>
              </w:rPr>
              <w:t>№ П/П</w:t>
            </w:r>
          </w:p>
        </w:tc>
        <w:tc>
          <w:tcPr>
            <w:tcW w:w="2976" w:type="dxa"/>
            <w:vMerge w:val="restart"/>
            <w:shd w:val="clear" w:color="auto" w:fill="FFD200"/>
            <w:vAlign w:val="center"/>
            <w:hideMark/>
          </w:tcPr>
          <w:p>
            <w:pPr>
              <w:jc w:val="center"/>
              <w:rPr>
                <w:rFonts w:ascii="Arial" w:hAnsi="Arial" w:cs="Arial"/>
                <w:b/>
                <w:sz w:val="16"/>
                <w:szCs w:val="16"/>
              </w:rPr>
            </w:pPr>
            <w:r>
              <w:rPr>
                <w:rFonts w:ascii="Arial" w:hAnsi="Arial" w:cs="Arial"/>
                <w:b/>
                <w:sz w:val="16"/>
                <w:szCs w:val="16"/>
              </w:rPr>
              <w:t>рН</w:t>
            </w:r>
          </w:p>
        </w:tc>
        <w:tc>
          <w:tcPr>
            <w:tcW w:w="6344" w:type="dxa"/>
            <w:gridSpan w:val="2"/>
            <w:tcBorders>
              <w:bottom w:val="single" w:sz="6" w:space="0" w:color="auto"/>
            </w:tcBorders>
            <w:shd w:val="clear" w:color="auto" w:fill="FFD200"/>
            <w:vAlign w:val="center"/>
            <w:hideMark/>
          </w:tcPr>
          <w:p>
            <w:pPr>
              <w:jc w:val="center"/>
              <w:rPr>
                <w:rFonts w:ascii="Arial" w:hAnsi="Arial" w:cs="Arial"/>
                <w:b/>
                <w:sz w:val="16"/>
                <w:szCs w:val="16"/>
              </w:rPr>
            </w:pPr>
            <w:r>
              <w:rPr>
                <w:rFonts w:ascii="Arial" w:hAnsi="Arial" w:cs="Arial"/>
                <w:b/>
                <w:sz w:val="16"/>
                <w:szCs w:val="16"/>
              </w:rPr>
              <w:t>ТРЕБУЕМОЕ Р</w:t>
            </w:r>
            <w:r>
              <w:rPr>
                <w:rFonts w:ascii="Arial" w:hAnsi="Arial" w:cs="Arial"/>
                <w:b/>
                <w:sz w:val="16"/>
                <w:szCs w:val="16"/>
                <w:vertAlign w:val="subscript"/>
              </w:rPr>
              <w:t>H2S</w:t>
            </w:r>
            <w:r>
              <w:rPr>
                <w:rFonts w:ascii="Arial" w:hAnsi="Arial" w:cs="Arial"/>
                <w:b/>
                <w:sz w:val="16"/>
                <w:szCs w:val="16"/>
              </w:rPr>
              <w:t xml:space="preserve"> ДЛЯ ИСПЫТАНИЯ, КПА</w:t>
            </w:r>
          </w:p>
        </w:tc>
      </w:tr>
      <w:tr>
        <w:trPr>
          <w:trHeight w:val="284"/>
        </w:trPr>
        <w:tc>
          <w:tcPr>
            <w:tcW w:w="534" w:type="dxa"/>
            <w:vMerge/>
            <w:tcBorders>
              <w:bottom w:val="single" w:sz="12" w:space="0" w:color="auto"/>
            </w:tcBorders>
            <w:shd w:val="clear" w:color="auto" w:fill="FFD200"/>
            <w:vAlign w:val="center"/>
          </w:tcPr>
          <w:p>
            <w:pPr>
              <w:jc w:val="center"/>
              <w:rPr>
                <w:rFonts w:ascii="Arial" w:hAnsi="Arial" w:cs="Arial"/>
                <w:b/>
                <w:kern w:val="28"/>
                <w:sz w:val="16"/>
                <w:szCs w:val="16"/>
              </w:rPr>
            </w:pPr>
          </w:p>
        </w:tc>
        <w:tc>
          <w:tcPr>
            <w:tcW w:w="2976" w:type="dxa"/>
            <w:vMerge/>
            <w:tcBorders>
              <w:bottom w:val="single" w:sz="12" w:space="0" w:color="auto"/>
            </w:tcBorders>
            <w:shd w:val="clear" w:color="auto" w:fill="FFD200"/>
            <w:vAlign w:val="center"/>
          </w:tcPr>
          <w:p>
            <w:pPr>
              <w:jc w:val="center"/>
              <w:rPr>
                <w:rFonts w:ascii="Arial" w:hAnsi="Arial" w:cs="Arial"/>
                <w:b/>
                <w:sz w:val="16"/>
                <w:szCs w:val="16"/>
              </w:rPr>
            </w:pPr>
          </w:p>
        </w:tc>
        <w:tc>
          <w:tcPr>
            <w:tcW w:w="3119" w:type="dxa"/>
            <w:tcBorders>
              <w:top w:val="single" w:sz="6" w:space="0" w:color="auto"/>
              <w:bottom w:val="single" w:sz="12" w:space="0" w:color="auto"/>
            </w:tcBorders>
            <w:shd w:val="clear" w:color="auto" w:fill="FFD200"/>
            <w:vAlign w:val="center"/>
          </w:tcPr>
          <w:p>
            <w:pPr>
              <w:jc w:val="center"/>
              <w:rPr>
                <w:rFonts w:ascii="Arial" w:hAnsi="Arial" w:cs="Arial"/>
                <w:b/>
                <w:sz w:val="14"/>
                <w:szCs w:val="16"/>
              </w:rPr>
            </w:pPr>
            <w:r>
              <w:rPr>
                <w:rFonts w:ascii="Arial" w:hAnsi="Arial" w:cs="Arial"/>
                <w:b/>
                <w:sz w:val="14"/>
                <w:szCs w:val="16"/>
              </w:rPr>
              <w:t>УСЛОВИЯ ДЛЯ ЗОНЫ 1 СКРН</w:t>
            </w:r>
          </w:p>
        </w:tc>
        <w:tc>
          <w:tcPr>
            <w:tcW w:w="3225" w:type="dxa"/>
            <w:tcBorders>
              <w:top w:val="single" w:sz="6" w:space="0" w:color="auto"/>
              <w:bottom w:val="single" w:sz="12" w:space="0" w:color="auto"/>
            </w:tcBorders>
            <w:shd w:val="clear" w:color="auto" w:fill="FFD200"/>
            <w:vAlign w:val="center"/>
          </w:tcPr>
          <w:p>
            <w:pPr>
              <w:jc w:val="center"/>
              <w:rPr>
                <w:rFonts w:ascii="Arial" w:hAnsi="Arial" w:cs="Arial"/>
                <w:b/>
                <w:sz w:val="14"/>
                <w:szCs w:val="16"/>
              </w:rPr>
            </w:pPr>
            <w:r>
              <w:rPr>
                <w:rFonts w:ascii="Arial" w:hAnsi="Arial" w:cs="Arial"/>
                <w:b/>
                <w:sz w:val="14"/>
                <w:szCs w:val="16"/>
              </w:rPr>
              <w:t>УСЛОВИЯ ДЛЯ ЗОНЫ 2 СКРН</w:t>
            </w:r>
          </w:p>
        </w:tc>
      </w:tr>
      <w:tr>
        <w:trPr>
          <w:trHeight w:val="227"/>
        </w:trPr>
        <w:tc>
          <w:tcPr>
            <w:tcW w:w="534" w:type="dxa"/>
            <w:tcBorders>
              <w:top w:val="single" w:sz="12" w:space="0" w:color="auto"/>
              <w:bottom w:val="single" w:sz="12" w:space="0" w:color="auto"/>
            </w:tcBorders>
            <w:shd w:val="clear" w:color="auto" w:fill="FFD200"/>
            <w:vAlign w:val="center"/>
          </w:tcPr>
          <w:p>
            <w:pPr>
              <w:jc w:val="center"/>
              <w:rPr>
                <w:rFonts w:ascii="Arial" w:hAnsi="Arial" w:cs="Arial"/>
                <w:b/>
                <w:kern w:val="28"/>
                <w:sz w:val="16"/>
                <w:szCs w:val="16"/>
              </w:rPr>
            </w:pPr>
            <w:r>
              <w:rPr>
                <w:rFonts w:ascii="Arial" w:hAnsi="Arial" w:cs="Arial"/>
                <w:b/>
                <w:kern w:val="28"/>
                <w:sz w:val="16"/>
                <w:szCs w:val="16"/>
              </w:rPr>
              <w:t>1</w:t>
            </w:r>
          </w:p>
        </w:tc>
        <w:tc>
          <w:tcPr>
            <w:tcW w:w="2976" w:type="dxa"/>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2</w:t>
            </w:r>
          </w:p>
        </w:tc>
        <w:tc>
          <w:tcPr>
            <w:tcW w:w="3119" w:type="dxa"/>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3</w:t>
            </w:r>
          </w:p>
        </w:tc>
        <w:tc>
          <w:tcPr>
            <w:tcW w:w="3225" w:type="dxa"/>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4</w:t>
            </w:r>
          </w:p>
        </w:tc>
      </w:tr>
      <w:tr>
        <w:tc>
          <w:tcPr>
            <w:tcW w:w="534" w:type="dxa"/>
            <w:tcBorders>
              <w:top w:val="single" w:sz="12" w:space="0" w:color="auto"/>
            </w:tcBorders>
          </w:tcPr>
          <w:p>
            <w:pPr>
              <w:rPr>
                <w:sz w:val="20"/>
              </w:rPr>
            </w:pPr>
            <w:r>
              <w:rPr>
                <w:sz w:val="20"/>
              </w:rPr>
              <w:t>1</w:t>
            </w:r>
          </w:p>
        </w:tc>
        <w:tc>
          <w:tcPr>
            <w:tcW w:w="2976" w:type="dxa"/>
            <w:tcBorders>
              <w:top w:val="single" w:sz="12" w:space="0" w:color="auto"/>
            </w:tcBorders>
          </w:tcPr>
          <w:p>
            <w:pPr>
              <w:jc w:val="center"/>
              <w:rPr>
                <w:color w:val="000000" w:themeColor="text1"/>
                <w:sz w:val="20"/>
                <w:lang w:val="en-US"/>
              </w:rPr>
            </w:pPr>
            <w:r>
              <w:rPr>
                <w:color w:val="000000" w:themeColor="text1"/>
                <w:sz w:val="20"/>
                <w:lang w:val="en-US"/>
              </w:rPr>
              <w:t>3</w:t>
            </w:r>
            <w:r>
              <w:rPr>
                <w:color w:val="000000" w:themeColor="text1"/>
                <w:sz w:val="20"/>
              </w:rPr>
              <w:t>,</w:t>
            </w:r>
            <w:r>
              <w:rPr>
                <w:color w:val="000000" w:themeColor="text1"/>
                <w:sz w:val="20"/>
                <w:lang w:val="en-US"/>
              </w:rPr>
              <w:t>5</w:t>
            </w:r>
          </w:p>
        </w:tc>
        <w:tc>
          <w:tcPr>
            <w:tcW w:w="3119" w:type="dxa"/>
            <w:tcBorders>
              <w:top w:val="single" w:sz="12" w:space="0" w:color="auto"/>
            </w:tcBorders>
          </w:tcPr>
          <w:p>
            <w:pPr>
              <w:jc w:val="center"/>
              <w:rPr>
                <w:color w:val="000000" w:themeColor="text1"/>
                <w:sz w:val="20"/>
                <w:lang w:val="en-US"/>
              </w:rPr>
            </w:pPr>
            <w:r>
              <w:rPr>
                <w:color w:val="000000" w:themeColor="text1"/>
                <w:sz w:val="20"/>
                <w:lang w:val="en-US"/>
              </w:rPr>
              <w:t>–</w:t>
            </w:r>
          </w:p>
        </w:tc>
        <w:tc>
          <w:tcPr>
            <w:tcW w:w="3225" w:type="dxa"/>
            <w:tcBorders>
              <w:top w:val="single" w:sz="12" w:space="0" w:color="auto"/>
            </w:tcBorders>
          </w:tcPr>
          <w:p>
            <w:pPr>
              <w:jc w:val="center"/>
              <w:rPr>
                <w:color w:val="000000" w:themeColor="text1"/>
                <w:sz w:val="20"/>
              </w:rPr>
            </w:pPr>
            <w:r>
              <w:rPr>
                <w:color w:val="000000" w:themeColor="text1"/>
                <w:sz w:val="20"/>
              </w:rPr>
              <w:t>1</w:t>
            </w:r>
          </w:p>
        </w:tc>
      </w:tr>
      <w:tr>
        <w:tc>
          <w:tcPr>
            <w:tcW w:w="534" w:type="dxa"/>
          </w:tcPr>
          <w:p>
            <w:pPr>
              <w:rPr>
                <w:sz w:val="20"/>
              </w:rPr>
            </w:pPr>
            <w:r>
              <w:rPr>
                <w:sz w:val="20"/>
              </w:rPr>
              <w:t>2</w:t>
            </w:r>
          </w:p>
        </w:tc>
        <w:tc>
          <w:tcPr>
            <w:tcW w:w="2976" w:type="dxa"/>
          </w:tcPr>
          <w:p>
            <w:pPr>
              <w:jc w:val="center"/>
              <w:rPr>
                <w:color w:val="000000" w:themeColor="text1"/>
                <w:sz w:val="20"/>
                <w:lang w:val="en-US"/>
              </w:rPr>
            </w:pPr>
            <w:r>
              <w:rPr>
                <w:color w:val="000000" w:themeColor="text1"/>
                <w:sz w:val="20"/>
                <w:lang w:val="en-US"/>
              </w:rPr>
              <w:t>4</w:t>
            </w:r>
            <w:r>
              <w:rPr>
                <w:color w:val="000000" w:themeColor="text1"/>
                <w:sz w:val="20"/>
              </w:rPr>
              <w:t>,</w:t>
            </w:r>
            <w:r>
              <w:rPr>
                <w:color w:val="000000" w:themeColor="text1"/>
                <w:sz w:val="20"/>
                <w:lang w:val="en-US"/>
              </w:rPr>
              <w:t>0</w:t>
            </w:r>
          </w:p>
        </w:tc>
        <w:tc>
          <w:tcPr>
            <w:tcW w:w="3119" w:type="dxa"/>
          </w:tcPr>
          <w:p>
            <w:pPr>
              <w:jc w:val="center"/>
              <w:rPr>
                <w:color w:val="000000" w:themeColor="text1"/>
                <w:sz w:val="20"/>
              </w:rPr>
            </w:pPr>
            <w:r>
              <w:rPr>
                <w:color w:val="000000" w:themeColor="text1"/>
                <w:sz w:val="20"/>
              </w:rPr>
              <w:t>0,3</w:t>
            </w:r>
          </w:p>
        </w:tc>
        <w:tc>
          <w:tcPr>
            <w:tcW w:w="3225" w:type="dxa"/>
          </w:tcPr>
          <w:p>
            <w:pPr>
              <w:jc w:val="center"/>
              <w:rPr>
                <w:color w:val="000000" w:themeColor="text1"/>
                <w:sz w:val="20"/>
                <w:lang w:val="en-US"/>
              </w:rPr>
            </w:pPr>
            <w:r>
              <w:rPr>
                <w:color w:val="000000" w:themeColor="text1"/>
                <w:sz w:val="20"/>
                <w:lang w:val="en-US"/>
              </w:rPr>
              <w:t>–</w:t>
            </w:r>
          </w:p>
        </w:tc>
      </w:tr>
      <w:tr>
        <w:tc>
          <w:tcPr>
            <w:tcW w:w="534" w:type="dxa"/>
          </w:tcPr>
          <w:p>
            <w:pPr>
              <w:rPr>
                <w:sz w:val="20"/>
              </w:rPr>
            </w:pPr>
            <w:r>
              <w:rPr>
                <w:sz w:val="20"/>
              </w:rPr>
              <w:t>3</w:t>
            </w:r>
          </w:p>
        </w:tc>
        <w:tc>
          <w:tcPr>
            <w:tcW w:w="2976" w:type="dxa"/>
          </w:tcPr>
          <w:p>
            <w:pPr>
              <w:jc w:val="center"/>
              <w:rPr>
                <w:color w:val="000000" w:themeColor="text1"/>
                <w:sz w:val="20"/>
                <w:lang w:val="en-US"/>
              </w:rPr>
            </w:pPr>
            <w:r>
              <w:rPr>
                <w:color w:val="000000" w:themeColor="text1"/>
                <w:sz w:val="20"/>
                <w:lang w:val="en-US"/>
              </w:rPr>
              <w:t>4</w:t>
            </w:r>
            <w:r>
              <w:rPr>
                <w:color w:val="000000" w:themeColor="text1"/>
                <w:sz w:val="20"/>
              </w:rPr>
              <w:t>,</w:t>
            </w:r>
            <w:r>
              <w:rPr>
                <w:color w:val="000000" w:themeColor="text1"/>
                <w:sz w:val="20"/>
                <w:lang w:val="en-US"/>
              </w:rPr>
              <w:t>5</w:t>
            </w:r>
          </w:p>
        </w:tc>
        <w:tc>
          <w:tcPr>
            <w:tcW w:w="3119" w:type="dxa"/>
          </w:tcPr>
          <w:p>
            <w:pPr>
              <w:jc w:val="center"/>
              <w:rPr>
                <w:color w:val="000000" w:themeColor="text1"/>
                <w:sz w:val="20"/>
              </w:rPr>
            </w:pPr>
            <w:r>
              <w:rPr>
                <w:color w:val="000000" w:themeColor="text1"/>
                <w:sz w:val="20"/>
              </w:rPr>
              <w:t>1</w:t>
            </w:r>
          </w:p>
        </w:tc>
        <w:tc>
          <w:tcPr>
            <w:tcW w:w="3225" w:type="dxa"/>
          </w:tcPr>
          <w:p>
            <w:pPr>
              <w:jc w:val="center"/>
              <w:rPr>
                <w:color w:val="000000" w:themeColor="text1"/>
                <w:sz w:val="20"/>
              </w:rPr>
            </w:pPr>
            <w:r>
              <w:rPr>
                <w:color w:val="000000" w:themeColor="text1"/>
                <w:sz w:val="20"/>
              </w:rPr>
              <w:t>10</w:t>
            </w:r>
          </w:p>
        </w:tc>
      </w:tr>
      <w:tr>
        <w:tc>
          <w:tcPr>
            <w:tcW w:w="534" w:type="dxa"/>
          </w:tcPr>
          <w:p>
            <w:pPr>
              <w:rPr>
                <w:sz w:val="20"/>
              </w:rPr>
            </w:pPr>
            <w:r>
              <w:rPr>
                <w:sz w:val="20"/>
              </w:rPr>
              <w:t>4</w:t>
            </w:r>
          </w:p>
        </w:tc>
        <w:tc>
          <w:tcPr>
            <w:tcW w:w="2976" w:type="dxa"/>
          </w:tcPr>
          <w:p>
            <w:pPr>
              <w:jc w:val="center"/>
              <w:rPr>
                <w:color w:val="000000" w:themeColor="text1"/>
                <w:sz w:val="20"/>
                <w:lang w:val="en-US"/>
              </w:rPr>
            </w:pPr>
            <w:r>
              <w:rPr>
                <w:color w:val="000000" w:themeColor="text1"/>
                <w:sz w:val="20"/>
                <w:lang w:val="en-US"/>
              </w:rPr>
              <w:t>5</w:t>
            </w:r>
            <w:r>
              <w:rPr>
                <w:color w:val="000000" w:themeColor="text1"/>
                <w:sz w:val="20"/>
              </w:rPr>
              <w:t>,</w:t>
            </w:r>
            <w:r>
              <w:rPr>
                <w:color w:val="000000" w:themeColor="text1"/>
                <w:sz w:val="20"/>
                <w:lang w:val="en-US"/>
              </w:rPr>
              <w:t>5</w:t>
            </w:r>
          </w:p>
        </w:tc>
        <w:tc>
          <w:tcPr>
            <w:tcW w:w="3119" w:type="dxa"/>
          </w:tcPr>
          <w:p>
            <w:pPr>
              <w:jc w:val="center"/>
              <w:rPr>
                <w:color w:val="000000" w:themeColor="text1"/>
                <w:sz w:val="20"/>
              </w:rPr>
            </w:pPr>
            <w:r>
              <w:rPr>
                <w:color w:val="000000" w:themeColor="text1"/>
                <w:sz w:val="20"/>
              </w:rPr>
              <w:t>10</w:t>
            </w:r>
          </w:p>
        </w:tc>
        <w:tc>
          <w:tcPr>
            <w:tcW w:w="3225" w:type="dxa"/>
          </w:tcPr>
          <w:p>
            <w:pPr>
              <w:jc w:val="center"/>
              <w:rPr>
                <w:color w:val="000000" w:themeColor="text1"/>
                <w:sz w:val="20"/>
              </w:rPr>
            </w:pPr>
            <w:r>
              <w:rPr>
                <w:color w:val="000000" w:themeColor="text1"/>
                <w:sz w:val="20"/>
              </w:rPr>
              <w:t>100</w:t>
            </w:r>
          </w:p>
        </w:tc>
      </w:tr>
      <w:tr>
        <w:tc>
          <w:tcPr>
            <w:tcW w:w="534" w:type="dxa"/>
          </w:tcPr>
          <w:p>
            <w:pPr>
              <w:rPr>
                <w:sz w:val="20"/>
              </w:rPr>
            </w:pPr>
            <w:r>
              <w:rPr>
                <w:sz w:val="20"/>
              </w:rPr>
              <w:t>5</w:t>
            </w:r>
          </w:p>
        </w:tc>
        <w:tc>
          <w:tcPr>
            <w:tcW w:w="2976" w:type="dxa"/>
          </w:tcPr>
          <w:p>
            <w:pPr>
              <w:jc w:val="center"/>
              <w:rPr>
                <w:color w:val="000000" w:themeColor="text1"/>
                <w:sz w:val="20"/>
              </w:rPr>
            </w:pPr>
            <w:r>
              <w:rPr>
                <w:color w:val="000000" w:themeColor="text1"/>
                <w:sz w:val="20"/>
                <w:lang w:val="en-US"/>
              </w:rPr>
              <w:t>6</w:t>
            </w:r>
            <w:r>
              <w:rPr>
                <w:color w:val="000000" w:themeColor="text1"/>
                <w:sz w:val="20"/>
              </w:rPr>
              <w:t>,5</w:t>
            </w:r>
          </w:p>
        </w:tc>
        <w:tc>
          <w:tcPr>
            <w:tcW w:w="3119" w:type="dxa"/>
          </w:tcPr>
          <w:p>
            <w:pPr>
              <w:jc w:val="center"/>
              <w:rPr>
                <w:color w:val="000000" w:themeColor="text1"/>
                <w:sz w:val="20"/>
              </w:rPr>
            </w:pPr>
            <w:r>
              <w:rPr>
                <w:color w:val="000000" w:themeColor="text1"/>
                <w:sz w:val="20"/>
              </w:rPr>
              <w:t>100</w:t>
            </w:r>
          </w:p>
        </w:tc>
        <w:tc>
          <w:tcPr>
            <w:tcW w:w="3225" w:type="dxa"/>
          </w:tcPr>
          <w:p>
            <w:pPr>
              <w:jc w:val="center"/>
              <w:rPr>
                <w:color w:val="000000" w:themeColor="text1"/>
                <w:sz w:val="20"/>
                <w:lang w:val="en-US"/>
              </w:rPr>
            </w:pPr>
            <w:r>
              <w:rPr>
                <w:color w:val="000000" w:themeColor="text1"/>
                <w:sz w:val="20"/>
                <w:lang w:val="en-US"/>
              </w:rPr>
              <w:t>–</w:t>
            </w:r>
          </w:p>
        </w:tc>
      </w:tr>
    </w:tbl>
    <w:p>
      <w:pPr>
        <w:pStyle w:val="affd"/>
        <w:numPr>
          <w:ilvl w:val="0"/>
          <w:numId w:val="75"/>
        </w:numPr>
        <w:tabs>
          <w:tab w:val="left" w:pos="993"/>
        </w:tabs>
        <w:spacing w:before="120" w:line="240" w:lineRule="auto"/>
        <w:ind w:left="993" w:hanging="454"/>
        <w:contextualSpacing w:val="0"/>
        <w:rPr>
          <w:rFonts w:ascii="Times New Roman" w:hAnsi="Times New Roman"/>
          <w:sz w:val="24"/>
        </w:rPr>
      </w:pPr>
      <w:r>
        <w:rPr>
          <w:rFonts w:ascii="Times New Roman" w:hAnsi="Times New Roman"/>
          <w:sz w:val="24"/>
        </w:rPr>
        <w:t>лабораторные испытания на СКРН для эксплуатации в среде, содержащей H</w:t>
      </w:r>
      <w:r>
        <w:rPr>
          <w:rFonts w:ascii="Times New Roman" w:hAnsi="Times New Roman"/>
          <w:sz w:val="24"/>
          <w:vertAlign w:val="subscript"/>
        </w:rPr>
        <w:t>2</w:t>
      </w:r>
      <w:r>
        <w:rPr>
          <w:rFonts w:ascii="Times New Roman" w:hAnsi="Times New Roman"/>
          <w:sz w:val="24"/>
        </w:rPr>
        <w:t>S должны проводиться в соответствии с Таблицей 11;</w:t>
      </w:r>
    </w:p>
    <w:p/>
    <w:p>
      <w:pPr>
        <w:keepNext/>
        <w:widowControl w:val="0"/>
        <w:jc w:val="right"/>
        <w:rPr>
          <w:rFonts w:ascii="Arial" w:eastAsia="Times New Roman" w:hAnsi="Arial"/>
          <w:b/>
          <w:sz w:val="20"/>
          <w:szCs w:val="16"/>
        </w:rPr>
      </w:pPr>
      <w:r>
        <w:rPr>
          <w:rFonts w:ascii="Arial" w:eastAsia="Times New Roman" w:hAnsi="Arial"/>
          <w:b/>
          <w:sz w:val="20"/>
          <w:szCs w:val="16"/>
        </w:rPr>
        <w:lastRenderedPageBreak/>
        <w:t xml:space="preserve">Таблица </w:t>
      </w:r>
      <w:r>
        <w:rPr>
          <w:rFonts w:ascii="Arial" w:eastAsia="Times New Roman" w:hAnsi="Arial"/>
          <w:b/>
          <w:sz w:val="20"/>
          <w:szCs w:val="16"/>
        </w:rPr>
        <w:fldChar w:fldCharType="begin"/>
      </w:r>
      <w:r>
        <w:rPr>
          <w:rFonts w:ascii="Arial" w:eastAsia="Times New Roman" w:hAnsi="Arial"/>
          <w:b/>
          <w:sz w:val="20"/>
          <w:szCs w:val="16"/>
        </w:rPr>
        <w:instrText xml:space="preserve"> SEQ Таблица \* ARABIC </w:instrText>
      </w:r>
      <w:r>
        <w:rPr>
          <w:rFonts w:ascii="Arial" w:eastAsia="Times New Roman" w:hAnsi="Arial"/>
          <w:b/>
          <w:sz w:val="20"/>
          <w:szCs w:val="16"/>
        </w:rPr>
        <w:fldChar w:fldCharType="separate"/>
      </w:r>
      <w:r>
        <w:rPr>
          <w:rFonts w:ascii="Arial" w:eastAsia="Times New Roman" w:hAnsi="Arial"/>
          <w:b/>
          <w:noProof/>
          <w:sz w:val="20"/>
          <w:szCs w:val="16"/>
        </w:rPr>
        <w:t>11</w:t>
      </w:r>
      <w:r>
        <w:rPr>
          <w:rFonts w:ascii="Arial" w:eastAsia="Times New Roman" w:hAnsi="Arial"/>
          <w:b/>
          <w:sz w:val="20"/>
          <w:szCs w:val="16"/>
        </w:rPr>
        <w:fldChar w:fldCharType="end"/>
      </w:r>
    </w:p>
    <w:p>
      <w:pPr>
        <w:keepNext/>
        <w:widowControl w:val="0"/>
        <w:spacing w:after="60"/>
        <w:jc w:val="right"/>
        <w:rPr>
          <w:rFonts w:ascii="Arial" w:eastAsia="Times New Roman" w:hAnsi="Arial"/>
          <w:b/>
          <w:sz w:val="20"/>
          <w:szCs w:val="16"/>
        </w:rPr>
      </w:pPr>
      <w:r>
        <w:rPr>
          <w:rFonts w:ascii="Arial" w:eastAsia="Times New Roman" w:hAnsi="Arial"/>
          <w:b/>
          <w:sz w:val="20"/>
          <w:szCs w:val="16"/>
        </w:rPr>
        <w:t>Лабораторные испытания на СКРН для эксплуатации в среде, содержащей H</w:t>
      </w:r>
      <w:r>
        <w:rPr>
          <w:rFonts w:ascii="Arial" w:eastAsia="Times New Roman" w:hAnsi="Arial"/>
          <w:b/>
          <w:sz w:val="20"/>
          <w:szCs w:val="16"/>
          <w:vertAlign w:val="subscript"/>
        </w:rPr>
        <w:t>2</w:t>
      </w:r>
      <w:r>
        <w:rPr>
          <w:rFonts w:ascii="Arial" w:eastAsia="Times New Roman" w:hAnsi="Arial"/>
          <w:b/>
          <w:sz w:val="20"/>
          <w:szCs w:val="16"/>
        </w:rPr>
        <w:t>S</w:t>
      </w:r>
    </w:p>
    <w:tbl>
      <w:tblPr>
        <w:tblStyle w:val="aff6"/>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2268"/>
        <w:gridCol w:w="5244"/>
        <w:gridCol w:w="1808"/>
      </w:tblGrid>
      <w:tr>
        <w:trPr>
          <w:trHeight w:val="397"/>
          <w:tblHeader/>
        </w:trPr>
        <w:tc>
          <w:tcPr>
            <w:tcW w:w="534" w:type="dxa"/>
            <w:tcBorders>
              <w:bottom w:val="single" w:sz="12" w:space="0" w:color="auto"/>
            </w:tcBorders>
            <w:shd w:val="clear" w:color="auto" w:fill="FFD200"/>
            <w:vAlign w:val="center"/>
          </w:tcPr>
          <w:p>
            <w:pPr>
              <w:keepNext/>
              <w:jc w:val="center"/>
              <w:rPr>
                <w:rFonts w:ascii="Arial" w:hAnsi="Arial" w:cs="Arial"/>
                <w:b/>
                <w:sz w:val="16"/>
                <w:szCs w:val="16"/>
              </w:rPr>
            </w:pPr>
            <w:r>
              <w:rPr>
                <w:rFonts w:ascii="Arial" w:hAnsi="Arial" w:cs="Arial"/>
                <w:b/>
                <w:kern w:val="28"/>
                <w:sz w:val="16"/>
                <w:szCs w:val="16"/>
              </w:rPr>
              <w:t>№ П/П</w:t>
            </w:r>
          </w:p>
        </w:tc>
        <w:tc>
          <w:tcPr>
            <w:tcW w:w="2268" w:type="dxa"/>
            <w:tcBorders>
              <w:bottom w:val="single" w:sz="12" w:space="0" w:color="auto"/>
            </w:tcBorders>
            <w:shd w:val="clear" w:color="auto" w:fill="FFD200"/>
            <w:vAlign w:val="center"/>
            <w:hideMark/>
          </w:tcPr>
          <w:p>
            <w:pPr>
              <w:keepNext/>
              <w:jc w:val="center"/>
              <w:rPr>
                <w:rFonts w:ascii="Arial" w:hAnsi="Arial" w:cs="Arial"/>
                <w:b/>
                <w:sz w:val="16"/>
                <w:szCs w:val="16"/>
              </w:rPr>
            </w:pPr>
            <w:r>
              <w:rPr>
                <w:rFonts w:ascii="Arial" w:hAnsi="Arial" w:cs="Arial"/>
                <w:b/>
                <w:sz w:val="16"/>
                <w:szCs w:val="16"/>
              </w:rPr>
              <w:t>ОБЛАСТЬ ПРИМЕНЕНИЯ</w:t>
            </w:r>
          </w:p>
        </w:tc>
        <w:tc>
          <w:tcPr>
            <w:tcW w:w="5244" w:type="dxa"/>
            <w:tcBorders>
              <w:bottom w:val="single" w:sz="12" w:space="0" w:color="auto"/>
            </w:tcBorders>
            <w:shd w:val="clear" w:color="auto" w:fill="FFD200"/>
            <w:vAlign w:val="center"/>
            <w:hideMark/>
          </w:tcPr>
          <w:p>
            <w:pPr>
              <w:keepNext/>
              <w:jc w:val="center"/>
              <w:rPr>
                <w:rFonts w:ascii="Arial" w:hAnsi="Arial" w:cs="Arial"/>
                <w:b/>
                <w:sz w:val="16"/>
                <w:szCs w:val="16"/>
              </w:rPr>
            </w:pPr>
            <w:r>
              <w:rPr>
                <w:rFonts w:ascii="Arial" w:hAnsi="Arial" w:cs="Arial"/>
                <w:b/>
                <w:sz w:val="16"/>
                <w:szCs w:val="16"/>
              </w:rPr>
              <w:t>МОДЕЛЬНЫЙ РАСТВОР</w:t>
            </w:r>
          </w:p>
        </w:tc>
        <w:tc>
          <w:tcPr>
            <w:tcW w:w="1808" w:type="dxa"/>
            <w:tcBorders>
              <w:bottom w:val="single" w:sz="12" w:space="0" w:color="auto"/>
            </w:tcBorders>
            <w:shd w:val="clear" w:color="auto" w:fill="FFD200"/>
            <w:vAlign w:val="center"/>
            <w:hideMark/>
          </w:tcPr>
          <w:p>
            <w:pPr>
              <w:keepNext/>
              <w:jc w:val="center"/>
              <w:rPr>
                <w:rFonts w:ascii="Arial" w:hAnsi="Arial" w:cs="Arial"/>
                <w:b/>
                <w:sz w:val="16"/>
                <w:szCs w:val="16"/>
              </w:rPr>
            </w:pPr>
            <w:r>
              <w:rPr>
                <w:rFonts w:ascii="Arial" w:hAnsi="Arial" w:cs="Arial"/>
                <w:b/>
                <w:sz w:val="16"/>
                <w:szCs w:val="16"/>
              </w:rPr>
              <w:t>ПРИЛОЖЕННОЕ НАПРЯЖЕНИЕ</w:t>
            </w:r>
          </w:p>
        </w:tc>
      </w:tr>
      <w:tr>
        <w:trPr>
          <w:trHeight w:val="227"/>
          <w:tblHeader/>
        </w:trPr>
        <w:tc>
          <w:tcPr>
            <w:tcW w:w="534" w:type="dxa"/>
            <w:tcBorders>
              <w:top w:val="single" w:sz="12" w:space="0" w:color="auto"/>
              <w:bottom w:val="single" w:sz="12" w:space="0" w:color="auto"/>
            </w:tcBorders>
            <w:shd w:val="clear" w:color="auto" w:fill="FFD200"/>
            <w:vAlign w:val="center"/>
          </w:tcPr>
          <w:p>
            <w:pPr>
              <w:keepNext/>
              <w:jc w:val="center"/>
              <w:rPr>
                <w:rFonts w:ascii="Arial" w:hAnsi="Arial" w:cs="Arial"/>
                <w:b/>
                <w:kern w:val="28"/>
                <w:sz w:val="16"/>
                <w:szCs w:val="16"/>
              </w:rPr>
            </w:pPr>
            <w:r>
              <w:rPr>
                <w:rFonts w:ascii="Arial" w:hAnsi="Arial" w:cs="Arial"/>
                <w:b/>
                <w:kern w:val="28"/>
                <w:sz w:val="16"/>
                <w:szCs w:val="16"/>
              </w:rPr>
              <w:t>1</w:t>
            </w:r>
          </w:p>
        </w:tc>
        <w:tc>
          <w:tcPr>
            <w:tcW w:w="2268" w:type="dxa"/>
            <w:tcBorders>
              <w:top w:val="single" w:sz="12" w:space="0" w:color="auto"/>
              <w:bottom w:val="single" w:sz="12" w:space="0" w:color="auto"/>
            </w:tcBorders>
            <w:shd w:val="clear" w:color="auto" w:fill="FFD200"/>
            <w:vAlign w:val="center"/>
          </w:tcPr>
          <w:p>
            <w:pPr>
              <w:keepNext/>
              <w:jc w:val="center"/>
              <w:rPr>
                <w:rFonts w:ascii="Arial" w:hAnsi="Arial" w:cs="Arial"/>
                <w:b/>
                <w:sz w:val="16"/>
                <w:szCs w:val="16"/>
              </w:rPr>
            </w:pPr>
            <w:r>
              <w:rPr>
                <w:rFonts w:ascii="Arial" w:hAnsi="Arial" w:cs="Arial"/>
                <w:b/>
                <w:sz w:val="16"/>
                <w:szCs w:val="16"/>
              </w:rPr>
              <w:t>2</w:t>
            </w:r>
          </w:p>
        </w:tc>
        <w:tc>
          <w:tcPr>
            <w:tcW w:w="5244" w:type="dxa"/>
            <w:tcBorders>
              <w:top w:val="single" w:sz="12" w:space="0" w:color="auto"/>
              <w:bottom w:val="single" w:sz="12" w:space="0" w:color="auto"/>
            </w:tcBorders>
            <w:shd w:val="clear" w:color="auto" w:fill="FFD200"/>
            <w:vAlign w:val="center"/>
          </w:tcPr>
          <w:p>
            <w:pPr>
              <w:keepNext/>
              <w:jc w:val="center"/>
              <w:rPr>
                <w:rFonts w:ascii="Arial" w:hAnsi="Arial" w:cs="Arial"/>
                <w:b/>
                <w:sz w:val="16"/>
                <w:szCs w:val="16"/>
              </w:rPr>
            </w:pPr>
            <w:r>
              <w:rPr>
                <w:rFonts w:ascii="Arial" w:hAnsi="Arial" w:cs="Arial"/>
                <w:b/>
                <w:sz w:val="16"/>
                <w:szCs w:val="16"/>
              </w:rPr>
              <w:t>3</w:t>
            </w:r>
          </w:p>
        </w:tc>
        <w:tc>
          <w:tcPr>
            <w:tcW w:w="1808" w:type="dxa"/>
            <w:tcBorders>
              <w:top w:val="single" w:sz="12" w:space="0" w:color="auto"/>
              <w:bottom w:val="single" w:sz="12" w:space="0" w:color="auto"/>
            </w:tcBorders>
            <w:shd w:val="clear" w:color="auto" w:fill="FFD200"/>
            <w:vAlign w:val="center"/>
          </w:tcPr>
          <w:p>
            <w:pPr>
              <w:keepNext/>
              <w:jc w:val="center"/>
              <w:rPr>
                <w:rFonts w:ascii="Arial" w:hAnsi="Arial" w:cs="Arial"/>
                <w:b/>
                <w:sz w:val="16"/>
                <w:szCs w:val="16"/>
              </w:rPr>
            </w:pPr>
            <w:r>
              <w:rPr>
                <w:rFonts w:ascii="Arial" w:hAnsi="Arial" w:cs="Arial"/>
                <w:b/>
                <w:sz w:val="16"/>
                <w:szCs w:val="16"/>
              </w:rPr>
              <w:t>4</w:t>
            </w:r>
          </w:p>
        </w:tc>
      </w:tr>
      <w:tr>
        <w:tc>
          <w:tcPr>
            <w:tcW w:w="534" w:type="dxa"/>
            <w:tcBorders>
              <w:top w:val="single" w:sz="12" w:space="0" w:color="auto"/>
            </w:tcBorders>
          </w:tcPr>
          <w:p>
            <w:r>
              <w:t>1</w:t>
            </w:r>
          </w:p>
        </w:tc>
        <w:tc>
          <w:tcPr>
            <w:tcW w:w="2268" w:type="dxa"/>
            <w:tcBorders>
              <w:top w:val="single" w:sz="12" w:space="0" w:color="auto"/>
            </w:tcBorders>
            <w:hideMark/>
          </w:tcPr>
          <w:p>
            <w:pPr>
              <w:jc w:val="left"/>
              <w:rPr>
                <w:sz w:val="20"/>
              </w:rPr>
            </w:pPr>
            <w:r>
              <w:rPr>
                <w:sz w:val="20"/>
              </w:rPr>
              <w:t>Для материалов, предназначенных для эксплуатации в области СКРН 1 (К1)</w:t>
            </w:r>
          </w:p>
        </w:tc>
        <w:tc>
          <w:tcPr>
            <w:tcW w:w="5244" w:type="dxa"/>
            <w:tcBorders>
              <w:top w:val="single" w:sz="12" w:space="0" w:color="auto"/>
            </w:tcBorders>
            <w:hideMark/>
          </w:tcPr>
          <w:p>
            <w:pPr>
              <w:jc w:val="left"/>
              <w:rPr>
                <w:sz w:val="20"/>
              </w:rPr>
            </w:pPr>
            <w:r>
              <w:rPr>
                <w:sz w:val="20"/>
              </w:rPr>
              <w:t xml:space="preserve">5 % </w:t>
            </w:r>
            <w:r>
              <w:rPr>
                <w:sz w:val="20"/>
                <w:lang w:val="en-US"/>
              </w:rPr>
              <w:t>NaCl</w:t>
            </w:r>
            <w:r>
              <w:rPr>
                <w:sz w:val="20"/>
              </w:rPr>
              <w:t xml:space="preserve"> + 0,4 % </w:t>
            </w:r>
            <w:r>
              <w:rPr>
                <w:sz w:val="20"/>
                <w:lang w:val="en-US"/>
              </w:rPr>
              <w:t>CH</w:t>
            </w:r>
            <w:r>
              <w:rPr>
                <w:sz w:val="20"/>
                <w:vertAlign w:val="subscript"/>
              </w:rPr>
              <w:t>3</w:t>
            </w:r>
            <w:r>
              <w:rPr>
                <w:sz w:val="20"/>
                <w:lang w:val="en-US"/>
              </w:rPr>
              <w:t>COONa</w:t>
            </w:r>
            <w:r>
              <w:rPr>
                <w:sz w:val="20"/>
              </w:rPr>
              <w:t xml:space="preserve"> в дистиллированной </w:t>
            </w:r>
            <w:r>
              <w:rPr>
                <w:sz w:val="20"/>
                <w:szCs w:val="20"/>
              </w:rPr>
              <w:t>воде. P</w:t>
            </w:r>
            <w:r>
              <w:rPr>
                <w:sz w:val="20"/>
                <w:szCs w:val="20"/>
                <w:vertAlign w:val="subscript"/>
              </w:rPr>
              <w:t>H2S</w:t>
            </w:r>
            <w:r>
              <w:rPr>
                <w:sz w:val="20"/>
                <w:szCs w:val="20"/>
              </w:rPr>
              <w:t xml:space="preserve"> и </w:t>
            </w:r>
            <w:r>
              <w:rPr>
                <w:sz w:val="20"/>
                <w:szCs w:val="20"/>
                <w:lang w:val="en-US"/>
              </w:rPr>
              <w:t>pH</w:t>
            </w:r>
            <w:r>
              <w:rPr>
                <w:sz w:val="20"/>
                <w:szCs w:val="20"/>
              </w:rPr>
              <w:t xml:space="preserve"> в</w:t>
            </w:r>
            <w:r>
              <w:rPr>
                <w:sz w:val="20"/>
              </w:rPr>
              <w:t xml:space="preserve"> соответствии с областью СКРН 1 Таблица 11 настоящих Методических указаний и рисунок 1 </w:t>
            </w:r>
            <w:r>
              <w:rPr>
                <w:sz w:val="20"/>
              </w:rPr>
              <w:br/>
              <w:t>ГОСТ 53678-2009</w:t>
            </w:r>
          </w:p>
        </w:tc>
        <w:tc>
          <w:tcPr>
            <w:tcW w:w="1808" w:type="dxa"/>
            <w:tcBorders>
              <w:top w:val="single" w:sz="12" w:space="0" w:color="auto"/>
            </w:tcBorders>
            <w:hideMark/>
          </w:tcPr>
          <w:p>
            <w:pPr>
              <w:jc w:val="left"/>
              <w:rPr>
                <w:sz w:val="20"/>
              </w:rPr>
            </w:pPr>
            <w:r>
              <w:rPr>
                <w:sz w:val="20"/>
              </w:rPr>
              <w:t>90 % от фактического предела текучести</w:t>
            </w:r>
          </w:p>
        </w:tc>
      </w:tr>
      <w:tr>
        <w:tc>
          <w:tcPr>
            <w:tcW w:w="534" w:type="dxa"/>
          </w:tcPr>
          <w:p>
            <w:r>
              <w:t>2</w:t>
            </w:r>
          </w:p>
        </w:tc>
        <w:tc>
          <w:tcPr>
            <w:tcW w:w="2268" w:type="dxa"/>
            <w:hideMark/>
          </w:tcPr>
          <w:p>
            <w:pPr>
              <w:jc w:val="left"/>
              <w:rPr>
                <w:sz w:val="20"/>
              </w:rPr>
            </w:pPr>
            <w:r>
              <w:rPr>
                <w:sz w:val="20"/>
              </w:rPr>
              <w:t>Для материалов, предназначенных для эксплуатации в области СКРН 2 (К2)</w:t>
            </w:r>
          </w:p>
        </w:tc>
        <w:tc>
          <w:tcPr>
            <w:tcW w:w="5244" w:type="dxa"/>
            <w:hideMark/>
          </w:tcPr>
          <w:p>
            <w:pPr>
              <w:jc w:val="left"/>
              <w:rPr>
                <w:sz w:val="20"/>
              </w:rPr>
            </w:pPr>
            <w:r>
              <w:rPr>
                <w:sz w:val="20"/>
              </w:rPr>
              <w:t xml:space="preserve">5 % </w:t>
            </w:r>
            <w:r>
              <w:rPr>
                <w:sz w:val="20"/>
                <w:lang w:val="en-US"/>
              </w:rPr>
              <w:t>NaCl</w:t>
            </w:r>
            <w:r>
              <w:rPr>
                <w:sz w:val="20"/>
              </w:rPr>
              <w:t xml:space="preserve"> + 0,4 % </w:t>
            </w:r>
            <w:r>
              <w:rPr>
                <w:sz w:val="20"/>
                <w:lang w:val="en-US"/>
              </w:rPr>
              <w:t>CH</w:t>
            </w:r>
            <w:r>
              <w:rPr>
                <w:sz w:val="20"/>
                <w:vertAlign w:val="subscript"/>
              </w:rPr>
              <w:t>3</w:t>
            </w:r>
            <w:r>
              <w:rPr>
                <w:sz w:val="20"/>
                <w:lang w:val="en-US"/>
              </w:rPr>
              <w:t>COONa</w:t>
            </w:r>
            <w:r>
              <w:rPr>
                <w:sz w:val="20"/>
              </w:rPr>
              <w:t xml:space="preserve"> в дистиллированной воде. P</w:t>
            </w:r>
            <w:r>
              <w:rPr>
                <w:sz w:val="20"/>
                <w:vertAlign w:val="subscript"/>
              </w:rPr>
              <w:t>H2S</w:t>
            </w:r>
            <w:r>
              <w:rPr>
                <w:sz w:val="20"/>
              </w:rPr>
              <w:t xml:space="preserve"> и </w:t>
            </w:r>
            <w:r>
              <w:rPr>
                <w:sz w:val="20"/>
                <w:lang w:val="en-US"/>
              </w:rPr>
              <w:t>pH</w:t>
            </w:r>
            <w:r>
              <w:rPr>
                <w:sz w:val="20"/>
              </w:rPr>
              <w:t xml:space="preserve"> в соответствии с областью СКРН 2 Таблица 11 настоящих Методических указаний и рисунок 1 </w:t>
            </w:r>
            <w:r>
              <w:rPr>
                <w:sz w:val="20"/>
              </w:rPr>
              <w:br/>
              <w:t>ГОСТ 53678-2009</w:t>
            </w:r>
          </w:p>
        </w:tc>
        <w:tc>
          <w:tcPr>
            <w:tcW w:w="1808" w:type="dxa"/>
            <w:hideMark/>
          </w:tcPr>
          <w:p>
            <w:pPr>
              <w:jc w:val="left"/>
              <w:rPr>
                <w:sz w:val="20"/>
              </w:rPr>
            </w:pPr>
            <w:r>
              <w:rPr>
                <w:sz w:val="20"/>
              </w:rPr>
              <w:t>90 % от фактического предела текучести</w:t>
            </w:r>
          </w:p>
        </w:tc>
      </w:tr>
      <w:tr>
        <w:tc>
          <w:tcPr>
            <w:tcW w:w="534" w:type="dxa"/>
          </w:tcPr>
          <w:p>
            <w:r>
              <w:t>3</w:t>
            </w:r>
          </w:p>
        </w:tc>
        <w:tc>
          <w:tcPr>
            <w:tcW w:w="2268" w:type="dxa"/>
            <w:hideMark/>
          </w:tcPr>
          <w:p>
            <w:pPr>
              <w:jc w:val="left"/>
              <w:rPr>
                <w:sz w:val="20"/>
              </w:rPr>
            </w:pPr>
            <w:r>
              <w:rPr>
                <w:sz w:val="20"/>
              </w:rPr>
              <w:t>Для материалов, предназначенных для эксплуатации в других областях  СКРН (К3)</w:t>
            </w:r>
          </w:p>
        </w:tc>
        <w:tc>
          <w:tcPr>
            <w:tcW w:w="5244" w:type="dxa"/>
            <w:hideMark/>
          </w:tcPr>
          <w:p>
            <w:pPr>
              <w:jc w:val="left"/>
              <w:rPr>
                <w:sz w:val="20"/>
              </w:rPr>
            </w:pPr>
            <w:r>
              <w:rPr>
                <w:sz w:val="20"/>
              </w:rPr>
              <w:t xml:space="preserve">5 % </w:t>
            </w:r>
            <w:r>
              <w:rPr>
                <w:sz w:val="20"/>
                <w:lang w:val="en-US"/>
              </w:rPr>
              <w:t>NaCl</w:t>
            </w:r>
            <w:r>
              <w:rPr>
                <w:sz w:val="20"/>
              </w:rPr>
              <w:t xml:space="preserve"> + 0,5 % </w:t>
            </w:r>
            <w:r>
              <w:rPr>
                <w:sz w:val="20"/>
                <w:lang w:val="en-US"/>
              </w:rPr>
              <w:t>CH</w:t>
            </w:r>
            <w:r>
              <w:rPr>
                <w:sz w:val="20"/>
                <w:vertAlign w:val="subscript"/>
              </w:rPr>
              <w:t>3</w:t>
            </w:r>
            <w:r>
              <w:rPr>
                <w:sz w:val="20"/>
                <w:lang w:val="en-US"/>
              </w:rPr>
              <w:t>COOH</w:t>
            </w:r>
            <w:r>
              <w:rPr>
                <w:sz w:val="20"/>
              </w:rPr>
              <w:t xml:space="preserve"> в дистиллированной воде. P</w:t>
            </w:r>
            <w:r>
              <w:rPr>
                <w:sz w:val="20"/>
                <w:vertAlign w:val="subscript"/>
              </w:rPr>
              <w:t>H2S</w:t>
            </w:r>
            <w:r>
              <w:rPr>
                <w:sz w:val="20"/>
              </w:rPr>
              <w:t xml:space="preserve"> и </w:t>
            </w:r>
            <w:r>
              <w:rPr>
                <w:sz w:val="20"/>
                <w:lang w:val="en-US"/>
              </w:rPr>
              <w:t>pH</w:t>
            </w:r>
            <w:r>
              <w:rPr>
                <w:sz w:val="20"/>
              </w:rPr>
              <w:t xml:space="preserve"> в соответствии с Таблицей В.2 </w:t>
            </w:r>
            <w:r>
              <w:rPr>
                <w:sz w:val="20"/>
              </w:rPr>
              <w:br/>
              <w:t>ГОСТ 53678-2009 (Среда А)</w:t>
            </w:r>
          </w:p>
        </w:tc>
        <w:tc>
          <w:tcPr>
            <w:tcW w:w="1808" w:type="dxa"/>
            <w:hideMark/>
          </w:tcPr>
          <w:p>
            <w:pPr>
              <w:jc w:val="left"/>
              <w:rPr>
                <w:sz w:val="20"/>
              </w:rPr>
            </w:pPr>
            <w:r>
              <w:rPr>
                <w:sz w:val="20"/>
              </w:rPr>
              <w:t>80 % от фактического предела текучести</w:t>
            </w:r>
          </w:p>
        </w:tc>
      </w:tr>
    </w:tbl>
    <w:p>
      <w:pPr>
        <w:tabs>
          <w:tab w:val="left" w:pos="709"/>
        </w:tabs>
        <w:rPr>
          <w:i/>
          <w:spacing w:val="-2"/>
          <w:u w:val="single"/>
        </w:rPr>
      </w:pPr>
    </w:p>
    <w:p>
      <w:pPr>
        <w:tabs>
          <w:tab w:val="left" w:pos="709"/>
        </w:tabs>
        <w:ind w:left="567"/>
        <w:rPr>
          <w:i/>
          <w:spacing w:val="-2"/>
          <w:u w:val="single"/>
        </w:rPr>
      </w:pPr>
      <w:r>
        <w:rPr>
          <w:i/>
          <w:spacing w:val="-2"/>
          <w:u w:val="single"/>
        </w:rPr>
        <w:t>Примечания:</w:t>
      </w:r>
    </w:p>
    <w:p>
      <w:pPr>
        <w:pStyle w:val="affd"/>
        <w:widowControl w:val="0"/>
        <w:numPr>
          <w:ilvl w:val="0"/>
          <w:numId w:val="76"/>
        </w:numPr>
        <w:tabs>
          <w:tab w:val="left" w:pos="709"/>
          <w:tab w:val="left" w:pos="851"/>
        </w:tabs>
        <w:spacing w:before="120" w:line="240" w:lineRule="auto"/>
        <w:ind w:left="1105" w:hanging="357"/>
        <w:contextualSpacing w:val="0"/>
        <w:rPr>
          <w:rFonts w:ascii="Times New Roman" w:hAnsi="Times New Roman"/>
          <w:i/>
          <w:spacing w:val="-2"/>
          <w:sz w:val="24"/>
        </w:rPr>
      </w:pPr>
      <w:r>
        <w:rPr>
          <w:rFonts w:ascii="Times New Roman" w:hAnsi="Times New Roman"/>
          <w:i/>
          <w:spacing w:val="-2"/>
          <w:sz w:val="24"/>
        </w:rPr>
        <w:t>положительные результаты испытаний на СКРН для рабочих сред К3, распространяются также на области применения с рабочими средами К2 и К1.</w:t>
      </w:r>
    </w:p>
    <w:p>
      <w:pPr>
        <w:pStyle w:val="affd"/>
        <w:widowControl w:val="0"/>
        <w:numPr>
          <w:ilvl w:val="0"/>
          <w:numId w:val="76"/>
        </w:numPr>
        <w:tabs>
          <w:tab w:val="left" w:pos="709"/>
          <w:tab w:val="left" w:pos="851"/>
        </w:tabs>
        <w:spacing w:before="120" w:line="240" w:lineRule="auto"/>
        <w:ind w:left="1105" w:hanging="357"/>
        <w:contextualSpacing w:val="0"/>
        <w:rPr>
          <w:rFonts w:ascii="Times New Roman" w:hAnsi="Times New Roman"/>
          <w:i/>
          <w:spacing w:val="-2"/>
          <w:sz w:val="24"/>
        </w:rPr>
      </w:pPr>
      <w:r>
        <w:rPr>
          <w:rFonts w:ascii="Times New Roman" w:hAnsi="Times New Roman"/>
          <w:i/>
          <w:spacing w:val="-2"/>
          <w:sz w:val="24"/>
        </w:rPr>
        <w:t>положительные результаты испытаний на СКРН для рабочих сред К2, распространяются также на область применения с рабочей средой К1.</w:t>
      </w:r>
    </w:p>
    <w:p>
      <w:pPr>
        <w:pStyle w:val="affd"/>
        <w:widowControl w:val="0"/>
        <w:numPr>
          <w:ilvl w:val="0"/>
          <w:numId w:val="76"/>
        </w:numPr>
        <w:tabs>
          <w:tab w:val="left" w:pos="709"/>
          <w:tab w:val="left" w:pos="851"/>
        </w:tabs>
        <w:spacing w:before="120" w:line="240" w:lineRule="auto"/>
        <w:ind w:left="1105" w:hanging="357"/>
        <w:contextualSpacing w:val="0"/>
        <w:rPr>
          <w:rFonts w:ascii="Times New Roman" w:hAnsi="Times New Roman"/>
          <w:i/>
          <w:spacing w:val="-2"/>
          <w:sz w:val="24"/>
        </w:rPr>
      </w:pPr>
      <w:r>
        <w:rPr>
          <w:rFonts w:ascii="Times New Roman" w:hAnsi="Times New Roman"/>
          <w:i/>
          <w:spacing w:val="-2"/>
          <w:sz w:val="24"/>
        </w:rPr>
        <w:t>в заключении должны быть перечислены все рабочие среды (К), для которых допустимо применение данного материала, в соответствии с примечаниями 1 и 2.</w:t>
      </w:r>
    </w:p>
    <w:p>
      <w:pPr>
        <w:numPr>
          <w:ilvl w:val="0"/>
          <w:numId w:val="12"/>
        </w:numPr>
        <w:tabs>
          <w:tab w:val="left" w:pos="539"/>
        </w:tabs>
        <w:spacing w:before="120"/>
        <w:ind w:left="538" w:hanging="357"/>
        <w:rPr>
          <w:spacing w:val="-2"/>
        </w:rPr>
      </w:pPr>
      <w:r>
        <w:rPr>
          <w:spacing w:val="-2"/>
        </w:rPr>
        <w:t>испытание для оценки стойкости металла к ВР должно соответствовать критериям приемки, каждый коэффициент которых представляет собой максимальное допустимое среднее значение для трех сечений образца при испытании, в соответствии с требованиями п. 4.2.17 СТ</w:t>
      </w:r>
      <w:r>
        <w:rPr>
          <w:spacing w:val="-2"/>
          <w:lang w:val="en-US"/>
        </w:rPr>
        <w:t> </w:t>
      </w:r>
      <w:r>
        <w:rPr>
          <w:spacing w:val="-2"/>
        </w:rPr>
        <w:t>ЦКБА</w:t>
      </w:r>
      <w:r>
        <w:rPr>
          <w:spacing w:val="-2"/>
          <w:lang w:val="en-US"/>
        </w:rPr>
        <w:t> </w:t>
      </w:r>
      <w:r>
        <w:rPr>
          <w:spacing w:val="-2"/>
        </w:rPr>
        <w:t>052-2008:</w:t>
      </w:r>
    </w:p>
    <w:p>
      <w:pPr>
        <w:pStyle w:val="affd"/>
        <w:numPr>
          <w:ilvl w:val="0"/>
          <w:numId w:val="75"/>
        </w:numPr>
        <w:tabs>
          <w:tab w:val="left" w:pos="993"/>
        </w:tabs>
        <w:spacing w:before="120" w:line="240" w:lineRule="auto"/>
        <w:ind w:left="993" w:hanging="454"/>
        <w:contextualSpacing w:val="0"/>
        <w:rPr>
          <w:rFonts w:ascii="Times New Roman" w:hAnsi="Times New Roman"/>
          <w:sz w:val="24"/>
        </w:rPr>
      </w:pPr>
      <w:r>
        <w:rPr>
          <w:rFonts w:ascii="Times New Roman" w:hAnsi="Times New Roman"/>
          <w:sz w:val="24"/>
        </w:rPr>
        <w:t>коэффициент длины трещин (CLR) ≤ 15 %;</w:t>
      </w:r>
    </w:p>
    <w:p>
      <w:pPr>
        <w:pStyle w:val="affd"/>
        <w:numPr>
          <w:ilvl w:val="0"/>
          <w:numId w:val="75"/>
        </w:numPr>
        <w:tabs>
          <w:tab w:val="left" w:pos="993"/>
        </w:tabs>
        <w:spacing w:before="120" w:line="240" w:lineRule="auto"/>
        <w:ind w:left="993" w:hanging="454"/>
        <w:contextualSpacing w:val="0"/>
        <w:rPr>
          <w:rFonts w:ascii="Times New Roman" w:hAnsi="Times New Roman"/>
          <w:sz w:val="24"/>
        </w:rPr>
      </w:pPr>
      <w:r>
        <w:rPr>
          <w:rFonts w:ascii="Times New Roman" w:hAnsi="Times New Roman"/>
          <w:sz w:val="24"/>
        </w:rPr>
        <w:t>коэффициент толщины трещин (CTR) ≤ 5 %;</w:t>
      </w:r>
    </w:p>
    <w:p>
      <w:pPr>
        <w:pStyle w:val="affd"/>
        <w:numPr>
          <w:ilvl w:val="0"/>
          <w:numId w:val="75"/>
        </w:numPr>
        <w:tabs>
          <w:tab w:val="left" w:pos="993"/>
        </w:tabs>
        <w:spacing w:before="120" w:line="240" w:lineRule="auto"/>
        <w:ind w:left="993" w:hanging="454"/>
        <w:contextualSpacing w:val="0"/>
        <w:rPr>
          <w:rFonts w:ascii="Times New Roman" w:hAnsi="Times New Roman"/>
          <w:sz w:val="24"/>
        </w:rPr>
      </w:pPr>
      <w:r>
        <w:rPr>
          <w:rFonts w:ascii="Times New Roman" w:hAnsi="Times New Roman"/>
          <w:sz w:val="24"/>
        </w:rPr>
        <w:t>коэффициент чувствительности к растрескиванию (CSR) ≤ 2 %.</w:t>
      </w:r>
    </w:p>
    <w:p>
      <w:pPr>
        <w:shd w:val="clear" w:color="auto" w:fill="FFFFFF" w:themeFill="background1"/>
        <w:tabs>
          <w:tab w:val="left" w:pos="0"/>
          <w:tab w:val="left" w:pos="993"/>
          <w:tab w:val="left" w:pos="1134"/>
          <w:tab w:val="left" w:pos="1276"/>
        </w:tabs>
        <w:ind w:right="-1"/>
      </w:pPr>
    </w:p>
    <w:p>
      <w:pPr>
        <w:tabs>
          <w:tab w:val="left" w:pos="851"/>
        </w:tabs>
        <w:rPr>
          <w:color w:val="000000"/>
        </w:rPr>
      </w:pPr>
      <w:r>
        <w:rPr>
          <w:color w:val="000000"/>
        </w:rPr>
        <w:t>Рабочие среды, в зависимости от содержания агрессивных сред К0-К3, А1-А3, даны в условном обозначении раздела 5 настоящих Методических указаний, для подбора заводом-изготовителем материала для изготовления основных деталей корпуса крана.</w:t>
      </w:r>
    </w:p>
    <w:p>
      <w:pPr>
        <w:shd w:val="clear" w:color="auto" w:fill="FFFFFF" w:themeFill="background1"/>
        <w:tabs>
          <w:tab w:val="left" w:pos="0"/>
          <w:tab w:val="left" w:pos="993"/>
          <w:tab w:val="left" w:pos="1134"/>
          <w:tab w:val="left" w:pos="1276"/>
        </w:tabs>
        <w:ind w:right="-1"/>
      </w:pPr>
    </w:p>
    <w:p>
      <w:pPr>
        <w:tabs>
          <w:tab w:val="left" w:pos="851"/>
        </w:tabs>
        <w:rPr>
          <w:color w:val="000000"/>
        </w:rPr>
      </w:pPr>
      <w:r>
        <w:rPr>
          <w:color w:val="000000"/>
        </w:rPr>
        <w:t>Поковки и штамповки с уровнем содержания серы менее 0,025</w:t>
      </w:r>
      <w:r>
        <w:t> </w:t>
      </w:r>
      <w:r>
        <w:rPr>
          <w:color w:val="000000"/>
        </w:rPr>
        <w:t>%, а также отливки на стойкость к водородному растрескиванию не испытываются.</w:t>
      </w:r>
    </w:p>
    <w:p>
      <w:pPr>
        <w:shd w:val="clear" w:color="auto" w:fill="FFFFFF" w:themeFill="background1"/>
        <w:tabs>
          <w:tab w:val="left" w:pos="0"/>
          <w:tab w:val="left" w:pos="993"/>
          <w:tab w:val="left" w:pos="1134"/>
          <w:tab w:val="left" w:pos="1276"/>
        </w:tabs>
        <w:ind w:right="104"/>
      </w:pPr>
    </w:p>
    <w:p>
      <w:pPr>
        <w:tabs>
          <w:tab w:val="left" w:pos="851"/>
        </w:tabs>
        <w:rPr>
          <w:color w:val="000000"/>
        </w:rPr>
      </w:pPr>
      <w:r>
        <w:rPr>
          <w:rFonts w:eastAsia="PMingLiU"/>
          <w:lang w:eastAsia="en-US"/>
        </w:rPr>
        <w:t>Краны шаровые</w:t>
      </w:r>
      <w:r>
        <w:rPr>
          <w:color w:val="000000"/>
        </w:rPr>
        <w:t>, изготовленные из коррозионностойких материалов, должны обеспечивать работоспособность в средах с заявленной коррозионной активностью, в течение нормативного срока эксплуатации.</w:t>
      </w:r>
    </w:p>
    <w:p>
      <w:pPr>
        <w:tabs>
          <w:tab w:val="left" w:pos="851"/>
        </w:tabs>
        <w:rPr>
          <w:color w:val="000000"/>
        </w:rPr>
      </w:pPr>
    </w:p>
    <w:p>
      <w:pPr>
        <w:tabs>
          <w:tab w:val="left" w:pos="851"/>
        </w:tabs>
        <w:rPr>
          <w:color w:val="000000"/>
        </w:rPr>
      </w:pPr>
    </w:p>
    <w:p>
      <w:pPr>
        <w:pStyle w:val="S30"/>
      </w:pPr>
      <w:bookmarkStart w:id="97" w:name="_Toc481662375"/>
      <w:bookmarkStart w:id="98" w:name="_Toc392752849"/>
      <w:bookmarkStart w:id="99" w:name="_Toc404615326"/>
      <w:bookmarkStart w:id="100" w:name="_Toc486233267"/>
      <w:bookmarkStart w:id="101" w:name="_Toc514169514"/>
      <w:bookmarkStart w:id="102" w:name="_Toc392752835"/>
      <w:bookmarkStart w:id="103" w:name="_Toc404615312"/>
      <w:r>
        <w:t>4.3.3.</w:t>
      </w:r>
      <w:r>
        <w:tab/>
        <w:t xml:space="preserve">ТРЕБОВАНИЯ К </w:t>
      </w:r>
      <w:bookmarkEnd w:id="97"/>
      <w:bookmarkEnd w:id="98"/>
      <w:bookmarkEnd w:id="99"/>
      <w:bookmarkEnd w:id="100"/>
      <w:r>
        <w:t>ИЗГОТОВЛЕНИЮ</w:t>
      </w:r>
      <w:bookmarkEnd w:id="101"/>
    </w:p>
    <w:p>
      <w:pPr>
        <w:widowControl w:val="0"/>
        <w:tabs>
          <w:tab w:val="left" w:pos="993"/>
        </w:tabs>
        <w:ind w:right="104"/>
        <w:rPr>
          <w:rFonts w:eastAsia="PMingLiU"/>
          <w:lang w:eastAsia="en-US"/>
        </w:rPr>
      </w:pPr>
    </w:p>
    <w:p>
      <w:pPr>
        <w:tabs>
          <w:tab w:val="left" w:pos="851"/>
        </w:tabs>
        <w:rPr>
          <w:color w:val="000000"/>
        </w:rPr>
      </w:pPr>
      <w:r>
        <w:rPr>
          <w:color w:val="000000"/>
        </w:rPr>
        <w:t>Перекрытие потока рабочей среды должно происходить при переводе рычага крана шарового в крайнее закрытое положение (без остановки в промежуточных положениях). При этом запирающий элемент (затвор) внутри крана поворачивается вокруг своей оси стороной, в которой нет сквозного отверстия для прохода рабочей среды.</w:t>
      </w:r>
    </w:p>
    <w:p>
      <w:pPr>
        <w:tabs>
          <w:tab w:val="left" w:pos="851"/>
        </w:tabs>
        <w:rPr>
          <w:color w:val="000000"/>
        </w:rPr>
      </w:pPr>
      <w:r>
        <w:rPr>
          <w:color w:val="000000"/>
        </w:rPr>
        <w:lastRenderedPageBreak/>
        <w:t xml:space="preserve">Способ установки запирающего элемента в корпус указан в </w:t>
      </w:r>
      <w:hyperlink w:anchor="_ПРИЛОЖЕНИЕ_3._ПЕРЕЧЕНЬ" w:history="1">
        <w:r>
          <w:rPr>
            <w:rStyle w:val="a6"/>
          </w:rPr>
          <w:t>Приложении 6</w:t>
        </w:r>
      </w:hyperlink>
      <w:r>
        <w:rPr>
          <w:color w:val="000000"/>
        </w:rPr>
        <w:t xml:space="preserve"> настоящих Методических указаний</w:t>
      </w:r>
    </w:p>
    <w:p>
      <w:pPr>
        <w:tabs>
          <w:tab w:val="left" w:pos="851"/>
        </w:tabs>
        <w:rPr>
          <w:color w:val="000000"/>
        </w:rPr>
      </w:pPr>
    </w:p>
    <w:p>
      <w:pPr>
        <w:tabs>
          <w:tab w:val="left" w:pos="851"/>
        </w:tabs>
        <w:rPr>
          <w:rFonts w:eastAsia="PMingLiU"/>
          <w:szCs w:val="22"/>
          <w:lang w:eastAsia="en-US"/>
        </w:rPr>
      </w:pPr>
      <w:r>
        <w:rPr>
          <w:color w:val="000000"/>
        </w:rPr>
        <w:t>При установке крана в открытое положение запирающий элемент принимает такое положение, при котором отверстие в запирающий элемент совпадает с осью трубопровода, тем самым, обеспечивая проход рабочей среды</w:t>
      </w:r>
      <w:r>
        <w:rPr>
          <w:rFonts w:eastAsia="PMingLiU"/>
          <w:szCs w:val="22"/>
          <w:lang w:eastAsia="en-US"/>
        </w:rPr>
        <w:t>.</w:t>
      </w:r>
    </w:p>
    <w:p>
      <w:pPr>
        <w:tabs>
          <w:tab w:val="left" w:pos="851"/>
        </w:tabs>
        <w:rPr>
          <w:rFonts w:eastAsia="PMingLiU"/>
          <w:szCs w:val="22"/>
          <w:lang w:eastAsia="en-US"/>
        </w:rPr>
      </w:pPr>
    </w:p>
    <w:p>
      <w:pPr>
        <w:rPr>
          <w:rFonts w:eastAsia="PMingLiU"/>
          <w:szCs w:val="22"/>
          <w:lang w:eastAsia="en-US"/>
        </w:rPr>
      </w:pPr>
      <w:r>
        <w:rPr>
          <w:rFonts w:eastAsia="PMingLiU"/>
          <w:szCs w:val="22"/>
          <w:lang w:eastAsia="en-US"/>
        </w:rPr>
        <w:t>Эффективный диаметр полнопроходного крана шарового</w:t>
      </w:r>
      <w:r>
        <w:rPr>
          <w:rFonts w:eastAsia="Times New Roman"/>
        </w:rPr>
        <w:t xml:space="preserve"> должен иметь круглое проходное сечение в проточной части диаметром не менее </w:t>
      </w:r>
      <w:r>
        <w:rPr>
          <w:rFonts w:eastAsia="PMingLiU"/>
          <w:szCs w:val="22"/>
          <w:lang w:eastAsia="en-US"/>
        </w:rPr>
        <w:t>установленного в Таблице 12.</w:t>
      </w:r>
    </w:p>
    <w:p>
      <w:pPr>
        <w:jc w:val="left"/>
        <w:rPr>
          <w:rFonts w:eastAsia="PMingLiU"/>
          <w:szCs w:val="22"/>
          <w:lang w:eastAsia="en-US"/>
        </w:rPr>
      </w:pPr>
    </w:p>
    <w:p>
      <w:pPr>
        <w:keepNext/>
        <w:widowControl w:val="0"/>
        <w:jc w:val="right"/>
        <w:rPr>
          <w:rFonts w:ascii="Arial" w:eastAsia="Times New Roman" w:hAnsi="Arial" w:cs="Arial"/>
          <w:b/>
          <w:sz w:val="20"/>
          <w:szCs w:val="20"/>
        </w:rPr>
      </w:pPr>
      <w:r>
        <w:rPr>
          <w:rFonts w:ascii="Arial" w:eastAsia="Times New Roman" w:hAnsi="Arial" w:cs="Arial"/>
          <w:b/>
          <w:sz w:val="20"/>
          <w:szCs w:val="20"/>
        </w:rPr>
        <w:t xml:space="preserve">Таблица </w:t>
      </w:r>
      <w:r>
        <w:rPr>
          <w:rFonts w:ascii="Arial" w:eastAsia="Times New Roman" w:hAnsi="Arial" w:cs="Arial"/>
          <w:b/>
          <w:sz w:val="20"/>
          <w:szCs w:val="20"/>
        </w:rPr>
        <w:fldChar w:fldCharType="begin"/>
      </w:r>
      <w:r>
        <w:rPr>
          <w:rFonts w:ascii="Arial" w:eastAsia="Times New Roman" w:hAnsi="Arial" w:cs="Arial"/>
          <w:b/>
          <w:sz w:val="20"/>
          <w:szCs w:val="20"/>
        </w:rPr>
        <w:instrText xml:space="preserve"> SEQ Таблица \* ARABIC </w:instrText>
      </w:r>
      <w:r>
        <w:rPr>
          <w:rFonts w:ascii="Arial" w:eastAsia="Times New Roman" w:hAnsi="Arial" w:cs="Arial"/>
          <w:b/>
          <w:sz w:val="20"/>
          <w:szCs w:val="20"/>
        </w:rPr>
        <w:fldChar w:fldCharType="separate"/>
      </w:r>
      <w:r>
        <w:rPr>
          <w:rFonts w:ascii="Arial" w:eastAsia="Times New Roman" w:hAnsi="Arial" w:cs="Arial"/>
          <w:b/>
          <w:noProof/>
          <w:sz w:val="20"/>
          <w:szCs w:val="20"/>
        </w:rPr>
        <w:t>12</w:t>
      </w:r>
      <w:r>
        <w:rPr>
          <w:rFonts w:ascii="Arial" w:eastAsia="Times New Roman" w:hAnsi="Arial" w:cs="Arial"/>
          <w:b/>
          <w:sz w:val="20"/>
          <w:szCs w:val="20"/>
        </w:rPr>
        <w:fldChar w:fldCharType="end"/>
      </w:r>
    </w:p>
    <w:p>
      <w:pPr>
        <w:spacing w:after="60"/>
        <w:jc w:val="right"/>
        <w:rPr>
          <w:rFonts w:ascii="Arial" w:eastAsia="Times New Roman" w:hAnsi="Arial" w:cs="Arial"/>
          <w:b/>
          <w:sz w:val="20"/>
          <w:szCs w:val="20"/>
        </w:rPr>
      </w:pPr>
      <w:r>
        <w:rPr>
          <w:rFonts w:ascii="Arial" w:eastAsia="Times New Roman" w:hAnsi="Arial" w:cs="Arial"/>
          <w:b/>
          <w:sz w:val="20"/>
          <w:szCs w:val="20"/>
        </w:rPr>
        <w:t>Минимальные диаметры проходного сечения в проточной части полнопроходной арматуры</w:t>
      </w:r>
    </w:p>
    <w:tbl>
      <w:tblPr>
        <w:tblStyle w:val="aff6"/>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18"/>
        <w:gridCol w:w="2126"/>
        <w:gridCol w:w="1561"/>
        <w:gridCol w:w="1701"/>
        <w:gridCol w:w="1843"/>
        <w:gridCol w:w="1805"/>
      </w:tblGrid>
      <w:tr>
        <w:trPr>
          <w:trHeight w:val="472"/>
          <w:tblHeader/>
        </w:trPr>
        <w:tc>
          <w:tcPr>
            <w:tcW w:w="415" w:type="pct"/>
            <w:vMerge w:val="restart"/>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w:t>
            </w:r>
          </w:p>
          <w:p>
            <w:pPr>
              <w:spacing w:before="20" w:after="20"/>
              <w:jc w:val="center"/>
              <w:rPr>
                <w:rFonts w:ascii="Arial" w:eastAsia="Times New Roman" w:hAnsi="Arial" w:cs="Arial"/>
                <w:b/>
                <w:sz w:val="16"/>
                <w:szCs w:val="20"/>
              </w:rPr>
            </w:pPr>
            <w:r>
              <w:rPr>
                <w:rFonts w:ascii="Arial" w:eastAsia="Times New Roman" w:hAnsi="Arial" w:cs="Arial"/>
                <w:b/>
                <w:sz w:val="16"/>
                <w:szCs w:val="20"/>
              </w:rPr>
              <w:t>П/П</w:t>
            </w:r>
          </w:p>
        </w:tc>
        <w:tc>
          <w:tcPr>
            <w:tcW w:w="1079" w:type="pct"/>
            <w:vMerge w:val="restart"/>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DN, ММ</w:t>
            </w:r>
          </w:p>
        </w:tc>
        <w:tc>
          <w:tcPr>
            <w:tcW w:w="3506" w:type="pct"/>
            <w:gridSpan w:val="4"/>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rPr>
              <w:t>МИНИМАЛЬНЫЙ ДИАМЕТР ПРОХОДНОГО СЕЧЕНИЯ В ПРОТОЧНОЙ ЧАСТИ ПОЛНОПРОХОДНОЙ АРМАТУРЫ, ММ, ДЛЯ</w:t>
            </w:r>
          </w:p>
        </w:tc>
      </w:tr>
      <w:tr>
        <w:trPr>
          <w:trHeight w:val="236"/>
          <w:tblHeader/>
        </w:trPr>
        <w:tc>
          <w:tcPr>
            <w:tcW w:w="415" w:type="pct"/>
            <w:vMerge/>
            <w:tcBorders>
              <w:bottom w:val="single" w:sz="12" w:space="0" w:color="auto"/>
            </w:tcBorders>
            <w:shd w:val="clear" w:color="auto" w:fill="FFD200"/>
            <w:vAlign w:val="center"/>
          </w:tcPr>
          <w:p>
            <w:pPr>
              <w:spacing w:before="20" w:after="20"/>
              <w:jc w:val="center"/>
              <w:rPr>
                <w:rFonts w:eastAsia="Times New Roman"/>
              </w:rPr>
            </w:pPr>
          </w:p>
        </w:tc>
        <w:tc>
          <w:tcPr>
            <w:tcW w:w="1079" w:type="pct"/>
            <w:vMerge/>
            <w:tcBorders>
              <w:bottom w:val="single" w:sz="12" w:space="0" w:color="auto"/>
            </w:tcBorders>
            <w:shd w:val="clear" w:color="auto" w:fill="FFD200"/>
            <w:vAlign w:val="center"/>
          </w:tcPr>
          <w:p>
            <w:pPr>
              <w:spacing w:before="20" w:after="20"/>
              <w:jc w:val="center"/>
              <w:rPr>
                <w:rFonts w:eastAsia="Times New Roman"/>
              </w:rPr>
            </w:pPr>
          </w:p>
        </w:tc>
        <w:tc>
          <w:tcPr>
            <w:tcW w:w="792" w:type="pct"/>
            <w:tcBorders>
              <w:bottom w:val="single" w:sz="12" w:space="0" w:color="auto"/>
            </w:tcBorders>
            <w:shd w:val="clear" w:color="auto" w:fill="FFD200"/>
            <w:vAlign w:val="center"/>
          </w:tcPr>
          <w:p>
            <w:pPr>
              <w:spacing w:before="20" w:after="20"/>
              <w:jc w:val="center"/>
              <w:rPr>
                <w:rFonts w:ascii="Arial" w:eastAsia="Times New Roman" w:hAnsi="Arial" w:cs="Arial"/>
                <w:b/>
                <w:sz w:val="14"/>
              </w:rPr>
            </w:pPr>
            <w:r>
              <w:rPr>
                <w:rFonts w:ascii="Arial" w:eastAsia="Times New Roman" w:hAnsi="Arial" w:cs="Arial"/>
                <w:b/>
                <w:sz w:val="14"/>
                <w:lang w:val="en-US"/>
              </w:rPr>
              <w:t>PN</w:t>
            </w:r>
            <w:r>
              <w:rPr>
                <w:rFonts w:ascii="Arial" w:eastAsia="Times New Roman" w:hAnsi="Arial" w:cs="Arial"/>
                <w:b/>
                <w:sz w:val="14"/>
              </w:rPr>
              <w:t>≤100 КГС/СМ</w:t>
            </w:r>
            <w:r>
              <w:rPr>
                <w:rFonts w:ascii="Arial" w:eastAsia="Times New Roman" w:hAnsi="Arial" w:cs="Arial"/>
                <w:b/>
                <w:sz w:val="14"/>
                <w:vertAlign w:val="superscript"/>
              </w:rPr>
              <w:t>2</w:t>
            </w:r>
          </w:p>
        </w:tc>
        <w:tc>
          <w:tcPr>
            <w:tcW w:w="863" w:type="pct"/>
            <w:tcBorders>
              <w:bottom w:val="single" w:sz="12" w:space="0" w:color="auto"/>
            </w:tcBorders>
            <w:shd w:val="clear" w:color="auto" w:fill="FFD200"/>
            <w:vAlign w:val="center"/>
          </w:tcPr>
          <w:p>
            <w:pPr>
              <w:spacing w:before="20" w:after="20"/>
              <w:jc w:val="center"/>
              <w:rPr>
                <w:rFonts w:ascii="Arial" w:eastAsia="Times New Roman" w:hAnsi="Arial" w:cs="Arial"/>
                <w:b/>
                <w:sz w:val="14"/>
              </w:rPr>
            </w:pPr>
            <w:r>
              <w:rPr>
                <w:rFonts w:ascii="Arial" w:eastAsia="Times New Roman" w:hAnsi="Arial" w:cs="Arial"/>
                <w:b/>
                <w:sz w:val="14"/>
                <w:lang w:val="en-US"/>
              </w:rPr>
              <w:t>PN</w:t>
            </w:r>
            <w:r>
              <w:rPr>
                <w:rFonts w:ascii="Arial" w:eastAsia="Times New Roman" w:hAnsi="Arial" w:cs="Arial"/>
                <w:b/>
                <w:sz w:val="14"/>
              </w:rPr>
              <w:t xml:space="preserve"> 100 ≤160 КГС/СМ</w:t>
            </w:r>
            <w:r>
              <w:rPr>
                <w:rFonts w:ascii="Arial" w:eastAsia="Times New Roman" w:hAnsi="Arial" w:cs="Arial"/>
                <w:b/>
                <w:sz w:val="14"/>
                <w:vertAlign w:val="superscript"/>
              </w:rPr>
              <w:t>2</w:t>
            </w:r>
          </w:p>
        </w:tc>
        <w:tc>
          <w:tcPr>
            <w:tcW w:w="935" w:type="pct"/>
            <w:tcBorders>
              <w:bottom w:val="single" w:sz="12" w:space="0" w:color="auto"/>
            </w:tcBorders>
            <w:shd w:val="clear" w:color="auto" w:fill="FFD200"/>
            <w:vAlign w:val="center"/>
          </w:tcPr>
          <w:p>
            <w:pPr>
              <w:spacing w:before="20" w:after="20"/>
              <w:jc w:val="center"/>
              <w:rPr>
                <w:rFonts w:ascii="Arial" w:eastAsia="Times New Roman" w:hAnsi="Arial" w:cs="Arial"/>
                <w:b/>
                <w:sz w:val="14"/>
                <w:lang w:val="en-US"/>
              </w:rPr>
            </w:pPr>
            <w:r>
              <w:rPr>
                <w:rFonts w:ascii="Arial" w:eastAsia="Times New Roman" w:hAnsi="Arial" w:cs="Arial"/>
                <w:b/>
                <w:sz w:val="14"/>
                <w:lang w:val="en-US"/>
              </w:rPr>
              <w:t xml:space="preserve">PN </w:t>
            </w:r>
            <w:r>
              <w:rPr>
                <w:rFonts w:ascii="Arial" w:eastAsia="Times New Roman" w:hAnsi="Arial" w:cs="Arial"/>
                <w:b/>
                <w:sz w:val="14"/>
              </w:rPr>
              <w:t>160 ≤</w:t>
            </w:r>
            <w:r>
              <w:rPr>
                <w:rFonts w:ascii="Arial" w:eastAsia="Times New Roman" w:hAnsi="Arial" w:cs="Arial"/>
                <w:b/>
                <w:sz w:val="14"/>
                <w:lang w:val="en-US"/>
              </w:rPr>
              <w:t xml:space="preserve"> </w:t>
            </w:r>
            <w:r>
              <w:rPr>
                <w:rFonts w:ascii="Arial" w:eastAsia="Times New Roman" w:hAnsi="Arial" w:cs="Arial"/>
                <w:b/>
                <w:sz w:val="14"/>
              </w:rPr>
              <w:t>250</w:t>
            </w:r>
            <w:r>
              <w:rPr>
                <w:rFonts w:ascii="Arial" w:eastAsia="Times New Roman" w:hAnsi="Arial" w:cs="Arial"/>
                <w:b/>
                <w:sz w:val="14"/>
                <w:lang w:val="en-US"/>
              </w:rPr>
              <w:t xml:space="preserve"> </w:t>
            </w:r>
            <w:r>
              <w:rPr>
                <w:rFonts w:ascii="Arial" w:eastAsia="Times New Roman" w:hAnsi="Arial" w:cs="Arial"/>
                <w:b/>
                <w:sz w:val="14"/>
              </w:rPr>
              <w:t>КГС/СМ</w:t>
            </w:r>
            <w:r>
              <w:rPr>
                <w:rFonts w:ascii="Arial" w:eastAsia="Times New Roman" w:hAnsi="Arial" w:cs="Arial"/>
                <w:b/>
                <w:sz w:val="14"/>
                <w:vertAlign w:val="superscript"/>
              </w:rPr>
              <w:t>2</w:t>
            </w:r>
          </w:p>
        </w:tc>
        <w:tc>
          <w:tcPr>
            <w:tcW w:w="916" w:type="pct"/>
            <w:tcBorders>
              <w:bottom w:val="single" w:sz="12" w:space="0" w:color="auto"/>
            </w:tcBorders>
            <w:shd w:val="clear" w:color="auto" w:fill="FFD200"/>
            <w:vAlign w:val="center"/>
          </w:tcPr>
          <w:p>
            <w:pPr>
              <w:spacing w:before="20" w:after="20"/>
              <w:jc w:val="center"/>
              <w:rPr>
                <w:rFonts w:ascii="Arial" w:eastAsia="Times New Roman" w:hAnsi="Arial" w:cs="Arial"/>
                <w:b/>
                <w:sz w:val="14"/>
                <w:lang w:val="en-US"/>
              </w:rPr>
            </w:pPr>
            <w:r>
              <w:rPr>
                <w:rFonts w:ascii="Arial" w:eastAsia="Times New Roman" w:hAnsi="Arial" w:cs="Arial"/>
                <w:b/>
                <w:sz w:val="14"/>
                <w:lang w:val="en-US"/>
              </w:rPr>
              <w:t xml:space="preserve">PN </w:t>
            </w:r>
            <w:r>
              <w:rPr>
                <w:rFonts w:ascii="Arial" w:eastAsia="Times New Roman" w:hAnsi="Arial" w:cs="Arial"/>
                <w:b/>
                <w:sz w:val="14"/>
              </w:rPr>
              <w:t xml:space="preserve">250 ≤ </w:t>
            </w:r>
            <w:r>
              <w:rPr>
                <w:rFonts w:ascii="Arial" w:eastAsia="Times New Roman" w:hAnsi="Arial" w:cs="Arial"/>
                <w:b/>
                <w:sz w:val="14"/>
                <w:lang w:val="en-US"/>
              </w:rPr>
              <w:t>32</w:t>
            </w:r>
            <w:r>
              <w:rPr>
                <w:rFonts w:ascii="Arial" w:eastAsia="Times New Roman" w:hAnsi="Arial" w:cs="Arial"/>
                <w:b/>
                <w:sz w:val="14"/>
              </w:rPr>
              <w:t>0</w:t>
            </w:r>
            <w:r>
              <w:rPr>
                <w:rFonts w:ascii="Arial" w:eastAsia="Times New Roman" w:hAnsi="Arial" w:cs="Arial"/>
                <w:b/>
                <w:sz w:val="14"/>
                <w:lang w:val="en-US"/>
              </w:rPr>
              <w:t xml:space="preserve"> </w:t>
            </w:r>
            <w:r>
              <w:rPr>
                <w:rFonts w:ascii="Arial" w:eastAsia="Times New Roman" w:hAnsi="Arial" w:cs="Arial"/>
                <w:b/>
                <w:sz w:val="14"/>
              </w:rPr>
              <w:t>КГС/СМ</w:t>
            </w:r>
            <w:r>
              <w:rPr>
                <w:rFonts w:ascii="Arial" w:eastAsia="Times New Roman" w:hAnsi="Arial" w:cs="Arial"/>
                <w:b/>
                <w:sz w:val="14"/>
                <w:vertAlign w:val="superscript"/>
              </w:rPr>
              <w:t>2</w:t>
            </w:r>
          </w:p>
        </w:tc>
      </w:tr>
      <w:tr>
        <w:trPr>
          <w:trHeight w:val="236"/>
          <w:tblHeader/>
        </w:trPr>
        <w:tc>
          <w:tcPr>
            <w:tcW w:w="415"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1</w:t>
            </w:r>
          </w:p>
        </w:tc>
        <w:tc>
          <w:tcPr>
            <w:tcW w:w="1079"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2</w:t>
            </w:r>
          </w:p>
        </w:tc>
        <w:tc>
          <w:tcPr>
            <w:tcW w:w="792"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3</w:t>
            </w:r>
          </w:p>
        </w:tc>
        <w:tc>
          <w:tcPr>
            <w:tcW w:w="863"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4</w:t>
            </w:r>
          </w:p>
        </w:tc>
        <w:tc>
          <w:tcPr>
            <w:tcW w:w="935"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5</w:t>
            </w:r>
          </w:p>
        </w:tc>
        <w:tc>
          <w:tcPr>
            <w:tcW w:w="916" w:type="pct"/>
            <w:tcBorders>
              <w:top w:val="single" w:sz="12" w:space="0" w:color="auto"/>
              <w:bottom w:val="single" w:sz="12" w:space="0" w:color="auto"/>
            </w:tcBorders>
            <w:shd w:val="clear" w:color="auto" w:fill="FFD200"/>
            <w:vAlign w:val="center"/>
          </w:tcPr>
          <w:p>
            <w:pPr>
              <w:spacing w:before="20" w:after="20"/>
              <w:jc w:val="center"/>
              <w:rPr>
                <w:rFonts w:ascii="Arial" w:eastAsia="Times New Roman" w:hAnsi="Arial" w:cs="Arial"/>
                <w:b/>
                <w:sz w:val="16"/>
                <w:szCs w:val="16"/>
              </w:rPr>
            </w:pPr>
            <w:r>
              <w:rPr>
                <w:rFonts w:ascii="Arial" w:eastAsia="Times New Roman" w:hAnsi="Arial" w:cs="Arial"/>
                <w:b/>
                <w:sz w:val="16"/>
                <w:szCs w:val="16"/>
              </w:rPr>
              <w:t>6</w:t>
            </w:r>
          </w:p>
        </w:tc>
      </w:tr>
      <w:tr>
        <w:tc>
          <w:tcPr>
            <w:tcW w:w="415" w:type="pct"/>
            <w:tcBorders>
              <w:top w:val="single" w:sz="12" w:space="0" w:color="auto"/>
            </w:tcBorders>
          </w:tcPr>
          <w:p>
            <w:pPr>
              <w:jc w:val="left"/>
              <w:rPr>
                <w:rFonts w:eastAsia="Times New Roman"/>
                <w:sz w:val="20"/>
                <w:szCs w:val="20"/>
                <w:lang w:val="en-US"/>
              </w:rPr>
            </w:pPr>
            <w:r>
              <w:rPr>
                <w:rFonts w:eastAsia="Times New Roman"/>
                <w:sz w:val="20"/>
                <w:szCs w:val="20"/>
                <w:lang w:val="en-US"/>
              </w:rPr>
              <w:t>1</w:t>
            </w:r>
          </w:p>
        </w:tc>
        <w:tc>
          <w:tcPr>
            <w:tcW w:w="1079" w:type="pct"/>
            <w:tcBorders>
              <w:top w:val="single" w:sz="12" w:space="0" w:color="auto"/>
            </w:tcBorders>
          </w:tcPr>
          <w:p>
            <w:pPr>
              <w:jc w:val="left"/>
              <w:rPr>
                <w:rFonts w:eastAsia="Times New Roman"/>
                <w:sz w:val="20"/>
                <w:szCs w:val="20"/>
              </w:rPr>
            </w:pPr>
            <w:r>
              <w:rPr>
                <w:rFonts w:eastAsia="Times New Roman"/>
                <w:sz w:val="20"/>
                <w:szCs w:val="20"/>
              </w:rPr>
              <w:t>10</w:t>
            </w:r>
          </w:p>
        </w:tc>
        <w:tc>
          <w:tcPr>
            <w:tcW w:w="3506" w:type="pct"/>
            <w:gridSpan w:val="4"/>
            <w:tcBorders>
              <w:top w:val="single" w:sz="12" w:space="0" w:color="auto"/>
            </w:tcBorders>
          </w:tcPr>
          <w:p>
            <w:pPr>
              <w:jc w:val="left"/>
              <w:rPr>
                <w:rFonts w:eastAsia="Times New Roman"/>
                <w:sz w:val="20"/>
                <w:szCs w:val="20"/>
              </w:rPr>
            </w:pPr>
            <w:r>
              <w:rPr>
                <w:rFonts w:eastAsia="Times New Roman"/>
                <w:sz w:val="20"/>
                <w:szCs w:val="20"/>
              </w:rPr>
              <w:t>9</w:t>
            </w:r>
          </w:p>
        </w:tc>
      </w:tr>
      <w:tr>
        <w:tc>
          <w:tcPr>
            <w:tcW w:w="415" w:type="pct"/>
          </w:tcPr>
          <w:p>
            <w:pPr>
              <w:jc w:val="left"/>
              <w:rPr>
                <w:rFonts w:eastAsia="Times New Roman"/>
                <w:sz w:val="20"/>
                <w:szCs w:val="20"/>
                <w:lang w:val="en-US"/>
              </w:rPr>
            </w:pPr>
            <w:r>
              <w:rPr>
                <w:rFonts w:eastAsia="Times New Roman"/>
                <w:sz w:val="20"/>
                <w:szCs w:val="20"/>
                <w:lang w:val="en-US"/>
              </w:rPr>
              <w:t>2</w:t>
            </w:r>
          </w:p>
        </w:tc>
        <w:tc>
          <w:tcPr>
            <w:tcW w:w="1079" w:type="pct"/>
          </w:tcPr>
          <w:p>
            <w:pPr>
              <w:jc w:val="left"/>
              <w:rPr>
                <w:rFonts w:eastAsia="Times New Roman"/>
                <w:sz w:val="20"/>
                <w:szCs w:val="20"/>
                <w:lang w:val="en-US"/>
              </w:rPr>
            </w:pPr>
            <w:r>
              <w:rPr>
                <w:rFonts w:eastAsia="Times New Roman"/>
                <w:sz w:val="20"/>
                <w:szCs w:val="20"/>
                <w:lang w:val="en-US"/>
              </w:rPr>
              <w:t>15</w:t>
            </w:r>
          </w:p>
        </w:tc>
        <w:tc>
          <w:tcPr>
            <w:tcW w:w="3506" w:type="pct"/>
            <w:gridSpan w:val="4"/>
          </w:tcPr>
          <w:p>
            <w:pPr>
              <w:jc w:val="left"/>
              <w:rPr>
                <w:rFonts w:eastAsia="Times New Roman"/>
                <w:sz w:val="20"/>
                <w:szCs w:val="20"/>
              </w:rPr>
            </w:pPr>
            <w:r>
              <w:rPr>
                <w:rFonts w:eastAsia="Times New Roman"/>
                <w:sz w:val="20"/>
                <w:szCs w:val="20"/>
                <w:lang w:val="en-US"/>
              </w:rPr>
              <w:t>13</w:t>
            </w:r>
          </w:p>
        </w:tc>
      </w:tr>
      <w:tr>
        <w:tc>
          <w:tcPr>
            <w:tcW w:w="415" w:type="pct"/>
          </w:tcPr>
          <w:p>
            <w:pPr>
              <w:jc w:val="left"/>
              <w:rPr>
                <w:rFonts w:eastAsia="Times New Roman"/>
                <w:sz w:val="20"/>
                <w:szCs w:val="20"/>
                <w:lang w:val="en-US"/>
              </w:rPr>
            </w:pPr>
            <w:r>
              <w:rPr>
                <w:rFonts w:eastAsia="Times New Roman"/>
                <w:sz w:val="20"/>
                <w:szCs w:val="20"/>
                <w:lang w:val="en-US"/>
              </w:rPr>
              <w:t>3</w:t>
            </w:r>
          </w:p>
        </w:tc>
        <w:tc>
          <w:tcPr>
            <w:tcW w:w="1079" w:type="pct"/>
          </w:tcPr>
          <w:p>
            <w:pPr>
              <w:jc w:val="left"/>
              <w:rPr>
                <w:rFonts w:eastAsia="Times New Roman"/>
                <w:sz w:val="20"/>
                <w:szCs w:val="20"/>
                <w:lang w:val="en-US"/>
              </w:rPr>
            </w:pPr>
            <w:r>
              <w:rPr>
                <w:rFonts w:eastAsia="Times New Roman"/>
                <w:sz w:val="20"/>
                <w:szCs w:val="20"/>
                <w:lang w:val="en-US"/>
              </w:rPr>
              <w:t>20</w:t>
            </w:r>
          </w:p>
        </w:tc>
        <w:tc>
          <w:tcPr>
            <w:tcW w:w="3506" w:type="pct"/>
            <w:gridSpan w:val="4"/>
          </w:tcPr>
          <w:p>
            <w:pPr>
              <w:jc w:val="left"/>
              <w:rPr>
                <w:rFonts w:eastAsia="Times New Roman"/>
                <w:sz w:val="20"/>
                <w:szCs w:val="20"/>
              </w:rPr>
            </w:pPr>
            <w:r>
              <w:rPr>
                <w:rFonts w:eastAsia="Times New Roman"/>
                <w:sz w:val="20"/>
                <w:szCs w:val="20"/>
                <w:lang w:val="en-US"/>
              </w:rPr>
              <w:t>19</w:t>
            </w:r>
          </w:p>
        </w:tc>
      </w:tr>
      <w:tr>
        <w:tc>
          <w:tcPr>
            <w:tcW w:w="415" w:type="pct"/>
          </w:tcPr>
          <w:p>
            <w:pPr>
              <w:jc w:val="left"/>
              <w:rPr>
                <w:rFonts w:eastAsia="Times New Roman"/>
                <w:sz w:val="20"/>
                <w:szCs w:val="20"/>
                <w:lang w:val="en-US"/>
              </w:rPr>
            </w:pPr>
            <w:r>
              <w:rPr>
                <w:rFonts w:eastAsia="Times New Roman"/>
                <w:sz w:val="20"/>
                <w:szCs w:val="20"/>
                <w:lang w:val="en-US"/>
              </w:rPr>
              <w:t>4</w:t>
            </w:r>
          </w:p>
        </w:tc>
        <w:tc>
          <w:tcPr>
            <w:tcW w:w="1079" w:type="pct"/>
          </w:tcPr>
          <w:p>
            <w:pPr>
              <w:jc w:val="left"/>
              <w:rPr>
                <w:rFonts w:eastAsia="Times New Roman"/>
                <w:sz w:val="20"/>
                <w:szCs w:val="20"/>
                <w:lang w:val="en-US"/>
              </w:rPr>
            </w:pPr>
            <w:r>
              <w:rPr>
                <w:rFonts w:eastAsia="Times New Roman"/>
                <w:sz w:val="20"/>
                <w:szCs w:val="20"/>
                <w:lang w:val="en-US"/>
              </w:rPr>
              <w:t>25</w:t>
            </w:r>
          </w:p>
        </w:tc>
        <w:tc>
          <w:tcPr>
            <w:tcW w:w="3506" w:type="pct"/>
            <w:gridSpan w:val="4"/>
          </w:tcPr>
          <w:p>
            <w:pPr>
              <w:jc w:val="left"/>
              <w:rPr>
                <w:rFonts w:eastAsia="Times New Roman"/>
                <w:sz w:val="20"/>
                <w:szCs w:val="20"/>
              </w:rPr>
            </w:pPr>
            <w:r>
              <w:rPr>
                <w:rFonts w:eastAsia="Times New Roman"/>
                <w:sz w:val="20"/>
                <w:szCs w:val="20"/>
                <w:lang w:val="en-US"/>
              </w:rPr>
              <w:t>25</w:t>
            </w:r>
          </w:p>
        </w:tc>
      </w:tr>
      <w:tr>
        <w:tc>
          <w:tcPr>
            <w:tcW w:w="415" w:type="pct"/>
          </w:tcPr>
          <w:p>
            <w:pPr>
              <w:jc w:val="left"/>
              <w:rPr>
                <w:rFonts w:eastAsia="Times New Roman"/>
                <w:sz w:val="20"/>
                <w:szCs w:val="20"/>
                <w:lang w:val="en-US"/>
              </w:rPr>
            </w:pPr>
            <w:r>
              <w:rPr>
                <w:rFonts w:eastAsia="Times New Roman"/>
                <w:sz w:val="20"/>
                <w:szCs w:val="20"/>
                <w:lang w:val="en-US"/>
              </w:rPr>
              <w:t>5</w:t>
            </w:r>
          </w:p>
        </w:tc>
        <w:tc>
          <w:tcPr>
            <w:tcW w:w="1079" w:type="pct"/>
          </w:tcPr>
          <w:p>
            <w:pPr>
              <w:jc w:val="left"/>
              <w:rPr>
                <w:rFonts w:eastAsia="Times New Roman"/>
                <w:sz w:val="20"/>
                <w:szCs w:val="20"/>
                <w:lang w:val="en-US"/>
              </w:rPr>
            </w:pPr>
            <w:r>
              <w:rPr>
                <w:rFonts w:eastAsia="Times New Roman"/>
                <w:sz w:val="20"/>
                <w:szCs w:val="20"/>
                <w:lang w:val="en-US"/>
              </w:rPr>
              <w:t>32</w:t>
            </w:r>
          </w:p>
        </w:tc>
        <w:tc>
          <w:tcPr>
            <w:tcW w:w="3506" w:type="pct"/>
            <w:gridSpan w:val="4"/>
          </w:tcPr>
          <w:p>
            <w:pPr>
              <w:jc w:val="left"/>
              <w:rPr>
                <w:rFonts w:eastAsia="Times New Roman"/>
                <w:sz w:val="20"/>
                <w:szCs w:val="20"/>
              </w:rPr>
            </w:pPr>
            <w:r>
              <w:rPr>
                <w:rFonts w:eastAsia="Times New Roman"/>
                <w:sz w:val="20"/>
                <w:szCs w:val="20"/>
                <w:lang w:val="en-US"/>
              </w:rPr>
              <w:t>32</w:t>
            </w:r>
          </w:p>
        </w:tc>
      </w:tr>
      <w:tr>
        <w:tc>
          <w:tcPr>
            <w:tcW w:w="415" w:type="pct"/>
          </w:tcPr>
          <w:p>
            <w:pPr>
              <w:jc w:val="left"/>
              <w:rPr>
                <w:rFonts w:eastAsia="Times New Roman"/>
                <w:sz w:val="20"/>
                <w:szCs w:val="20"/>
                <w:lang w:val="en-US"/>
              </w:rPr>
            </w:pPr>
            <w:r>
              <w:rPr>
                <w:rFonts w:eastAsia="Times New Roman"/>
                <w:sz w:val="20"/>
                <w:szCs w:val="20"/>
                <w:lang w:val="en-US"/>
              </w:rPr>
              <w:t>6</w:t>
            </w:r>
          </w:p>
        </w:tc>
        <w:tc>
          <w:tcPr>
            <w:tcW w:w="1079" w:type="pct"/>
          </w:tcPr>
          <w:p>
            <w:pPr>
              <w:jc w:val="left"/>
              <w:rPr>
                <w:rFonts w:eastAsia="Times New Roman"/>
                <w:sz w:val="20"/>
                <w:szCs w:val="20"/>
                <w:lang w:val="en-US"/>
              </w:rPr>
            </w:pPr>
            <w:r>
              <w:rPr>
                <w:rFonts w:eastAsia="Times New Roman"/>
                <w:sz w:val="20"/>
                <w:szCs w:val="20"/>
                <w:lang w:val="en-US"/>
              </w:rPr>
              <w:t>40</w:t>
            </w:r>
          </w:p>
        </w:tc>
        <w:tc>
          <w:tcPr>
            <w:tcW w:w="3506" w:type="pct"/>
            <w:gridSpan w:val="4"/>
          </w:tcPr>
          <w:p>
            <w:pPr>
              <w:jc w:val="left"/>
              <w:rPr>
                <w:rFonts w:eastAsia="Times New Roman"/>
                <w:sz w:val="20"/>
                <w:szCs w:val="20"/>
              </w:rPr>
            </w:pPr>
            <w:r>
              <w:rPr>
                <w:rFonts w:eastAsia="Times New Roman"/>
                <w:sz w:val="20"/>
                <w:szCs w:val="20"/>
                <w:lang w:val="en-US"/>
              </w:rPr>
              <w:t>38</w:t>
            </w:r>
          </w:p>
        </w:tc>
      </w:tr>
      <w:tr>
        <w:tc>
          <w:tcPr>
            <w:tcW w:w="415" w:type="pct"/>
          </w:tcPr>
          <w:p>
            <w:pPr>
              <w:jc w:val="left"/>
              <w:rPr>
                <w:rFonts w:eastAsia="Times New Roman"/>
                <w:sz w:val="20"/>
                <w:szCs w:val="20"/>
                <w:lang w:val="en-US"/>
              </w:rPr>
            </w:pPr>
            <w:r>
              <w:rPr>
                <w:rFonts w:eastAsia="Times New Roman"/>
                <w:sz w:val="20"/>
                <w:szCs w:val="20"/>
                <w:lang w:val="en-US"/>
              </w:rPr>
              <w:t>7</w:t>
            </w:r>
          </w:p>
        </w:tc>
        <w:tc>
          <w:tcPr>
            <w:tcW w:w="1079" w:type="pct"/>
          </w:tcPr>
          <w:p>
            <w:pPr>
              <w:jc w:val="left"/>
              <w:rPr>
                <w:rFonts w:eastAsia="Times New Roman"/>
                <w:sz w:val="20"/>
                <w:szCs w:val="20"/>
                <w:lang w:val="en-US"/>
              </w:rPr>
            </w:pPr>
            <w:r>
              <w:rPr>
                <w:rFonts w:eastAsia="Times New Roman"/>
                <w:sz w:val="20"/>
                <w:szCs w:val="20"/>
                <w:lang w:val="en-US"/>
              </w:rPr>
              <w:t>50</w:t>
            </w:r>
          </w:p>
        </w:tc>
        <w:tc>
          <w:tcPr>
            <w:tcW w:w="2590" w:type="pct"/>
            <w:gridSpan w:val="3"/>
          </w:tcPr>
          <w:p>
            <w:pPr>
              <w:jc w:val="left"/>
              <w:rPr>
                <w:rFonts w:eastAsia="Times New Roman"/>
                <w:sz w:val="20"/>
                <w:szCs w:val="20"/>
              </w:rPr>
            </w:pPr>
            <w:r>
              <w:rPr>
                <w:rFonts w:eastAsia="Times New Roman"/>
                <w:sz w:val="20"/>
                <w:szCs w:val="20"/>
                <w:lang w:val="en-US"/>
              </w:rPr>
              <w:t>49</w:t>
            </w:r>
          </w:p>
        </w:tc>
        <w:tc>
          <w:tcPr>
            <w:tcW w:w="916" w:type="pct"/>
          </w:tcPr>
          <w:p>
            <w:pPr>
              <w:jc w:val="left"/>
              <w:rPr>
                <w:rFonts w:eastAsia="Times New Roman"/>
                <w:sz w:val="20"/>
                <w:szCs w:val="20"/>
                <w:lang w:val="en-US"/>
              </w:rPr>
            </w:pPr>
            <w:r>
              <w:rPr>
                <w:rFonts w:eastAsia="Times New Roman"/>
                <w:sz w:val="20"/>
                <w:szCs w:val="20"/>
                <w:lang w:val="en-US"/>
              </w:rPr>
              <w:t>42</w:t>
            </w:r>
          </w:p>
        </w:tc>
      </w:tr>
      <w:tr>
        <w:tc>
          <w:tcPr>
            <w:tcW w:w="415" w:type="pct"/>
          </w:tcPr>
          <w:p>
            <w:pPr>
              <w:jc w:val="left"/>
              <w:rPr>
                <w:rFonts w:eastAsia="Times New Roman"/>
                <w:sz w:val="20"/>
                <w:szCs w:val="20"/>
                <w:lang w:val="en-US"/>
              </w:rPr>
            </w:pPr>
            <w:r>
              <w:rPr>
                <w:rFonts w:eastAsia="Times New Roman"/>
                <w:sz w:val="20"/>
                <w:szCs w:val="20"/>
                <w:lang w:val="en-US"/>
              </w:rPr>
              <w:t>8</w:t>
            </w:r>
          </w:p>
        </w:tc>
        <w:tc>
          <w:tcPr>
            <w:tcW w:w="1079" w:type="pct"/>
          </w:tcPr>
          <w:p>
            <w:pPr>
              <w:jc w:val="left"/>
              <w:rPr>
                <w:rFonts w:eastAsia="Times New Roman"/>
                <w:sz w:val="20"/>
                <w:szCs w:val="20"/>
                <w:lang w:val="en-US"/>
              </w:rPr>
            </w:pPr>
            <w:r>
              <w:rPr>
                <w:rFonts w:eastAsia="Times New Roman"/>
                <w:sz w:val="20"/>
                <w:szCs w:val="20"/>
                <w:lang w:val="en-US"/>
              </w:rPr>
              <w:t>80</w:t>
            </w:r>
          </w:p>
        </w:tc>
        <w:tc>
          <w:tcPr>
            <w:tcW w:w="2590" w:type="pct"/>
            <w:gridSpan w:val="3"/>
          </w:tcPr>
          <w:p>
            <w:pPr>
              <w:jc w:val="left"/>
              <w:rPr>
                <w:rFonts w:eastAsia="Times New Roman"/>
                <w:sz w:val="20"/>
                <w:szCs w:val="20"/>
              </w:rPr>
            </w:pPr>
            <w:r>
              <w:rPr>
                <w:rFonts w:eastAsia="Times New Roman"/>
                <w:sz w:val="20"/>
                <w:szCs w:val="20"/>
                <w:lang w:val="en-US"/>
              </w:rPr>
              <w:t>74</w:t>
            </w:r>
          </w:p>
        </w:tc>
        <w:tc>
          <w:tcPr>
            <w:tcW w:w="916" w:type="pct"/>
          </w:tcPr>
          <w:p>
            <w:pPr>
              <w:jc w:val="left"/>
              <w:rPr>
                <w:rFonts w:eastAsia="Times New Roman"/>
                <w:sz w:val="20"/>
                <w:szCs w:val="20"/>
                <w:lang w:val="en-US"/>
              </w:rPr>
            </w:pPr>
            <w:r>
              <w:rPr>
                <w:rFonts w:eastAsia="Times New Roman"/>
                <w:sz w:val="20"/>
                <w:szCs w:val="20"/>
                <w:lang w:val="en-US"/>
              </w:rPr>
              <w:t>62</w:t>
            </w:r>
          </w:p>
        </w:tc>
      </w:tr>
      <w:tr>
        <w:tc>
          <w:tcPr>
            <w:tcW w:w="415" w:type="pct"/>
          </w:tcPr>
          <w:p>
            <w:pPr>
              <w:jc w:val="left"/>
              <w:rPr>
                <w:rFonts w:eastAsia="Times New Roman"/>
                <w:sz w:val="20"/>
                <w:szCs w:val="20"/>
                <w:lang w:val="en-US"/>
              </w:rPr>
            </w:pPr>
            <w:r>
              <w:rPr>
                <w:rFonts w:eastAsia="Times New Roman"/>
                <w:sz w:val="20"/>
                <w:szCs w:val="20"/>
                <w:lang w:val="en-US"/>
              </w:rPr>
              <w:t>9</w:t>
            </w:r>
          </w:p>
        </w:tc>
        <w:tc>
          <w:tcPr>
            <w:tcW w:w="1079" w:type="pct"/>
          </w:tcPr>
          <w:p>
            <w:pPr>
              <w:jc w:val="left"/>
              <w:rPr>
                <w:rFonts w:eastAsia="Times New Roman"/>
                <w:sz w:val="20"/>
                <w:szCs w:val="20"/>
                <w:lang w:val="en-US"/>
              </w:rPr>
            </w:pPr>
            <w:r>
              <w:rPr>
                <w:rFonts w:eastAsia="Times New Roman"/>
                <w:sz w:val="20"/>
                <w:szCs w:val="20"/>
                <w:lang w:val="en-US"/>
              </w:rPr>
              <w:t>100</w:t>
            </w:r>
          </w:p>
        </w:tc>
        <w:tc>
          <w:tcPr>
            <w:tcW w:w="2590" w:type="pct"/>
            <w:gridSpan w:val="3"/>
          </w:tcPr>
          <w:p>
            <w:pPr>
              <w:jc w:val="left"/>
              <w:rPr>
                <w:rFonts w:eastAsia="Times New Roman"/>
                <w:sz w:val="20"/>
                <w:szCs w:val="20"/>
              </w:rPr>
            </w:pPr>
            <w:r>
              <w:rPr>
                <w:rFonts w:eastAsia="Times New Roman"/>
                <w:sz w:val="20"/>
                <w:szCs w:val="20"/>
                <w:lang w:val="en-US"/>
              </w:rPr>
              <w:t>100</w:t>
            </w:r>
          </w:p>
        </w:tc>
        <w:tc>
          <w:tcPr>
            <w:tcW w:w="916" w:type="pct"/>
          </w:tcPr>
          <w:p>
            <w:pPr>
              <w:jc w:val="left"/>
              <w:rPr>
                <w:rFonts w:eastAsia="Times New Roman"/>
                <w:sz w:val="20"/>
                <w:szCs w:val="20"/>
                <w:lang w:val="en-US"/>
              </w:rPr>
            </w:pPr>
            <w:r>
              <w:rPr>
                <w:rFonts w:eastAsia="Times New Roman"/>
                <w:sz w:val="20"/>
                <w:szCs w:val="20"/>
                <w:lang w:val="en-US"/>
              </w:rPr>
              <w:t>87</w:t>
            </w:r>
          </w:p>
        </w:tc>
      </w:tr>
      <w:tr>
        <w:tc>
          <w:tcPr>
            <w:tcW w:w="415" w:type="pct"/>
          </w:tcPr>
          <w:p>
            <w:pPr>
              <w:jc w:val="left"/>
              <w:rPr>
                <w:rFonts w:eastAsia="Times New Roman"/>
                <w:sz w:val="20"/>
                <w:szCs w:val="20"/>
                <w:lang w:val="en-US"/>
              </w:rPr>
            </w:pPr>
            <w:r>
              <w:rPr>
                <w:rFonts w:eastAsia="Times New Roman"/>
                <w:sz w:val="20"/>
                <w:szCs w:val="20"/>
                <w:lang w:val="en-US"/>
              </w:rPr>
              <w:t>10</w:t>
            </w:r>
          </w:p>
        </w:tc>
        <w:tc>
          <w:tcPr>
            <w:tcW w:w="1079" w:type="pct"/>
          </w:tcPr>
          <w:p>
            <w:pPr>
              <w:jc w:val="left"/>
              <w:rPr>
                <w:rFonts w:eastAsia="Times New Roman"/>
                <w:sz w:val="20"/>
                <w:szCs w:val="20"/>
                <w:lang w:val="en-US"/>
              </w:rPr>
            </w:pPr>
            <w:r>
              <w:rPr>
                <w:rFonts w:eastAsia="Times New Roman"/>
                <w:sz w:val="20"/>
                <w:szCs w:val="20"/>
                <w:lang w:val="en-US"/>
              </w:rPr>
              <w:t>150</w:t>
            </w:r>
          </w:p>
        </w:tc>
        <w:tc>
          <w:tcPr>
            <w:tcW w:w="1655" w:type="pct"/>
            <w:gridSpan w:val="2"/>
          </w:tcPr>
          <w:p>
            <w:pPr>
              <w:jc w:val="left"/>
              <w:rPr>
                <w:rFonts w:eastAsia="Times New Roman"/>
                <w:sz w:val="20"/>
                <w:szCs w:val="20"/>
              </w:rPr>
            </w:pPr>
            <w:r>
              <w:rPr>
                <w:rFonts w:eastAsia="Times New Roman"/>
                <w:sz w:val="20"/>
                <w:szCs w:val="20"/>
                <w:lang w:val="en-US"/>
              </w:rPr>
              <w:t>140</w:t>
            </w:r>
          </w:p>
        </w:tc>
        <w:tc>
          <w:tcPr>
            <w:tcW w:w="935" w:type="pct"/>
          </w:tcPr>
          <w:p>
            <w:pPr>
              <w:jc w:val="left"/>
              <w:rPr>
                <w:rFonts w:eastAsia="Times New Roman"/>
                <w:sz w:val="20"/>
                <w:szCs w:val="20"/>
                <w:lang w:val="en-US"/>
              </w:rPr>
            </w:pPr>
            <w:r>
              <w:rPr>
                <w:rFonts w:eastAsia="Times New Roman"/>
                <w:sz w:val="20"/>
                <w:szCs w:val="20"/>
                <w:lang w:val="en-US"/>
              </w:rPr>
              <w:t>144</w:t>
            </w:r>
          </w:p>
        </w:tc>
        <w:tc>
          <w:tcPr>
            <w:tcW w:w="916" w:type="pct"/>
          </w:tcPr>
          <w:p>
            <w:pPr>
              <w:jc w:val="left"/>
              <w:rPr>
                <w:rFonts w:eastAsia="Times New Roman"/>
                <w:sz w:val="20"/>
                <w:szCs w:val="20"/>
                <w:lang w:val="en-US"/>
              </w:rPr>
            </w:pPr>
            <w:r>
              <w:rPr>
                <w:rFonts w:eastAsia="Times New Roman"/>
                <w:sz w:val="20"/>
                <w:szCs w:val="20"/>
                <w:lang w:val="en-US"/>
              </w:rPr>
              <w:t>131</w:t>
            </w:r>
          </w:p>
        </w:tc>
      </w:tr>
      <w:tr>
        <w:tc>
          <w:tcPr>
            <w:tcW w:w="415" w:type="pct"/>
          </w:tcPr>
          <w:p>
            <w:pPr>
              <w:jc w:val="left"/>
              <w:rPr>
                <w:rFonts w:eastAsia="Times New Roman"/>
                <w:sz w:val="20"/>
                <w:szCs w:val="20"/>
                <w:lang w:val="en-US"/>
              </w:rPr>
            </w:pPr>
            <w:r>
              <w:rPr>
                <w:rFonts w:eastAsia="Times New Roman"/>
                <w:sz w:val="20"/>
                <w:szCs w:val="20"/>
                <w:lang w:val="en-US"/>
              </w:rPr>
              <w:t>11</w:t>
            </w:r>
          </w:p>
        </w:tc>
        <w:tc>
          <w:tcPr>
            <w:tcW w:w="1079" w:type="pct"/>
          </w:tcPr>
          <w:p>
            <w:pPr>
              <w:jc w:val="left"/>
              <w:rPr>
                <w:rFonts w:eastAsia="Times New Roman"/>
                <w:sz w:val="20"/>
                <w:szCs w:val="20"/>
                <w:lang w:val="en-US"/>
              </w:rPr>
            </w:pPr>
            <w:r>
              <w:rPr>
                <w:rFonts w:eastAsia="Times New Roman"/>
                <w:sz w:val="20"/>
                <w:szCs w:val="20"/>
                <w:lang w:val="en-US"/>
              </w:rPr>
              <w:t>200</w:t>
            </w:r>
          </w:p>
        </w:tc>
        <w:tc>
          <w:tcPr>
            <w:tcW w:w="1655" w:type="pct"/>
            <w:gridSpan w:val="2"/>
          </w:tcPr>
          <w:p>
            <w:pPr>
              <w:jc w:val="left"/>
              <w:rPr>
                <w:rFonts w:eastAsia="Times New Roman"/>
                <w:sz w:val="20"/>
                <w:szCs w:val="20"/>
              </w:rPr>
            </w:pPr>
            <w:r>
              <w:rPr>
                <w:rFonts w:eastAsia="Times New Roman"/>
                <w:sz w:val="20"/>
                <w:szCs w:val="20"/>
                <w:lang w:val="en-US"/>
              </w:rPr>
              <w:t>190</w:t>
            </w:r>
          </w:p>
        </w:tc>
        <w:tc>
          <w:tcPr>
            <w:tcW w:w="935" w:type="pct"/>
          </w:tcPr>
          <w:p>
            <w:pPr>
              <w:jc w:val="left"/>
              <w:rPr>
                <w:rFonts w:eastAsia="Times New Roman"/>
                <w:sz w:val="20"/>
                <w:szCs w:val="20"/>
                <w:lang w:val="en-US"/>
              </w:rPr>
            </w:pPr>
            <w:r>
              <w:rPr>
                <w:rFonts w:eastAsia="Times New Roman"/>
                <w:sz w:val="20"/>
                <w:szCs w:val="20"/>
                <w:lang w:val="en-US"/>
              </w:rPr>
              <w:t>192</w:t>
            </w:r>
          </w:p>
        </w:tc>
        <w:tc>
          <w:tcPr>
            <w:tcW w:w="916" w:type="pct"/>
          </w:tcPr>
          <w:p>
            <w:pPr>
              <w:jc w:val="left"/>
              <w:rPr>
                <w:rFonts w:eastAsia="Times New Roman"/>
                <w:sz w:val="20"/>
                <w:szCs w:val="20"/>
                <w:lang w:val="en-US"/>
              </w:rPr>
            </w:pPr>
            <w:r>
              <w:rPr>
                <w:rFonts w:eastAsia="Times New Roman"/>
                <w:sz w:val="20"/>
                <w:szCs w:val="20"/>
                <w:lang w:val="en-US"/>
              </w:rPr>
              <w:t>179</w:t>
            </w:r>
          </w:p>
        </w:tc>
      </w:tr>
      <w:tr>
        <w:tc>
          <w:tcPr>
            <w:tcW w:w="415" w:type="pct"/>
          </w:tcPr>
          <w:p>
            <w:pPr>
              <w:jc w:val="left"/>
              <w:rPr>
                <w:rFonts w:eastAsia="Times New Roman"/>
                <w:sz w:val="20"/>
                <w:szCs w:val="20"/>
                <w:lang w:val="en-US"/>
              </w:rPr>
            </w:pPr>
            <w:r>
              <w:rPr>
                <w:rFonts w:eastAsia="Times New Roman"/>
                <w:sz w:val="20"/>
                <w:szCs w:val="20"/>
                <w:lang w:val="en-US"/>
              </w:rPr>
              <w:t>12</w:t>
            </w:r>
          </w:p>
        </w:tc>
        <w:tc>
          <w:tcPr>
            <w:tcW w:w="1079" w:type="pct"/>
          </w:tcPr>
          <w:p>
            <w:pPr>
              <w:jc w:val="left"/>
              <w:rPr>
                <w:rFonts w:eastAsia="Times New Roman"/>
                <w:sz w:val="20"/>
                <w:szCs w:val="20"/>
                <w:lang w:val="en-US"/>
              </w:rPr>
            </w:pPr>
            <w:r>
              <w:rPr>
                <w:rFonts w:eastAsia="Times New Roman"/>
                <w:sz w:val="20"/>
                <w:szCs w:val="20"/>
                <w:lang w:val="en-US"/>
              </w:rPr>
              <w:t>250</w:t>
            </w:r>
          </w:p>
        </w:tc>
        <w:tc>
          <w:tcPr>
            <w:tcW w:w="1655" w:type="pct"/>
            <w:gridSpan w:val="2"/>
          </w:tcPr>
          <w:p>
            <w:pPr>
              <w:jc w:val="left"/>
              <w:rPr>
                <w:rFonts w:eastAsia="Times New Roman"/>
                <w:sz w:val="20"/>
                <w:szCs w:val="20"/>
              </w:rPr>
            </w:pPr>
            <w:r>
              <w:rPr>
                <w:rFonts w:eastAsia="Times New Roman"/>
                <w:sz w:val="20"/>
                <w:szCs w:val="20"/>
                <w:lang w:val="en-US"/>
              </w:rPr>
              <w:t>250</w:t>
            </w:r>
          </w:p>
        </w:tc>
        <w:tc>
          <w:tcPr>
            <w:tcW w:w="935" w:type="pct"/>
          </w:tcPr>
          <w:p>
            <w:pPr>
              <w:jc w:val="left"/>
              <w:rPr>
                <w:rFonts w:eastAsia="Times New Roman"/>
                <w:sz w:val="20"/>
                <w:szCs w:val="20"/>
                <w:lang w:val="en-US"/>
              </w:rPr>
            </w:pPr>
            <w:r>
              <w:rPr>
                <w:rFonts w:eastAsia="Times New Roman"/>
                <w:sz w:val="20"/>
                <w:szCs w:val="20"/>
                <w:lang w:val="en-US"/>
              </w:rPr>
              <w:t>239</w:t>
            </w:r>
          </w:p>
        </w:tc>
        <w:tc>
          <w:tcPr>
            <w:tcW w:w="916" w:type="pct"/>
          </w:tcPr>
          <w:p>
            <w:pPr>
              <w:jc w:val="left"/>
              <w:rPr>
                <w:rFonts w:eastAsia="Times New Roman"/>
                <w:sz w:val="20"/>
                <w:szCs w:val="20"/>
                <w:lang w:val="en-US"/>
              </w:rPr>
            </w:pPr>
            <w:r>
              <w:rPr>
                <w:rFonts w:eastAsia="Times New Roman"/>
                <w:sz w:val="20"/>
                <w:szCs w:val="20"/>
                <w:lang w:val="en-US"/>
              </w:rPr>
              <w:t>223</w:t>
            </w:r>
          </w:p>
        </w:tc>
      </w:tr>
      <w:tr>
        <w:tc>
          <w:tcPr>
            <w:tcW w:w="415" w:type="pct"/>
          </w:tcPr>
          <w:p>
            <w:pPr>
              <w:jc w:val="left"/>
              <w:rPr>
                <w:rFonts w:eastAsia="Times New Roman"/>
                <w:sz w:val="20"/>
                <w:szCs w:val="20"/>
                <w:lang w:val="en-US"/>
              </w:rPr>
            </w:pPr>
            <w:r>
              <w:rPr>
                <w:rFonts w:eastAsia="Times New Roman"/>
                <w:sz w:val="20"/>
                <w:szCs w:val="20"/>
                <w:lang w:val="en-US"/>
              </w:rPr>
              <w:t>13</w:t>
            </w:r>
          </w:p>
        </w:tc>
        <w:tc>
          <w:tcPr>
            <w:tcW w:w="1079" w:type="pct"/>
          </w:tcPr>
          <w:p>
            <w:pPr>
              <w:jc w:val="left"/>
              <w:rPr>
                <w:rFonts w:eastAsia="Times New Roman"/>
                <w:sz w:val="20"/>
                <w:szCs w:val="20"/>
                <w:lang w:val="en-US"/>
              </w:rPr>
            </w:pPr>
            <w:r>
              <w:rPr>
                <w:rFonts w:eastAsia="Times New Roman"/>
                <w:sz w:val="20"/>
                <w:szCs w:val="20"/>
                <w:lang w:val="en-US"/>
              </w:rPr>
              <w:t>300</w:t>
            </w:r>
          </w:p>
        </w:tc>
        <w:tc>
          <w:tcPr>
            <w:tcW w:w="1655" w:type="pct"/>
            <w:gridSpan w:val="2"/>
          </w:tcPr>
          <w:p>
            <w:pPr>
              <w:jc w:val="left"/>
              <w:rPr>
                <w:rFonts w:eastAsia="Times New Roman"/>
                <w:sz w:val="20"/>
                <w:szCs w:val="20"/>
              </w:rPr>
            </w:pPr>
            <w:r>
              <w:rPr>
                <w:rFonts w:eastAsia="Times New Roman"/>
                <w:sz w:val="20"/>
                <w:szCs w:val="20"/>
                <w:lang w:val="en-US"/>
              </w:rPr>
              <w:t>285</w:t>
            </w:r>
          </w:p>
        </w:tc>
        <w:tc>
          <w:tcPr>
            <w:tcW w:w="935" w:type="pct"/>
          </w:tcPr>
          <w:p>
            <w:pPr>
              <w:jc w:val="left"/>
              <w:rPr>
                <w:rFonts w:eastAsia="Times New Roman"/>
                <w:sz w:val="20"/>
                <w:szCs w:val="20"/>
                <w:lang w:val="en-US"/>
              </w:rPr>
            </w:pPr>
            <w:r>
              <w:rPr>
                <w:rFonts w:eastAsia="Times New Roman"/>
                <w:sz w:val="20"/>
                <w:szCs w:val="20"/>
                <w:lang w:val="en-US"/>
              </w:rPr>
              <w:t>287</w:t>
            </w:r>
          </w:p>
        </w:tc>
        <w:tc>
          <w:tcPr>
            <w:tcW w:w="916" w:type="pct"/>
          </w:tcPr>
          <w:p>
            <w:pPr>
              <w:jc w:val="left"/>
              <w:rPr>
                <w:rFonts w:eastAsia="Times New Roman"/>
                <w:sz w:val="20"/>
                <w:szCs w:val="20"/>
                <w:lang w:val="en-US"/>
              </w:rPr>
            </w:pPr>
            <w:r>
              <w:rPr>
                <w:rFonts w:eastAsia="Times New Roman"/>
                <w:sz w:val="20"/>
                <w:szCs w:val="20"/>
                <w:lang w:val="en-US"/>
              </w:rPr>
              <w:t>265</w:t>
            </w:r>
          </w:p>
        </w:tc>
      </w:tr>
      <w:tr>
        <w:tc>
          <w:tcPr>
            <w:tcW w:w="415" w:type="pct"/>
          </w:tcPr>
          <w:p>
            <w:pPr>
              <w:jc w:val="left"/>
              <w:rPr>
                <w:rFonts w:eastAsia="Times New Roman"/>
                <w:sz w:val="20"/>
                <w:szCs w:val="20"/>
                <w:lang w:val="en-US"/>
              </w:rPr>
            </w:pPr>
            <w:r>
              <w:rPr>
                <w:rFonts w:eastAsia="Times New Roman"/>
                <w:sz w:val="20"/>
                <w:szCs w:val="20"/>
                <w:lang w:val="en-US"/>
              </w:rPr>
              <w:t>14</w:t>
            </w:r>
          </w:p>
        </w:tc>
        <w:tc>
          <w:tcPr>
            <w:tcW w:w="1079" w:type="pct"/>
          </w:tcPr>
          <w:p>
            <w:pPr>
              <w:jc w:val="left"/>
              <w:rPr>
                <w:rFonts w:eastAsia="Times New Roman"/>
                <w:sz w:val="20"/>
                <w:szCs w:val="20"/>
                <w:lang w:val="en-US"/>
              </w:rPr>
            </w:pPr>
            <w:r>
              <w:rPr>
                <w:rFonts w:eastAsia="Times New Roman"/>
                <w:sz w:val="20"/>
                <w:szCs w:val="20"/>
                <w:lang w:val="en-US"/>
              </w:rPr>
              <w:t>400</w:t>
            </w:r>
          </w:p>
        </w:tc>
        <w:tc>
          <w:tcPr>
            <w:tcW w:w="792" w:type="pct"/>
          </w:tcPr>
          <w:p>
            <w:pPr>
              <w:jc w:val="left"/>
              <w:rPr>
                <w:rFonts w:eastAsia="Times New Roman"/>
                <w:sz w:val="20"/>
                <w:szCs w:val="20"/>
                <w:lang w:val="en-US"/>
              </w:rPr>
            </w:pPr>
            <w:r>
              <w:rPr>
                <w:rFonts w:eastAsia="Times New Roman"/>
                <w:sz w:val="20"/>
                <w:szCs w:val="20"/>
                <w:lang w:val="en-US"/>
              </w:rPr>
              <w:t>385</w:t>
            </w:r>
          </w:p>
        </w:tc>
        <w:tc>
          <w:tcPr>
            <w:tcW w:w="863" w:type="pct"/>
          </w:tcPr>
          <w:p>
            <w:pPr>
              <w:jc w:val="left"/>
              <w:rPr>
                <w:rFonts w:eastAsia="Times New Roman"/>
                <w:sz w:val="20"/>
                <w:szCs w:val="20"/>
                <w:lang w:val="en-US"/>
              </w:rPr>
            </w:pPr>
            <w:r>
              <w:rPr>
                <w:rFonts w:eastAsia="Times New Roman"/>
                <w:sz w:val="20"/>
                <w:szCs w:val="20"/>
                <w:lang w:val="en-US"/>
              </w:rPr>
              <w:t>373</w:t>
            </w:r>
          </w:p>
        </w:tc>
        <w:tc>
          <w:tcPr>
            <w:tcW w:w="935" w:type="pct"/>
          </w:tcPr>
          <w:p>
            <w:pPr>
              <w:jc w:val="left"/>
              <w:rPr>
                <w:rFonts w:eastAsia="Times New Roman"/>
                <w:sz w:val="20"/>
                <w:szCs w:val="20"/>
                <w:lang w:val="en-US"/>
              </w:rPr>
            </w:pPr>
            <w:r>
              <w:rPr>
                <w:rFonts w:eastAsia="Times New Roman"/>
                <w:sz w:val="20"/>
                <w:szCs w:val="20"/>
                <w:lang w:val="en-US"/>
              </w:rPr>
              <w:t>360</w:t>
            </w:r>
          </w:p>
        </w:tc>
        <w:tc>
          <w:tcPr>
            <w:tcW w:w="916" w:type="pct"/>
          </w:tcPr>
          <w:p>
            <w:pPr>
              <w:jc w:val="left"/>
              <w:rPr>
                <w:rFonts w:eastAsia="Times New Roman"/>
                <w:sz w:val="20"/>
                <w:szCs w:val="20"/>
                <w:lang w:val="en-US"/>
              </w:rPr>
            </w:pPr>
            <w:r>
              <w:rPr>
                <w:rFonts w:eastAsia="Times New Roman"/>
                <w:sz w:val="20"/>
                <w:szCs w:val="20"/>
                <w:lang w:val="en-US"/>
              </w:rPr>
              <w:t>333</w:t>
            </w:r>
          </w:p>
        </w:tc>
      </w:tr>
      <w:tr>
        <w:tc>
          <w:tcPr>
            <w:tcW w:w="415" w:type="pct"/>
          </w:tcPr>
          <w:p>
            <w:pPr>
              <w:jc w:val="left"/>
              <w:rPr>
                <w:rFonts w:eastAsia="Times New Roman"/>
                <w:sz w:val="20"/>
                <w:szCs w:val="20"/>
                <w:lang w:val="en-US"/>
              </w:rPr>
            </w:pPr>
            <w:r>
              <w:rPr>
                <w:rFonts w:eastAsia="Times New Roman"/>
                <w:sz w:val="20"/>
                <w:szCs w:val="20"/>
                <w:lang w:val="en-US"/>
              </w:rPr>
              <w:t>15</w:t>
            </w:r>
          </w:p>
        </w:tc>
        <w:tc>
          <w:tcPr>
            <w:tcW w:w="1079" w:type="pct"/>
          </w:tcPr>
          <w:p>
            <w:pPr>
              <w:jc w:val="left"/>
              <w:rPr>
                <w:rFonts w:eastAsia="Times New Roman"/>
                <w:sz w:val="20"/>
                <w:szCs w:val="20"/>
                <w:lang w:val="en-US"/>
              </w:rPr>
            </w:pPr>
            <w:r>
              <w:rPr>
                <w:rFonts w:eastAsia="Times New Roman"/>
                <w:sz w:val="20"/>
                <w:szCs w:val="20"/>
                <w:lang w:val="en-US"/>
              </w:rPr>
              <w:t>500</w:t>
            </w:r>
          </w:p>
        </w:tc>
        <w:tc>
          <w:tcPr>
            <w:tcW w:w="792" w:type="pct"/>
          </w:tcPr>
          <w:p>
            <w:pPr>
              <w:jc w:val="left"/>
              <w:rPr>
                <w:rFonts w:eastAsia="Times New Roman"/>
                <w:sz w:val="20"/>
                <w:szCs w:val="20"/>
                <w:lang w:val="en-US"/>
              </w:rPr>
            </w:pPr>
            <w:r>
              <w:rPr>
                <w:rFonts w:eastAsia="Times New Roman"/>
                <w:sz w:val="20"/>
                <w:szCs w:val="20"/>
                <w:lang w:val="en-US"/>
              </w:rPr>
              <w:t>487</w:t>
            </w:r>
          </w:p>
        </w:tc>
        <w:tc>
          <w:tcPr>
            <w:tcW w:w="863" w:type="pct"/>
          </w:tcPr>
          <w:p>
            <w:pPr>
              <w:jc w:val="left"/>
              <w:rPr>
                <w:rFonts w:eastAsia="Times New Roman"/>
                <w:sz w:val="20"/>
                <w:szCs w:val="20"/>
                <w:lang w:val="en-US"/>
              </w:rPr>
            </w:pPr>
            <w:r>
              <w:rPr>
                <w:rFonts w:eastAsia="Times New Roman"/>
                <w:sz w:val="20"/>
                <w:szCs w:val="20"/>
                <w:lang w:val="en-US"/>
              </w:rPr>
              <w:t>471</w:t>
            </w:r>
          </w:p>
        </w:tc>
        <w:tc>
          <w:tcPr>
            <w:tcW w:w="935" w:type="pct"/>
          </w:tcPr>
          <w:p>
            <w:pPr>
              <w:jc w:val="left"/>
              <w:rPr>
                <w:rFonts w:eastAsia="Times New Roman"/>
                <w:sz w:val="20"/>
                <w:szCs w:val="20"/>
                <w:lang w:val="en-US"/>
              </w:rPr>
            </w:pPr>
            <w:r>
              <w:rPr>
                <w:rFonts w:eastAsia="Times New Roman"/>
                <w:sz w:val="20"/>
                <w:szCs w:val="20"/>
                <w:lang w:val="en-US"/>
              </w:rPr>
              <w:t>454</w:t>
            </w:r>
          </w:p>
        </w:tc>
        <w:tc>
          <w:tcPr>
            <w:tcW w:w="916" w:type="pct"/>
          </w:tcPr>
          <w:p>
            <w:pPr>
              <w:jc w:val="left"/>
              <w:rPr>
                <w:rFonts w:eastAsia="Times New Roman"/>
                <w:sz w:val="20"/>
                <w:szCs w:val="20"/>
                <w:lang w:val="en-US"/>
              </w:rPr>
            </w:pPr>
            <w:r>
              <w:rPr>
                <w:rFonts w:eastAsia="Times New Roman"/>
                <w:sz w:val="20"/>
                <w:szCs w:val="20"/>
                <w:lang w:val="en-US"/>
              </w:rPr>
              <w:t>419</w:t>
            </w:r>
          </w:p>
        </w:tc>
      </w:tr>
      <w:tr>
        <w:tc>
          <w:tcPr>
            <w:tcW w:w="415" w:type="pct"/>
          </w:tcPr>
          <w:p>
            <w:pPr>
              <w:jc w:val="left"/>
              <w:rPr>
                <w:rFonts w:eastAsia="Times New Roman"/>
                <w:sz w:val="20"/>
                <w:szCs w:val="20"/>
                <w:lang w:val="en-US"/>
              </w:rPr>
            </w:pPr>
            <w:r>
              <w:rPr>
                <w:rFonts w:eastAsia="Times New Roman"/>
                <w:sz w:val="20"/>
                <w:szCs w:val="20"/>
                <w:lang w:val="en-US"/>
              </w:rPr>
              <w:t>16</w:t>
            </w:r>
          </w:p>
        </w:tc>
        <w:tc>
          <w:tcPr>
            <w:tcW w:w="1079" w:type="pct"/>
          </w:tcPr>
          <w:p>
            <w:pPr>
              <w:jc w:val="left"/>
              <w:rPr>
                <w:rFonts w:eastAsia="Times New Roman"/>
                <w:sz w:val="20"/>
                <w:szCs w:val="20"/>
                <w:lang w:val="en-US"/>
              </w:rPr>
            </w:pPr>
            <w:r>
              <w:rPr>
                <w:rFonts w:eastAsia="Times New Roman"/>
                <w:sz w:val="20"/>
                <w:szCs w:val="20"/>
                <w:lang w:val="en-US"/>
              </w:rPr>
              <w:t>600</w:t>
            </w:r>
          </w:p>
        </w:tc>
        <w:tc>
          <w:tcPr>
            <w:tcW w:w="792" w:type="pct"/>
          </w:tcPr>
          <w:p>
            <w:pPr>
              <w:jc w:val="left"/>
              <w:rPr>
                <w:rFonts w:eastAsia="Times New Roman"/>
                <w:sz w:val="20"/>
                <w:szCs w:val="20"/>
                <w:lang w:val="en-US"/>
              </w:rPr>
            </w:pPr>
            <w:r>
              <w:rPr>
                <w:rFonts w:eastAsia="Times New Roman"/>
                <w:sz w:val="20"/>
                <w:szCs w:val="20"/>
                <w:lang w:val="en-US"/>
              </w:rPr>
              <w:t>589</w:t>
            </w:r>
          </w:p>
        </w:tc>
        <w:tc>
          <w:tcPr>
            <w:tcW w:w="863" w:type="pct"/>
          </w:tcPr>
          <w:p>
            <w:pPr>
              <w:jc w:val="left"/>
              <w:rPr>
                <w:rFonts w:eastAsia="Times New Roman"/>
                <w:sz w:val="20"/>
                <w:szCs w:val="20"/>
                <w:lang w:val="en-US"/>
              </w:rPr>
            </w:pPr>
            <w:r>
              <w:rPr>
                <w:rFonts w:eastAsia="Times New Roman"/>
                <w:sz w:val="20"/>
                <w:szCs w:val="20"/>
                <w:lang w:val="en-US"/>
              </w:rPr>
              <w:t>570</w:t>
            </w:r>
          </w:p>
        </w:tc>
        <w:tc>
          <w:tcPr>
            <w:tcW w:w="935" w:type="pct"/>
          </w:tcPr>
          <w:p>
            <w:pPr>
              <w:jc w:val="left"/>
              <w:rPr>
                <w:rFonts w:eastAsia="Times New Roman"/>
                <w:sz w:val="20"/>
                <w:szCs w:val="20"/>
                <w:lang w:val="en-US"/>
              </w:rPr>
            </w:pPr>
            <w:r>
              <w:rPr>
                <w:rFonts w:eastAsia="Times New Roman"/>
                <w:sz w:val="20"/>
                <w:szCs w:val="20"/>
                <w:lang w:val="en-US"/>
              </w:rPr>
              <w:t>546</w:t>
            </w:r>
          </w:p>
        </w:tc>
        <w:tc>
          <w:tcPr>
            <w:tcW w:w="916" w:type="pct"/>
          </w:tcPr>
          <w:p>
            <w:pPr>
              <w:jc w:val="left"/>
              <w:rPr>
                <w:rFonts w:eastAsia="Times New Roman"/>
                <w:sz w:val="20"/>
                <w:szCs w:val="20"/>
                <w:lang w:val="en-US"/>
              </w:rPr>
            </w:pPr>
            <w:r>
              <w:rPr>
                <w:rFonts w:eastAsia="Times New Roman"/>
                <w:sz w:val="20"/>
                <w:szCs w:val="20"/>
                <w:lang w:val="en-US"/>
              </w:rPr>
              <w:t>-</w:t>
            </w:r>
          </w:p>
        </w:tc>
      </w:tr>
      <w:tr>
        <w:tc>
          <w:tcPr>
            <w:tcW w:w="415" w:type="pct"/>
          </w:tcPr>
          <w:p>
            <w:pPr>
              <w:jc w:val="left"/>
              <w:rPr>
                <w:rFonts w:eastAsia="Times New Roman"/>
                <w:sz w:val="20"/>
                <w:szCs w:val="20"/>
                <w:lang w:val="en-US"/>
              </w:rPr>
            </w:pPr>
            <w:r>
              <w:rPr>
                <w:rFonts w:eastAsia="Times New Roman"/>
                <w:sz w:val="20"/>
                <w:szCs w:val="20"/>
                <w:lang w:val="en-US"/>
              </w:rPr>
              <w:t>17</w:t>
            </w:r>
          </w:p>
        </w:tc>
        <w:tc>
          <w:tcPr>
            <w:tcW w:w="1079" w:type="pct"/>
          </w:tcPr>
          <w:p>
            <w:pPr>
              <w:jc w:val="left"/>
              <w:rPr>
                <w:rFonts w:eastAsia="Times New Roman"/>
                <w:sz w:val="20"/>
                <w:szCs w:val="20"/>
                <w:lang w:val="en-US"/>
              </w:rPr>
            </w:pPr>
            <w:r>
              <w:rPr>
                <w:rFonts w:eastAsia="Times New Roman"/>
                <w:sz w:val="20"/>
                <w:szCs w:val="20"/>
                <w:lang w:val="en-US"/>
              </w:rPr>
              <w:t>700</w:t>
            </w:r>
          </w:p>
        </w:tc>
        <w:tc>
          <w:tcPr>
            <w:tcW w:w="792" w:type="pct"/>
          </w:tcPr>
          <w:p>
            <w:pPr>
              <w:jc w:val="left"/>
              <w:rPr>
                <w:rFonts w:eastAsia="Times New Roman"/>
                <w:sz w:val="20"/>
                <w:szCs w:val="20"/>
                <w:lang w:val="en-US"/>
              </w:rPr>
            </w:pPr>
            <w:r>
              <w:rPr>
                <w:rFonts w:eastAsia="Times New Roman"/>
                <w:sz w:val="20"/>
                <w:szCs w:val="20"/>
                <w:lang w:val="en-US"/>
              </w:rPr>
              <w:t>684</w:t>
            </w:r>
          </w:p>
        </w:tc>
        <w:tc>
          <w:tcPr>
            <w:tcW w:w="863" w:type="pct"/>
          </w:tcPr>
          <w:p>
            <w:pPr>
              <w:jc w:val="left"/>
              <w:rPr>
                <w:rFonts w:eastAsia="Times New Roman"/>
                <w:sz w:val="20"/>
                <w:szCs w:val="20"/>
                <w:lang w:val="en-US"/>
              </w:rPr>
            </w:pPr>
            <w:r>
              <w:rPr>
                <w:rFonts w:eastAsia="Times New Roman"/>
                <w:sz w:val="20"/>
                <w:szCs w:val="20"/>
                <w:lang w:val="en-US"/>
              </w:rPr>
              <w:t>665</w:t>
            </w:r>
          </w:p>
        </w:tc>
        <w:tc>
          <w:tcPr>
            <w:tcW w:w="935" w:type="pct"/>
          </w:tcPr>
          <w:p>
            <w:pPr>
              <w:jc w:val="left"/>
              <w:rPr>
                <w:rFonts w:eastAsia="Times New Roman"/>
                <w:sz w:val="20"/>
                <w:szCs w:val="20"/>
                <w:lang w:val="en-US"/>
              </w:rPr>
            </w:pPr>
            <w:r>
              <w:rPr>
                <w:rFonts w:eastAsia="Times New Roman"/>
                <w:sz w:val="20"/>
                <w:szCs w:val="20"/>
                <w:lang w:val="en-US"/>
              </w:rPr>
              <w:t>641</w:t>
            </w:r>
          </w:p>
        </w:tc>
        <w:tc>
          <w:tcPr>
            <w:tcW w:w="916" w:type="pct"/>
          </w:tcPr>
          <w:p>
            <w:pPr>
              <w:jc w:val="left"/>
              <w:rPr>
                <w:rFonts w:eastAsia="Times New Roman"/>
                <w:sz w:val="20"/>
                <w:szCs w:val="20"/>
                <w:lang w:val="en-US"/>
              </w:rPr>
            </w:pPr>
            <w:r>
              <w:rPr>
                <w:rFonts w:eastAsia="Times New Roman"/>
                <w:sz w:val="20"/>
                <w:szCs w:val="20"/>
                <w:lang w:val="en-US"/>
              </w:rPr>
              <w:t>-</w:t>
            </w:r>
          </w:p>
        </w:tc>
      </w:tr>
      <w:tr>
        <w:tc>
          <w:tcPr>
            <w:tcW w:w="415" w:type="pct"/>
          </w:tcPr>
          <w:p>
            <w:pPr>
              <w:jc w:val="left"/>
              <w:rPr>
                <w:rFonts w:eastAsia="Times New Roman"/>
                <w:sz w:val="20"/>
                <w:szCs w:val="20"/>
                <w:lang w:val="en-US"/>
              </w:rPr>
            </w:pPr>
            <w:r>
              <w:rPr>
                <w:rFonts w:eastAsia="Times New Roman"/>
                <w:sz w:val="20"/>
                <w:szCs w:val="20"/>
                <w:lang w:val="en-US"/>
              </w:rPr>
              <w:t>18</w:t>
            </w:r>
          </w:p>
        </w:tc>
        <w:tc>
          <w:tcPr>
            <w:tcW w:w="1079" w:type="pct"/>
          </w:tcPr>
          <w:p>
            <w:pPr>
              <w:jc w:val="left"/>
              <w:rPr>
                <w:rFonts w:eastAsia="Times New Roman"/>
                <w:sz w:val="20"/>
                <w:szCs w:val="20"/>
                <w:lang w:val="en-US"/>
              </w:rPr>
            </w:pPr>
            <w:r>
              <w:rPr>
                <w:rFonts w:eastAsia="Times New Roman"/>
                <w:sz w:val="20"/>
                <w:szCs w:val="20"/>
                <w:lang w:val="en-US"/>
              </w:rPr>
              <w:t>800</w:t>
            </w:r>
          </w:p>
        </w:tc>
        <w:tc>
          <w:tcPr>
            <w:tcW w:w="792" w:type="pct"/>
          </w:tcPr>
          <w:p>
            <w:pPr>
              <w:jc w:val="left"/>
              <w:rPr>
                <w:rFonts w:eastAsia="Times New Roman"/>
                <w:sz w:val="20"/>
                <w:szCs w:val="20"/>
                <w:lang w:val="en-US"/>
              </w:rPr>
            </w:pPr>
            <w:r>
              <w:rPr>
                <w:rFonts w:eastAsia="Times New Roman"/>
                <w:sz w:val="20"/>
                <w:szCs w:val="20"/>
                <w:lang w:val="en-US"/>
              </w:rPr>
              <w:t>779</w:t>
            </w:r>
          </w:p>
        </w:tc>
        <w:tc>
          <w:tcPr>
            <w:tcW w:w="863" w:type="pct"/>
          </w:tcPr>
          <w:p>
            <w:pPr>
              <w:jc w:val="left"/>
              <w:rPr>
                <w:rFonts w:eastAsia="Times New Roman"/>
                <w:sz w:val="20"/>
                <w:szCs w:val="20"/>
                <w:lang w:val="en-US"/>
              </w:rPr>
            </w:pPr>
            <w:r>
              <w:rPr>
                <w:rFonts w:eastAsia="Times New Roman"/>
                <w:sz w:val="20"/>
                <w:szCs w:val="20"/>
                <w:lang w:val="en-US"/>
              </w:rPr>
              <w:t>760</w:t>
            </w:r>
          </w:p>
        </w:tc>
        <w:tc>
          <w:tcPr>
            <w:tcW w:w="935" w:type="pct"/>
          </w:tcPr>
          <w:p>
            <w:pPr>
              <w:jc w:val="left"/>
              <w:rPr>
                <w:rFonts w:eastAsia="Times New Roman"/>
                <w:sz w:val="20"/>
                <w:szCs w:val="20"/>
                <w:lang w:val="en-US"/>
              </w:rPr>
            </w:pPr>
            <w:r>
              <w:rPr>
                <w:rFonts w:eastAsia="Times New Roman"/>
                <w:sz w:val="20"/>
                <w:szCs w:val="20"/>
                <w:lang w:val="en-US"/>
              </w:rPr>
              <w:t>730</w:t>
            </w:r>
          </w:p>
        </w:tc>
        <w:tc>
          <w:tcPr>
            <w:tcW w:w="916" w:type="pct"/>
          </w:tcPr>
          <w:p>
            <w:pPr>
              <w:jc w:val="left"/>
              <w:rPr>
                <w:rFonts w:eastAsia="Times New Roman"/>
                <w:sz w:val="20"/>
                <w:szCs w:val="20"/>
                <w:lang w:val="en-US"/>
              </w:rPr>
            </w:pPr>
            <w:r>
              <w:rPr>
                <w:rFonts w:eastAsia="Times New Roman"/>
                <w:sz w:val="20"/>
                <w:szCs w:val="20"/>
                <w:lang w:val="en-US"/>
              </w:rPr>
              <w:t>-</w:t>
            </w:r>
          </w:p>
        </w:tc>
      </w:tr>
      <w:tr>
        <w:tc>
          <w:tcPr>
            <w:tcW w:w="415" w:type="pct"/>
          </w:tcPr>
          <w:p>
            <w:pPr>
              <w:jc w:val="left"/>
              <w:rPr>
                <w:rFonts w:eastAsia="Times New Roman"/>
                <w:sz w:val="20"/>
                <w:szCs w:val="20"/>
                <w:lang w:val="en-US"/>
              </w:rPr>
            </w:pPr>
            <w:r>
              <w:rPr>
                <w:rFonts w:eastAsia="Times New Roman"/>
                <w:sz w:val="20"/>
                <w:szCs w:val="20"/>
                <w:lang w:val="en-US"/>
              </w:rPr>
              <w:t>19</w:t>
            </w:r>
          </w:p>
        </w:tc>
        <w:tc>
          <w:tcPr>
            <w:tcW w:w="1079" w:type="pct"/>
          </w:tcPr>
          <w:p>
            <w:pPr>
              <w:jc w:val="left"/>
              <w:rPr>
                <w:rFonts w:eastAsia="Times New Roman"/>
                <w:sz w:val="20"/>
                <w:szCs w:val="20"/>
                <w:lang w:val="en-US"/>
              </w:rPr>
            </w:pPr>
            <w:r>
              <w:rPr>
                <w:rFonts w:eastAsia="Times New Roman"/>
                <w:sz w:val="20"/>
                <w:szCs w:val="20"/>
                <w:lang w:val="en-US"/>
              </w:rPr>
              <w:t>1000</w:t>
            </w:r>
          </w:p>
        </w:tc>
        <w:tc>
          <w:tcPr>
            <w:tcW w:w="792" w:type="pct"/>
          </w:tcPr>
          <w:p>
            <w:pPr>
              <w:jc w:val="left"/>
              <w:rPr>
                <w:rFonts w:eastAsia="Times New Roman"/>
                <w:sz w:val="20"/>
                <w:szCs w:val="20"/>
                <w:lang w:val="en-US"/>
              </w:rPr>
            </w:pPr>
            <w:r>
              <w:rPr>
                <w:rFonts w:eastAsia="Times New Roman"/>
                <w:sz w:val="20"/>
                <w:szCs w:val="20"/>
                <w:lang w:val="en-US"/>
              </w:rPr>
              <w:t>976</w:t>
            </w:r>
          </w:p>
        </w:tc>
        <w:tc>
          <w:tcPr>
            <w:tcW w:w="863" w:type="pct"/>
          </w:tcPr>
          <w:p>
            <w:pPr>
              <w:jc w:val="left"/>
              <w:rPr>
                <w:rFonts w:eastAsia="Times New Roman"/>
                <w:sz w:val="20"/>
                <w:szCs w:val="20"/>
                <w:lang w:val="en-US"/>
              </w:rPr>
            </w:pPr>
            <w:r>
              <w:rPr>
                <w:rFonts w:eastAsia="Times New Roman"/>
                <w:sz w:val="20"/>
                <w:szCs w:val="20"/>
                <w:lang w:val="en-US"/>
              </w:rPr>
              <w:t>956</w:t>
            </w:r>
          </w:p>
        </w:tc>
        <w:tc>
          <w:tcPr>
            <w:tcW w:w="935" w:type="pct"/>
          </w:tcPr>
          <w:p>
            <w:pPr>
              <w:jc w:val="left"/>
              <w:rPr>
                <w:rFonts w:eastAsia="Times New Roman"/>
                <w:sz w:val="20"/>
                <w:szCs w:val="20"/>
                <w:lang w:val="en-US"/>
              </w:rPr>
            </w:pPr>
            <w:r>
              <w:rPr>
                <w:rFonts w:eastAsia="Times New Roman"/>
                <w:sz w:val="20"/>
                <w:szCs w:val="20"/>
                <w:lang w:val="en-US"/>
              </w:rPr>
              <w:t>-</w:t>
            </w:r>
          </w:p>
        </w:tc>
        <w:tc>
          <w:tcPr>
            <w:tcW w:w="916" w:type="pct"/>
          </w:tcPr>
          <w:p>
            <w:pPr>
              <w:jc w:val="left"/>
              <w:rPr>
                <w:rFonts w:eastAsia="Times New Roman"/>
                <w:sz w:val="20"/>
                <w:szCs w:val="20"/>
                <w:lang w:val="en-US"/>
              </w:rPr>
            </w:pPr>
            <w:r>
              <w:rPr>
                <w:rFonts w:eastAsia="Times New Roman"/>
                <w:sz w:val="20"/>
                <w:szCs w:val="20"/>
                <w:lang w:val="en-US"/>
              </w:rPr>
              <w:t>-</w:t>
            </w:r>
          </w:p>
        </w:tc>
      </w:tr>
      <w:tr>
        <w:tc>
          <w:tcPr>
            <w:tcW w:w="415" w:type="pct"/>
          </w:tcPr>
          <w:p>
            <w:pPr>
              <w:jc w:val="left"/>
              <w:rPr>
                <w:rFonts w:eastAsia="Times New Roman"/>
                <w:sz w:val="20"/>
                <w:szCs w:val="20"/>
              </w:rPr>
            </w:pPr>
            <w:r>
              <w:rPr>
                <w:rFonts w:eastAsia="Times New Roman"/>
                <w:sz w:val="20"/>
                <w:szCs w:val="20"/>
              </w:rPr>
              <w:t>20</w:t>
            </w:r>
          </w:p>
        </w:tc>
        <w:tc>
          <w:tcPr>
            <w:tcW w:w="1079" w:type="pct"/>
          </w:tcPr>
          <w:p>
            <w:pPr>
              <w:jc w:val="left"/>
              <w:rPr>
                <w:rFonts w:eastAsia="Times New Roman"/>
                <w:sz w:val="20"/>
                <w:szCs w:val="20"/>
                <w:lang w:val="en-US"/>
              </w:rPr>
            </w:pPr>
            <w:r>
              <w:rPr>
                <w:rFonts w:eastAsia="Times New Roman"/>
                <w:sz w:val="20"/>
                <w:szCs w:val="20"/>
                <w:lang w:val="en-US"/>
              </w:rPr>
              <w:t>1200</w:t>
            </w:r>
          </w:p>
        </w:tc>
        <w:tc>
          <w:tcPr>
            <w:tcW w:w="792" w:type="pct"/>
          </w:tcPr>
          <w:p>
            <w:pPr>
              <w:jc w:val="left"/>
              <w:rPr>
                <w:rFonts w:eastAsia="Times New Roman"/>
                <w:sz w:val="20"/>
                <w:szCs w:val="20"/>
                <w:lang w:val="en-US"/>
              </w:rPr>
            </w:pPr>
            <w:r>
              <w:rPr>
                <w:rFonts w:eastAsia="Times New Roman"/>
                <w:sz w:val="20"/>
                <w:szCs w:val="20"/>
                <w:lang w:val="en-US"/>
              </w:rPr>
              <w:t>1166</w:t>
            </w:r>
          </w:p>
        </w:tc>
        <w:tc>
          <w:tcPr>
            <w:tcW w:w="863" w:type="pct"/>
          </w:tcPr>
          <w:p>
            <w:pPr>
              <w:jc w:val="left"/>
              <w:rPr>
                <w:rFonts w:eastAsia="Times New Roman"/>
                <w:sz w:val="20"/>
                <w:szCs w:val="20"/>
                <w:lang w:val="en-US"/>
              </w:rPr>
            </w:pPr>
            <w:r>
              <w:rPr>
                <w:rFonts w:eastAsia="Times New Roman"/>
                <w:sz w:val="20"/>
                <w:szCs w:val="20"/>
                <w:lang w:val="en-US"/>
              </w:rPr>
              <w:t>1149</w:t>
            </w:r>
          </w:p>
        </w:tc>
        <w:tc>
          <w:tcPr>
            <w:tcW w:w="935" w:type="pct"/>
          </w:tcPr>
          <w:p>
            <w:pPr>
              <w:jc w:val="left"/>
              <w:rPr>
                <w:rFonts w:eastAsia="Times New Roman"/>
                <w:sz w:val="20"/>
                <w:szCs w:val="20"/>
                <w:lang w:val="en-US"/>
              </w:rPr>
            </w:pPr>
            <w:r>
              <w:rPr>
                <w:rFonts w:eastAsia="Times New Roman"/>
                <w:sz w:val="20"/>
                <w:szCs w:val="20"/>
                <w:lang w:val="en-US"/>
              </w:rPr>
              <w:t>-</w:t>
            </w:r>
          </w:p>
        </w:tc>
        <w:tc>
          <w:tcPr>
            <w:tcW w:w="916" w:type="pct"/>
          </w:tcPr>
          <w:p>
            <w:pPr>
              <w:jc w:val="left"/>
              <w:rPr>
                <w:rFonts w:eastAsia="Times New Roman"/>
                <w:sz w:val="20"/>
                <w:szCs w:val="20"/>
                <w:lang w:val="en-US"/>
              </w:rPr>
            </w:pPr>
            <w:r>
              <w:rPr>
                <w:rFonts w:eastAsia="Times New Roman"/>
                <w:sz w:val="20"/>
                <w:szCs w:val="20"/>
                <w:lang w:val="en-US"/>
              </w:rPr>
              <w:t>-</w:t>
            </w:r>
          </w:p>
        </w:tc>
      </w:tr>
    </w:tbl>
    <w:p/>
    <w:p>
      <w:pPr>
        <w:ind w:left="567"/>
        <w:rPr>
          <w:rFonts w:eastAsia="Times New Roman"/>
          <w:i/>
        </w:rPr>
      </w:pPr>
      <w:r>
        <w:rPr>
          <w:rFonts w:eastAsia="Times New Roman"/>
          <w:i/>
          <w:u w:val="single"/>
        </w:rPr>
        <w:t>Примечание</w:t>
      </w:r>
      <w:r>
        <w:rPr>
          <w:rFonts w:eastAsia="Times New Roman"/>
          <w:i/>
        </w:rPr>
        <w:t>: Размеры, не указанные в Таблице 12, а также отсутствующие или отличающиеся от приведенных, должны указываться в КД на краны шаровые.</w:t>
      </w:r>
    </w:p>
    <w:p>
      <w:pPr>
        <w:rPr>
          <w:rFonts w:eastAsia="Times New Roman"/>
          <w:i/>
        </w:rPr>
      </w:pPr>
    </w:p>
    <w:p>
      <w:r>
        <w:t>Конструкция крана шарового должна обеспечивать свободный проход внутритрубных средств очистки, диагностики, герметизации и разделительных устройств.</w:t>
      </w:r>
    </w:p>
    <w:p>
      <w:pPr>
        <w:pStyle w:val="S0"/>
        <w:rPr>
          <w:lang w:eastAsia="en-US"/>
        </w:rPr>
      </w:pPr>
    </w:p>
    <w:p>
      <w:pPr>
        <w:tabs>
          <w:tab w:val="left" w:pos="993"/>
        </w:tabs>
        <w:rPr>
          <w:rFonts w:eastAsia="PMingLiU"/>
          <w:lang w:eastAsia="en-US"/>
        </w:rPr>
      </w:pPr>
      <w:r>
        <w:t>Не допускается наличие выступающих частей конструкции крана шарового в проходном сечении при установке запирающего элемента крана шарового в положение «открыто».</w:t>
      </w:r>
    </w:p>
    <w:p>
      <w:pPr>
        <w:tabs>
          <w:tab w:val="left" w:pos="993"/>
        </w:tabs>
        <w:rPr>
          <w:rFonts w:eastAsia="PMingLiU"/>
          <w:lang w:eastAsia="en-US"/>
        </w:rPr>
      </w:pPr>
    </w:p>
    <w:p>
      <w:pPr>
        <w:widowControl w:val="0"/>
        <w:tabs>
          <w:tab w:val="left" w:pos="993"/>
        </w:tabs>
        <w:ind w:right="104"/>
        <w:rPr>
          <w:rFonts w:eastAsia="PMingLiU"/>
          <w:spacing w:val="-1"/>
          <w:szCs w:val="22"/>
          <w:lang w:eastAsia="en-US"/>
        </w:rPr>
      </w:pPr>
      <w:r>
        <w:rPr>
          <w:color w:val="000000"/>
        </w:rPr>
        <w:t xml:space="preserve">Краны шаровые с </w:t>
      </w:r>
      <w:r>
        <w:rPr>
          <w:rFonts w:eastAsia="Times New Roman"/>
        </w:rPr>
        <w:t xml:space="preserve">запирающим элементом </w:t>
      </w:r>
      <w:r>
        <w:rPr>
          <w:color w:val="000000"/>
        </w:rPr>
        <w:t>в опорах</w:t>
      </w:r>
      <w:r>
        <w:rPr>
          <w:rFonts w:eastAsia="PMingLiU"/>
          <w:spacing w:val="-1"/>
          <w:szCs w:val="22"/>
          <w:lang w:eastAsia="en-US"/>
        </w:rPr>
        <w:t xml:space="preserve"> должны обеспечивать требуемую герметичность при перепаде давления в закрытом затворе от 0,6 до 1,1 </w:t>
      </w:r>
      <w:r>
        <w:rPr>
          <w:rFonts w:eastAsia="PMingLiU"/>
          <w:spacing w:val="-1"/>
          <w:szCs w:val="22"/>
          <w:lang w:val="en-US" w:eastAsia="en-US"/>
        </w:rPr>
        <w:t>PN</w:t>
      </w:r>
      <w:r>
        <w:rPr>
          <w:rFonts w:eastAsia="PMingLiU"/>
          <w:spacing w:val="-1"/>
          <w:szCs w:val="22"/>
          <w:lang w:eastAsia="en-US"/>
        </w:rPr>
        <w:t xml:space="preserve"> (МПа).</w:t>
      </w:r>
    </w:p>
    <w:p>
      <w:pPr>
        <w:tabs>
          <w:tab w:val="left" w:pos="993"/>
          <w:tab w:val="left" w:pos="1701"/>
        </w:tabs>
        <w:autoSpaceDE w:val="0"/>
        <w:autoSpaceDN w:val="0"/>
        <w:adjustRightInd w:val="0"/>
        <w:contextualSpacing/>
        <w:rPr>
          <w:rFonts w:eastAsia="Times New Roman"/>
        </w:rPr>
      </w:pPr>
    </w:p>
    <w:p>
      <w:pPr>
        <w:tabs>
          <w:tab w:val="left" w:pos="993"/>
          <w:tab w:val="left" w:pos="1701"/>
        </w:tabs>
        <w:autoSpaceDE w:val="0"/>
        <w:autoSpaceDN w:val="0"/>
        <w:adjustRightInd w:val="0"/>
        <w:contextualSpacing/>
        <w:rPr>
          <w:rFonts w:eastAsia="Times New Roman"/>
        </w:rPr>
      </w:pPr>
      <w:r>
        <w:rPr>
          <w:rFonts w:eastAsia="Times New Roman"/>
        </w:rPr>
        <w:t>Для обеспечения гарантированной герметичности при низких давлениях седло запирающего элемента должно поджиматься к затвору посредством упругих деталей. При высоких перепадах давлениях на запирающем элементе, седло должно обеспечивать герметичность запирающего элемента давлением рабочей среды в трубопроводе.</w:t>
      </w:r>
    </w:p>
    <w:p>
      <w:pPr>
        <w:tabs>
          <w:tab w:val="left" w:pos="993"/>
          <w:tab w:val="left" w:pos="1701"/>
        </w:tabs>
        <w:autoSpaceDE w:val="0"/>
        <w:autoSpaceDN w:val="0"/>
        <w:adjustRightInd w:val="0"/>
        <w:contextualSpacing/>
        <w:rPr>
          <w:rFonts w:eastAsia="Times New Roman"/>
        </w:rPr>
      </w:pPr>
    </w:p>
    <w:p>
      <w:pPr>
        <w:tabs>
          <w:tab w:val="left" w:pos="993"/>
          <w:tab w:val="left" w:pos="1701"/>
        </w:tabs>
        <w:autoSpaceDE w:val="0"/>
        <w:autoSpaceDN w:val="0"/>
        <w:adjustRightInd w:val="0"/>
        <w:contextualSpacing/>
        <w:rPr>
          <w:rFonts w:eastAsiaTheme="minorHAnsi"/>
          <w:lang w:eastAsia="en-US"/>
        </w:rPr>
      </w:pPr>
      <w:r>
        <w:rPr>
          <w:rFonts w:eastAsiaTheme="minorHAnsi"/>
          <w:lang w:eastAsia="en-US"/>
        </w:rPr>
        <w:lastRenderedPageBreak/>
        <w:t>Конструкция каждого седла должна обеспечивать уплотнение запирающего элемента в двух направлениях потока.</w:t>
      </w:r>
    </w:p>
    <w:p>
      <w:pPr>
        <w:tabs>
          <w:tab w:val="left" w:pos="993"/>
          <w:tab w:val="left" w:pos="1701"/>
        </w:tabs>
        <w:autoSpaceDE w:val="0"/>
        <w:autoSpaceDN w:val="0"/>
        <w:adjustRightInd w:val="0"/>
        <w:contextualSpacing/>
        <w:rPr>
          <w:rFonts w:eastAsiaTheme="minorHAnsi"/>
          <w:lang w:eastAsia="en-US"/>
        </w:rPr>
      </w:pPr>
    </w:p>
    <w:p>
      <w:pPr>
        <w:tabs>
          <w:tab w:val="left" w:pos="993"/>
          <w:tab w:val="left" w:pos="1701"/>
        </w:tabs>
        <w:autoSpaceDE w:val="0"/>
        <w:autoSpaceDN w:val="0"/>
        <w:adjustRightInd w:val="0"/>
        <w:contextualSpacing/>
        <w:rPr>
          <w:rFonts w:eastAsiaTheme="minorHAnsi"/>
          <w:lang w:eastAsia="en-US"/>
        </w:rPr>
      </w:pPr>
      <w:r>
        <w:rPr>
          <w:rFonts w:eastAsiaTheme="minorHAnsi"/>
          <w:lang w:eastAsia="en-US"/>
        </w:rPr>
        <w:t>Допускается изготовление седел запирающего элемента для кранов шаровых с плавающей пробкой следующих конструкций:</w:t>
      </w:r>
    </w:p>
    <w:p>
      <w:pPr>
        <w:numPr>
          <w:ilvl w:val="0"/>
          <w:numId w:val="12"/>
        </w:numPr>
        <w:tabs>
          <w:tab w:val="left" w:pos="539"/>
        </w:tabs>
        <w:spacing w:before="120"/>
        <w:ind w:left="538" w:hanging="357"/>
        <w:rPr>
          <w:rFonts w:eastAsiaTheme="minorHAnsi"/>
        </w:rPr>
      </w:pPr>
      <w:r>
        <w:rPr>
          <w:rFonts w:eastAsiaTheme="minorHAnsi"/>
        </w:rPr>
        <w:t>седло поджато упругими элементами к затвору и может перемещаться в осевом направлении;</w:t>
      </w:r>
    </w:p>
    <w:p>
      <w:pPr>
        <w:numPr>
          <w:ilvl w:val="0"/>
          <w:numId w:val="12"/>
        </w:numPr>
        <w:tabs>
          <w:tab w:val="left" w:pos="539"/>
        </w:tabs>
        <w:spacing w:before="120"/>
        <w:ind w:left="538" w:hanging="357"/>
        <w:rPr>
          <w:rFonts w:eastAsiaTheme="minorHAnsi"/>
        </w:rPr>
      </w:pPr>
      <w:r>
        <w:rPr>
          <w:rFonts w:eastAsiaTheme="minorHAnsi"/>
        </w:rPr>
        <w:t>седло жестко заделано в корпус.</w:t>
      </w:r>
    </w:p>
    <w:p>
      <w:pPr>
        <w:tabs>
          <w:tab w:val="left" w:pos="993"/>
          <w:tab w:val="left" w:pos="1701"/>
        </w:tabs>
        <w:autoSpaceDE w:val="0"/>
        <w:autoSpaceDN w:val="0"/>
        <w:adjustRightInd w:val="0"/>
        <w:contextualSpacing/>
        <w:rPr>
          <w:rFonts w:eastAsiaTheme="minorHAnsi"/>
          <w:lang w:eastAsia="en-US"/>
        </w:rPr>
      </w:pPr>
    </w:p>
    <w:p>
      <w:pPr>
        <w:tabs>
          <w:tab w:val="left" w:pos="993"/>
          <w:tab w:val="left" w:pos="1701"/>
        </w:tabs>
        <w:autoSpaceDE w:val="0"/>
        <w:autoSpaceDN w:val="0"/>
        <w:adjustRightInd w:val="0"/>
        <w:contextualSpacing/>
        <w:rPr>
          <w:rFonts w:eastAsia="PMingLiU"/>
          <w:szCs w:val="22"/>
          <w:lang w:eastAsia="en-US"/>
        </w:rPr>
      </w:pPr>
      <w:r>
        <w:rPr>
          <w:rFonts w:eastAsia="PMingLiU"/>
          <w:szCs w:val="22"/>
          <w:lang w:eastAsia="en-US"/>
        </w:rPr>
        <w:t>Исполнение затворной части – определяется заводом-изготовителем, исходя из параметров рабочей среды, давления.</w:t>
      </w:r>
    </w:p>
    <w:p>
      <w:pPr>
        <w:tabs>
          <w:tab w:val="left" w:pos="993"/>
          <w:tab w:val="left" w:pos="1701"/>
        </w:tabs>
        <w:autoSpaceDE w:val="0"/>
        <w:autoSpaceDN w:val="0"/>
        <w:adjustRightInd w:val="0"/>
        <w:contextualSpacing/>
        <w:rPr>
          <w:rFonts w:eastAsiaTheme="minorHAnsi"/>
          <w:lang w:eastAsia="en-US"/>
        </w:rPr>
      </w:pPr>
    </w:p>
    <w:p>
      <w:pPr>
        <w:tabs>
          <w:tab w:val="left" w:pos="993"/>
          <w:tab w:val="left" w:pos="1701"/>
        </w:tabs>
        <w:autoSpaceDE w:val="0"/>
        <w:autoSpaceDN w:val="0"/>
        <w:adjustRightInd w:val="0"/>
        <w:contextualSpacing/>
        <w:rPr>
          <w:rFonts w:eastAsiaTheme="minorHAnsi"/>
          <w:lang w:eastAsia="en-US"/>
        </w:rPr>
      </w:pPr>
      <w:r>
        <w:rPr>
          <w:rFonts w:eastAsiaTheme="minorHAnsi"/>
          <w:lang w:eastAsia="en-US"/>
        </w:rPr>
        <w:t>Конструкция седла должна обеспечивать достаточную жесткость, чтобы выдерживать напор рабочей среды в момент перекрытия запирающего элемента.</w:t>
      </w:r>
    </w:p>
    <w:p>
      <w:pPr>
        <w:tabs>
          <w:tab w:val="left" w:pos="993"/>
          <w:tab w:val="left" w:pos="1701"/>
        </w:tabs>
        <w:autoSpaceDE w:val="0"/>
        <w:autoSpaceDN w:val="0"/>
        <w:adjustRightInd w:val="0"/>
        <w:contextualSpacing/>
        <w:rPr>
          <w:rFonts w:eastAsiaTheme="minorHAnsi"/>
          <w:b/>
          <w:lang w:eastAsia="en-US"/>
        </w:rPr>
      </w:pPr>
    </w:p>
    <w:p>
      <w:pPr>
        <w:tabs>
          <w:tab w:val="left" w:pos="993"/>
          <w:tab w:val="left" w:pos="1701"/>
        </w:tabs>
        <w:autoSpaceDE w:val="0"/>
        <w:autoSpaceDN w:val="0"/>
        <w:adjustRightInd w:val="0"/>
        <w:contextualSpacing/>
        <w:rPr>
          <w:rFonts w:eastAsia="Times New Roman"/>
        </w:rPr>
      </w:pPr>
      <w:r>
        <w:rPr>
          <w:rFonts w:eastAsia="Times New Roman"/>
        </w:rPr>
        <w:t xml:space="preserve">Уплотнение затвора может быть выполнено из материала (полимерного, эластомерного, металлического или другого), удовлетворяющего условиям эксплуатации и наличию мехпримесей, а также обладающего высокой износостойкостью, с учетом срока службы крана шарового </w:t>
      </w:r>
      <w:r>
        <w:t>«металл–по–металлу», «металл–полимер».</w:t>
      </w:r>
    </w:p>
    <w:p>
      <w:pPr>
        <w:tabs>
          <w:tab w:val="left" w:pos="993"/>
          <w:tab w:val="left" w:pos="1701"/>
        </w:tabs>
        <w:autoSpaceDE w:val="0"/>
        <w:autoSpaceDN w:val="0"/>
        <w:adjustRightInd w:val="0"/>
        <w:contextualSpacing/>
        <w:rPr>
          <w:rFonts w:eastAsia="Times New Roman"/>
        </w:rPr>
      </w:pPr>
    </w:p>
    <w:p>
      <w:pPr>
        <w:tabs>
          <w:tab w:val="left" w:pos="993"/>
          <w:tab w:val="left" w:pos="1701"/>
        </w:tabs>
        <w:autoSpaceDE w:val="0"/>
        <w:autoSpaceDN w:val="0"/>
        <w:adjustRightInd w:val="0"/>
        <w:contextualSpacing/>
        <w:rPr>
          <w:rFonts w:eastAsia="Times New Roman"/>
        </w:rPr>
      </w:pPr>
      <w:r>
        <w:rPr>
          <w:rFonts w:eastAsia="Times New Roman"/>
        </w:rPr>
        <w:t>Сферическая поверхность запирающего элемента должна иметь защитное износостойкое покрытие (хромированное, никелированное). Твердость покрытия не ниже 900</w:t>
      </w:r>
      <w:r>
        <w:rPr>
          <w:rFonts w:eastAsia="Times New Roman"/>
          <w:lang w:val="en-US"/>
        </w:rPr>
        <w:t>HV</w:t>
      </w:r>
      <w:r>
        <w:rPr>
          <w:rFonts w:eastAsia="Times New Roman"/>
        </w:rPr>
        <w:t>, толщина покрытия:</w:t>
      </w:r>
    </w:p>
    <w:p>
      <w:pPr>
        <w:numPr>
          <w:ilvl w:val="0"/>
          <w:numId w:val="12"/>
        </w:numPr>
        <w:tabs>
          <w:tab w:val="left" w:pos="539"/>
        </w:tabs>
        <w:spacing w:before="120"/>
        <w:ind w:left="538" w:hanging="357"/>
        <w:rPr>
          <w:rFonts w:eastAsia="Times New Roman"/>
        </w:rPr>
      </w:pPr>
      <w:r>
        <w:rPr>
          <w:rFonts w:eastAsia="Times New Roman"/>
        </w:rPr>
        <w:t>≥</w:t>
      </w:r>
      <w:r>
        <w:t> </w:t>
      </w:r>
      <w:r>
        <w:rPr>
          <w:rFonts w:eastAsia="Times New Roman"/>
        </w:rPr>
        <w:t>30 мкм для неагрессивной среды;</w:t>
      </w:r>
    </w:p>
    <w:p>
      <w:pPr>
        <w:pStyle w:val="a7"/>
        <w:widowControl w:val="0"/>
        <w:numPr>
          <w:ilvl w:val="0"/>
          <w:numId w:val="30"/>
        </w:numPr>
        <w:tabs>
          <w:tab w:val="left" w:pos="539"/>
        </w:tabs>
        <w:spacing w:before="120" w:after="0"/>
        <w:ind w:left="538" w:hanging="357"/>
        <w:rPr>
          <w:rFonts w:eastAsia="Times New Roman"/>
        </w:rPr>
      </w:pPr>
      <w:r>
        <w:rPr>
          <w:rFonts w:eastAsia="Times New Roman"/>
        </w:rPr>
        <w:t>≥</w:t>
      </w:r>
      <w:r>
        <w:t> </w:t>
      </w:r>
      <w:r>
        <w:rPr>
          <w:rFonts w:eastAsia="Times New Roman"/>
          <w:lang w:val="en-US"/>
        </w:rPr>
        <w:t>75</w:t>
      </w:r>
      <w:r>
        <w:rPr>
          <w:rFonts w:eastAsia="Times New Roman"/>
        </w:rPr>
        <w:t xml:space="preserve"> мкм для агрессивной среды.</w:t>
      </w:r>
    </w:p>
    <w:p>
      <w:pPr>
        <w:tabs>
          <w:tab w:val="left" w:pos="993"/>
          <w:tab w:val="left" w:pos="1701"/>
        </w:tabs>
        <w:autoSpaceDE w:val="0"/>
        <w:autoSpaceDN w:val="0"/>
        <w:adjustRightInd w:val="0"/>
        <w:contextualSpacing/>
        <w:rPr>
          <w:rFonts w:eastAsia="Times New Roman"/>
        </w:rPr>
      </w:pPr>
    </w:p>
    <w:p>
      <w:pPr>
        <w:tabs>
          <w:tab w:val="left" w:pos="993"/>
          <w:tab w:val="left" w:pos="1701"/>
        </w:tabs>
        <w:autoSpaceDE w:val="0"/>
        <w:autoSpaceDN w:val="0"/>
        <w:adjustRightInd w:val="0"/>
        <w:contextualSpacing/>
        <w:rPr>
          <w:rFonts w:eastAsia="Times New Roman"/>
        </w:rPr>
      </w:pPr>
      <w:r>
        <w:rPr>
          <w:rFonts w:eastAsia="Times New Roman"/>
        </w:rPr>
        <w:t>Допускаются другие покрытия с твердостью не ниже 900</w:t>
      </w:r>
      <w:r>
        <w:rPr>
          <w:rFonts w:eastAsia="Times New Roman"/>
          <w:lang w:val="en-US"/>
        </w:rPr>
        <w:t>HV</w:t>
      </w:r>
      <w:r>
        <w:rPr>
          <w:rFonts w:eastAsia="Times New Roman"/>
        </w:rPr>
        <w:t>, обеспечивающие достаточную защиту от эрозии, коррозии и износостойкость.</w:t>
      </w:r>
    </w:p>
    <w:p>
      <w:pPr>
        <w:tabs>
          <w:tab w:val="left" w:pos="993"/>
          <w:tab w:val="left" w:pos="1701"/>
        </w:tabs>
        <w:autoSpaceDE w:val="0"/>
        <w:autoSpaceDN w:val="0"/>
        <w:adjustRightInd w:val="0"/>
        <w:contextualSpacing/>
        <w:rPr>
          <w:rFonts w:eastAsia="Times New Roman"/>
        </w:rPr>
      </w:pPr>
    </w:p>
    <w:p>
      <w:pPr>
        <w:tabs>
          <w:tab w:val="left" w:pos="993"/>
          <w:tab w:val="left" w:pos="1701"/>
        </w:tabs>
        <w:autoSpaceDE w:val="0"/>
        <w:autoSpaceDN w:val="0"/>
        <w:adjustRightInd w:val="0"/>
        <w:contextualSpacing/>
      </w:pPr>
      <w:r>
        <w:t>Шаровые краны, независимо от величины условного прохода, должны быть снабжены антистатическим устройством. При эксплуатации крана шарового должен обеспечиваться непрерывный контакт между шпинделем и другими металлическими компонентами крана (запирающего элемента и корпуса для DN &gt; 50, между шпинделем и корпусом для DN &lt; 50) для отвода статического электричества во время поворота шпинделя при открывании и закрывании крана шарового.</w:t>
      </w:r>
    </w:p>
    <w:p>
      <w:pPr>
        <w:tabs>
          <w:tab w:val="left" w:pos="993"/>
          <w:tab w:val="left" w:pos="1701"/>
        </w:tabs>
        <w:autoSpaceDE w:val="0"/>
        <w:autoSpaceDN w:val="0"/>
        <w:adjustRightInd w:val="0"/>
        <w:contextualSpacing/>
      </w:pPr>
    </w:p>
    <w:p>
      <w:pPr>
        <w:tabs>
          <w:tab w:val="left" w:pos="993"/>
          <w:tab w:val="left" w:pos="1701"/>
        </w:tabs>
        <w:autoSpaceDE w:val="0"/>
        <w:autoSpaceDN w:val="0"/>
        <w:adjustRightInd w:val="0"/>
        <w:contextualSpacing/>
        <w:rPr>
          <w:rFonts w:eastAsia="Times New Roman"/>
          <w:szCs w:val="20"/>
        </w:rPr>
      </w:pPr>
      <w:r>
        <w:rPr>
          <w:rFonts w:eastAsia="Times New Roman"/>
          <w:szCs w:val="20"/>
        </w:rPr>
        <w:t>На шпинделе крана шарового должны быть нанесены метки для определения точного положения запирающего элемента в открытом и закрытом состоянии без разборки крана или трубопровода (указатель положения затвора).</w:t>
      </w:r>
    </w:p>
    <w:p>
      <w:pPr>
        <w:tabs>
          <w:tab w:val="left" w:pos="993"/>
          <w:tab w:val="left" w:pos="1701"/>
        </w:tabs>
        <w:autoSpaceDE w:val="0"/>
        <w:autoSpaceDN w:val="0"/>
        <w:adjustRightInd w:val="0"/>
        <w:rPr>
          <w:rFonts w:eastAsia="Times New Roman"/>
        </w:rPr>
      </w:pPr>
    </w:p>
    <w:p>
      <w:pPr>
        <w:pStyle w:val="a7"/>
        <w:widowControl w:val="0"/>
        <w:tabs>
          <w:tab w:val="left" w:pos="851"/>
          <w:tab w:val="left" w:pos="1394"/>
        </w:tabs>
        <w:spacing w:after="0"/>
        <w:rPr>
          <w:rFonts w:eastAsia="Times New Roman"/>
        </w:rPr>
      </w:pPr>
      <w:r>
        <w:rPr>
          <w:rFonts w:eastAsia="Times New Roman"/>
        </w:rPr>
        <w:t>Для подземного исполнения краны шаровые должны поставляться совместно со смонтированным удлинителем шпинделя, который находится внутри цилиндрической колонны.</w:t>
      </w:r>
    </w:p>
    <w:p>
      <w:pPr>
        <w:pStyle w:val="a7"/>
        <w:widowControl w:val="0"/>
        <w:tabs>
          <w:tab w:val="left" w:pos="851"/>
          <w:tab w:val="left" w:pos="1394"/>
        </w:tabs>
        <w:spacing w:after="0"/>
        <w:rPr>
          <w:rFonts w:eastAsia="Times New Roman"/>
        </w:rPr>
      </w:pPr>
    </w:p>
    <w:p>
      <w:pPr>
        <w:pStyle w:val="a7"/>
        <w:widowControl w:val="0"/>
        <w:tabs>
          <w:tab w:val="left" w:pos="851"/>
          <w:tab w:val="left" w:pos="1394"/>
        </w:tabs>
        <w:spacing w:after="0"/>
        <w:rPr>
          <w:rFonts w:eastAsia="Times New Roman"/>
        </w:rPr>
      </w:pPr>
      <w:r>
        <w:rPr>
          <w:rFonts w:eastAsia="Times New Roman"/>
        </w:rPr>
        <w:t>Длина колонны удлинителя шпинделя (расстояние от фланца корпуса крана шарового до фланца корпуса привода) крана шарового подземного исполнения должна соответствовать:</w:t>
      </w:r>
    </w:p>
    <w:p>
      <w:pPr>
        <w:numPr>
          <w:ilvl w:val="0"/>
          <w:numId w:val="12"/>
        </w:numPr>
        <w:tabs>
          <w:tab w:val="left" w:pos="539"/>
        </w:tabs>
        <w:spacing w:before="120"/>
        <w:ind w:left="538" w:hanging="357"/>
        <w:rPr>
          <w:rFonts w:eastAsia="Times New Roman"/>
        </w:rPr>
      </w:pPr>
      <w:r>
        <w:rPr>
          <w:rFonts w:eastAsia="Times New Roman"/>
        </w:rPr>
        <w:t>для DN 50-500 ≈ 2,0 м;</w:t>
      </w:r>
    </w:p>
    <w:p>
      <w:pPr>
        <w:pStyle w:val="a7"/>
        <w:widowControl w:val="0"/>
        <w:numPr>
          <w:ilvl w:val="0"/>
          <w:numId w:val="34"/>
        </w:numPr>
        <w:tabs>
          <w:tab w:val="left" w:pos="851"/>
          <w:tab w:val="left" w:pos="1394"/>
        </w:tabs>
        <w:spacing w:before="120" w:after="0"/>
        <w:ind w:left="541"/>
        <w:rPr>
          <w:rFonts w:eastAsia="Times New Roman"/>
        </w:rPr>
      </w:pPr>
      <w:r>
        <w:rPr>
          <w:rFonts w:eastAsia="Times New Roman"/>
        </w:rPr>
        <w:t>для DN 600-1000 ≈ 1,8 м;</w:t>
      </w:r>
    </w:p>
    <w:p>
      <w:pPr>
        <w:pStyle w:val="a7"/>
        <w:widowControl w:val="0"/>
        <w:numPr>
          <w:ilvl w:val="0"/>
          <w:numId w:val="34"/>
        </w:numPr>
        <w:tabs>
          <w:tab w:val="left" w:pos="851"/>
          <w:tab w:val="left" w:pos="1394"/>
        </w:tabs>
        <w:spacing w:before="120" w:after="0"/>
        <w:ind w:left="541"/>
        <w:rPr>
          <w:rFonts w:eastAsia="Times New Roman"/>
        </w:rPr>
      </w:pPr>
      <w:r>
        <w:rPr>
          <w:rFonts w:eastAsia="Times New Roman"/>
        </w:rPr>
        <w:lastRenderedPageBreak/>
        <w:t>для DN 1200 ≈ 1,6 м.</w:t>
      </w:r>
    </w:p>
    <w:p>
      <w:pPr>
        <w:pStyle w:val="a7"/>
        <w:widowControl w:val="0"/>
        <w:tabs>
          <w:tab w:val="left" w:pos="851"/>
          <w:tab w:val="left" w:pos="1394"/>
        </w:tabs>
        <w:spacing w:after="0"/>
        <w:rPr>
          <w:rFonts w:eastAsia="Times New Roman"/>
        </w:rPr>
      </w:pPr>
    </w:p>
    <w:p>
      <w:pPr>
        <w:pStyle w:val="a7"/>
        <w:widowControl w:val="0"/>
        <w:tabs>
          <w:tab w:val="left" w:pos="851"/>
          <w:tab w:val="left" w:pos="1394"/>
        </w:tabs>
        <w:spacing w:after="0"/>
      </w:pPr>
      <w:r>
        <w:t>Для арматуры подземного исполнения расстояние от фланца привода до поверхности земли должно быть от 800 до 1100 мм, при этом максимальная высота рычагов управления должна находиться на высоте не более 1,6 м от поверхности земли.</w:t>
      </w:r>
    </w:p>
    <w:p>
      <w:pPr>
        <w:pStyle w:val="a7"/>
        <w:widowControl w:val="0"/>
        <w:tabs>
          <w:tab w:val="left" w:pos="851"/>
          <w:tab w:val="left" w:pos="1394"/>
        </w:tabs>
        <w:spacing w:after="0"/>
        <w:rPr>
          <w:rFonts w:eastAsia="Times New Roman"/>
        </w:rPr>
      </w:pPr>
    </w:p>
    <w:p>
      <w:pPr>
        <w:pStyle w:val="a7"/>
        <w:widowControl w:val="0"/>
        <w:numPr>
          <w:ilvl w:val="2"/>
          <w:numId w:val="0"/>
        </w:numPr>
        <w:tabs>
          <w:tab w:val="left" w:pos="851"/>
        </w:tabs>
        <w:spacing w:after="0"/>
        <w:ind w:right="-1"/>
        <w:rPr>
          <w:rFonts w:eastAsia="Times New Roman"/>
        </w:rPr>
      </w:pPr>
      <w:r>
        <w:t xml:space="preserve">Верхнее подвижное крепление </w:t>
      </w:r>
      <w:r>
        <w:rPr>
          <w:rFonts w:eastAsia="Times New Roman"/>
        </w:rPr>
        <w:t>колонны удлинителя шпинделя должно быть менее прочным, чем нижнее и рассчитано на момент, развиваемый приводом, но не превышающий допустимый для крана шарового.</w:t>
      </w:r>
    </w:p>
    <w:p>
      <w:pPr>
        <w:pStyle w:val="a7"/>
        <w:widowControl w:val="0"/>
        <w:numPr>
          <w:ilvl w:val="2"/>
          <w:numId w:val="0"/>
        </w:numPr>
        <w:tabs>
          <w:tab w:val="left" w:pos="851"/>
        </w:tabs>
        <w:spacing w:after="0"/>
        <w:ind w:right="105"/>
      </w:pPr>
    </w:p>
    <w:p>
      <w:pPr>
        <w:pStyle w:val="a7"/>
        <w:widowControl w:val="0"/>
        <w:numPr>
          <w:ilvl w:val="2"/>
          <w:numId w:val="0"/>
        </w:numPr>
        <w:tabs>
          <w:tab w:val="left" w:pos="851"/>
        </w:tabs>
        <w:spacing w:after="0"/>
        <w:ind w:right="-1"/>
      </w:pPr>
      <w:r>
        <w:t xml:space="preserve">Соединение выходного вала привода со шпинделем (шпинделем удлинителем) затвора крана шарового должно быть шпоночное. Для шаровых кранов </w:t>
      </w:r>
      <w:r>
        <w:rPr>
          <w:lang w:val="en-US"/>
        </w:rPr>
        <w:t>DN</w:t>
      </w:r>
      <w:r>
        <w:t> ≤ 100 мм допускаются соединение выходного вала – квадрат, с лысками.</w:t>
      </w:r>
    </w:p>
    <w:p>
      <w:pPr>
        <w:pStyle w:val="a7"/>
        <w:widowControl w:val="0"/>
        <w:numPr>
          <w:ilvl w:val="2"/>
          <w:numId w:val="0"/>
        </w:numPr>
        <w:tabs>
          <w:tab w:val="left" w:pos="851"/>
        </w:tabs>
        <w:spacing w:after="0"/>
        <w:ind w:right="105"/>
      </w:pPr>
    </w:p>
    <w:p>
      <w:pPr>
        <w:pStyle w:val="a7"/>
        <w:widowControl w:val="0"/>
        <w:tabs>
          <w:tab w:val="left" w:pos="851"/>
        </w:tabs>
        <w:spacing w:after="0"/>
        <w:ind w:right="-1"/>
      </w:pPr>
      <w:r>
        <w:t>Соединение фланцевого разъема привода с краном шаровым или с колонной удлинителем шпинделя (для кранов подземного исполнения) по ГОСТ</w:t>
      </w:r>
      <w:r>
        <w:rPr>
          <w:lang w:val="en-US"/>
        </w:rPr>
        <w:t> </w:t>
      </w:r>
      <w:r>
        <w:t>Р</w:t>
      </w:r>
      <w:r>
        <w:rPr>
          <w:lang w:val="en-US"/>
        </w:rPr>
        <w:t> </w:t>
      </w:r>
      <w:r>
        <w:t>55510. Дополнительно производят соединение фланцев при помощи штифтов в соответствии с КД.</w:t>
      </w:r>
    </w:p>
    <w:p>
      <w:pPr>
        <w:pStyle w:val="a7"/>
        <w:widowControl w:val="0"/>
        <w:tabs>
          <w:tab w:val="left" w:pos="851"/>
        </w:tabs>
        <w:spacing w:after="0"/>
        <w:ind w:right="105"/>
        <w:rPr>
          <w:rFonts w:eastAsia="Times New Roman"/>
        </w:rPr>
      </w:pPr>
    </w:p>
    <w:p>
      <w:pPr>
        <w:pStyle w:val="a7"/>
        <w:widowControl w:val="0"/>
        <w:tabs>
          <w:tab w:val="left" w:pos="851"/>
        </w:tabs>
        <w:spacing w:after="0"/>
        <w:ind w:right="-1"/>
        <w:rPr>
          <w:rFonts w:eastAsia="Times New Roman"/>
        </w:rPr>
      </w:pPr>
      <w:r>
        <w:rPr>
          <w:rFonts w:eastAsia="Times New Roman"/>
        </w:rPr>
        <w:t xml:space="preserve">Нижнее фланцевое соединение колоны </w:t>
      </w:r>
      <w:r>
        <w:t xml:space="preserve">удлинителя шпинделя крана шарового </w:t>
      </w:r>
      <w:r>
        <w:rPr>
          <w:rFonts w:eastAsia="Times New Roman"/>
        </w:rPr>
        <w:t>должно быть герметично по отношению к грунтовым водам. Уплотнение фланцевого соединения должно быть в виде неразрезного кольца из эластомера.</w:t>
      </w:r>
    </w:p>
    <w:p>
      <w:pPr>
        <w:pStyle w:val="a7"/>
        <w:widowControl w:val="0"/>
        <w:tabs>
          <w:tab w:val="left" w:pos="851"/>
        </w:tabs>
        <w:spacing w:after="0"/>
        <w:ind w:right="105"/>
        <w:rPr>
          <w:rFonts w:eastAsia="Times New Roman"/>
        </w:rPr>
      </w:pPr>
    </w:p>
    <w:p>
      <w:pPr>
        <w:pStyle w:val="a7"/>
        <w:widowControl w:val="0"/>
        <w:tabs>
          <w:tab w:val="left" w:pos="851"/>
        </w:tabs>
        <w:spacing w:after="0"/>
        <w:ind w:right="-1"/>
        <w:rPr>
          <w:rFonts w:eastAsia="Times New Roman"/>
        </w:rPr>
      </w:pPr>
      <w:r>
        <w:rPr>
          <w:rFonts w:eastAsia="Times New Roman"/>
        </w:rPr>
        <w:t xml:space="preserve">В верхней части колонны </w:t>
      </w:r>
      <w:r>
        <w:t xml:space="preserve">удлинителя шпинделя должно быть </w:t>
      </w:r>
      <w:r>
        <w:rPr>
          <w:rFonts w:eastAsia="Times New Roman"/>
        </w:rPr>
        <w:t xml:space="preserve">предусмотрено отверстие </w:t>
      </w:r>
      <w:r>
        <w:rPr>
          <w:rFonts w:eastAsia="Times New Roman"/>
        </w:rPr>
        <w:br/>
      </w:r>
      <w:r>
        <w:rPr>
          <w:rFonts w:eastAsia="Times New Roman"/>
          <w:lang w:val="en-US"/>
        </w:rPr>
        <w:t>d</w:t>
      </w:r>
      <w:r>
        <w:t> </w:t>
      </w:r>
      <w:r>
        <w:rPr>
          <w:rFonts w:eastAsia="Times New Roman"/>
        </w:rPr>
        <w:t>≥</w:t>
      </w:r>
      <w:r>
        <w:t> </w:t>
      </w:r>
      <w:r>
        <w:rPr>
          <w:rFonts w:eastAsia="Times New Roman"/>
        </w:rPr>
        <w:t>5 мм для проверки отсутствия (наличия) жидкости, а также для вентиляции колонны, исключающее попадание газа в корпус привода или редуктора.</w:t>
      </w:r>
    </w:p>
    <w:p>
      <w:pPr>
        <w:pStyle w:val="a7"/>
        <w:widowControl w:val="0"/>
        <w:tabs>
          <w:tab w:val="left" w:pos="851"/>
        </w:tabs>
        <w:spacing w:after="0"/>
        <w:ind w:right="105"/>
        <w:rPr>
          <w:rFonts w:eastAsia="Times New Roman"/>
        </w:rPr>
      </w:pPr>
    </w:p>
    <w:p>
      <w:pPr>
        <w:pStyle w:val="a7"/>
        <w:widowControl w:val="0"/>
        <w:tabs>
          <w:tab w:val="left" w:pos="851"/>
        </w:tabs>
        <w:spacing w:after="0"/>
        <w:ind w:right="-1"/>
        <w:rPr>
          <w:rFonts w:eastAsiaTheme="minorHAnsi"/>
          <w:lang w:eastAsia="en-US"/>
        </w:rPr>
      </w:pPr>
      <w:r>
        <w:rPr>
          <w:rFonts w:eastAsiaTheme="minorHAnsi"/>
          <w:lang w:eastAsia="en-US"/>
        </w:rPr>
        <w:t>Шпиндель должен иметь конструкцию, чтобы в случае поломки соединения «затвор-шпиндель» никакая часть шпинделя не могла быть удалена из крана шарового под действием внутреннего давления.</w:t>
      </w:r>
    </w:p>
    <w:p>
      <w:pPr>
        <w:autoSpaceDE w:val="0"/>
        <w:autoSpaceDN w:val="0"/>
        <w:adjustRightInd w:val="0"/>
        <w:rPr>
          <w:rFonts w:eastAsiaTheme="minorHAnsi"/>
          <w:color w:val="000000"/>
          <w:lang w:eastAsia="en-US"/>
        </w:rPr>
      </w:pPr>
    </w:p>
    <w:p>
      <w:pPr>
        <w:pStyle w:val="a7"/>
        <w:widowControl w:val="0"/>
        <w:tabs>
          <w:tab w:val="left" w:pos="851"/>
        </w:tabs>
        <w:spacing w:after="0"/>
        <w:ind w:right="-1"/>
        <w:rPr>
          <w:rFonts w:eastAsia="Times New Roman"/>
        </w:rPr>
      </w:pPr>
      <w:r>
        <w:rPr>
          <w:rFonts w:eastAsiaTheme="minorHAnsi"/>
          <w:lang w:eastAsia="en-US"/>
        </w:rPr>
        <w:t xml:space="preserve">Конструкция </w:t>
      </w:r>
      <w:r>
        <w:rPr>
          <w:rFonts w:eastAsia="Times New Roman"/>
        </w:rPr>
        <w:t>шпиндельного узла крана шарового должна быть антивыбросовой, с возможностью замены уплотнения при закрытом затворе и наличии давления на действующем трубопроводе.</w:t>
      </w:r>
    </w:p>
    <w:p>
      <w:pPr>
        <w:pStyle w:val="a7"/>
        <w:widowControl w:val="0"/>
        <w:tabs>
          <w:tab w:val="left" w:pos="851"/>
        </w:tabs>
        <w:spacing w:after="0"/>
        <w:ind w:right="105"/>
        <w:rPr>
          <w:rFonts w:eastAsiaTheme="minorHAnsi"/>
          <w:lang w:eastAsia="en-US"/>
        </w:rPr>
      </w:pPr>
    </w:p>
    <w:p>
      <w:pPr>
        <w:pStyle w:val="a7"/>
        <w:widowControl w:val="0"/>
        <w:tabs>
          <w:tab w:val="left" w:pos="851"/>
        </w:tabs>
        <w:spacing w:after="0"/>
        <w:ind w:right="-1"/>
        <w:rPr>
          <w:rFonts w:eastAsia="Times New Roman"/>
        </w:rPr>
      </w:pPr>
      <w:r>
        <w:rPr>
          <w:rFonts w:eastAsia="Times New Roman"/>
        </w:rPr>
        <w:t>Крепление шпинделя в корпусе должно исключать его выталкивание давлением при замене уплотнения шпинделя, а также его воздействия на привод.</w:t>
      </w:r>
    </w:p>
    <w:p>
      <w:pPr>
        <w:pStyle w:val="a7"/>
        <w:widowControl w:val="0"/>
        <w:tabs>
          <w:tab w:val="left" w:pos="851"/>
        </w:tabs>
        <w:spacing w:after="0"/>
        <w:ind w:right="108"/>
        <w:rPr>
          <w:rFonts w:eastAsia="Times New Roman"/>
        </w:rPr>
      </w:pPr>
    </w:p>
    <w:p>
      <w:pPr>
        <w:pStyle w:val="a7"/>
        <w:widowControl w:val="0"/>
        <w:tabs>
          <w:tab w:val="left" w:pos="851"/>
        </w:tabs>
        <w:spacing w:after="0"/>
        <w:ind w:right="-1"/>
        <w:rPr>
          <w:rFonts w:eastAsiaTheme="minorHAnsi"/>
          <w:lang w:eastAsia="en-US"/>
        </w:rPr>
      </w:pPr>
      <w:r>
        <w:rPr>
          <w:rFonts w:eastAsiaTheme="minorHAnsi"/>
          <w:lang w:eastAsia="en-US"/>
        </w:rPr>
        <w:t>Узел уплотнения шпинделя у крана шарового DN</w:t>
      </w:r>
      <w:r>
        <w:t> </w:t>
      </w:r>
      <w:r>
        <w:rPr>
          <w:rFonts w:eastAsiaTheme="minorHAnsi"/>
          <w:lang w:eastAsia="en-US"/>
        </w:rPr>
        <w:t>≥</w:t>
      </w:r>
      <w:r>
        <w:t> </w:t>
      </w:r>
      <w:r>
        <w:rPr>
          <w:rFonts w:eastAsiaTheme="minorHAnsi"/>
          <w:lang w:eastAsia="en-US"/>
        </w:rPr>
        <w:t>50 при PN</w:t>
      </w:r>
      <w:r>
        <w:t> </w:t>
      </w:r>
      <w:r>
        <w:rPr>
          <w:rFonts w:eastAsiaTheme="minorHAnsi"/>
          <w:lang w:eastAsia="en-US"/>
        </w:rPr>
        <w:t>≥</w:t>
      </w:r>
      <w:r>
        <w:t> </w:t>
      </w:r>
      <w:r>
        <w:rPr>
          <w:rFonts w:eastAsiaTheme="minorHAnsi"/>
          <w:lang w:eastAsia="en-US"/>
        </w:rPr>
        <w:t>160 кгс/см</w:t>
      </w:r>
      <w:r>
        <w:rPr>
          <w:rFonts w:eastAsiaTheme="minorHAnsi"/>
          <w:vertAlign w:val="superscript"/>
          <w:lang w:eastAsia="en-US"/>
        </w:rPr>
        <w:t>2</w:t>
      </w:r>
      <w:r>
        <w:rPr>
          <w:rFonts w:eastAsiaTheme="minorHAnsi"/>
          <w:lang w:eastAsia="en-US"/>
        </w:rPr>
        <w:t xml:space="preserve"> и DN</w:t>
      </w:r>
      <w:r>
        <w:t> </w:t>
      </w:r>
      <w:r>
        <w:rPr>
          <w:rFonts w:eastAsiaTheme="minorHAnsi"/>
          <w:lang w:eastAsia="en-US"/>
        </w:rPr>
        <w:t>≥</w:t>
      </w:r>
      <w:r>
        <w:t> </w:t>
      </w:r>
      <w:r>
        <w:rPr>
          <w:rFonts w:eastAsiaTheme="minorHAnsi"/>
          <w:lang w:eastAsia="en-US"/>
        </w:rPr>
        <w:t>150 при PN</w:t>
      </w:r>
      <w:r>
        <w:t> </w:t>
      </w:r>
      <w:r>
        <w:rPr>
          <w:rFonts w:eastAsiaTheme="minorHAnsi"/>
          <w:lang w:eastAsia="en-US"/>
        </w:rPr>
        <w:t>≥</w:t>
      </w:r>
      <w:r>
        <w:t> </w:t>
      </w:r>
      <w:r>
        <w:rPr>
          <w:rFonts w:eastAsiaTheme="minorHAnsi"/>
          <w:lang w:eastAsia="en-US"/>
        </w:rPr>
        <w:t>40 кгс/см</w:t>
      </w:r>
      <w:r>
        <w:rPr>
          <w:rFonts w:eastAsiaTheme="minorHAnsi"/>
          <w:vertAlign w:val="superscript"/>
          <w:lang w:eastAsia="en-US"/>
        </w:rPr>
        <w:t>2</w:t>
      </w:r>
      <w:r>
        <w:rPr>
          <w:rFonts w:eastAsiaTheme="minorHAnsi"/>
          <w:lang w:eastAsia="en-US"/>
        </w:rPr>
        <w:t xml:space="preserve"> должен иметь не менее двух уплотнительных элементов и систему ввода герметика между ними.</w:t>
      </w:r>
    </w:p>
    <w:p>
      <w:pPr>
        <w:pStyle w:val="a7"/>
        <w:widowControl w:val="0"/>
        <w:tabs>
          <w:tab w:val="left" w:pos="851"/>
        </w:tabs>
        <w:spacing w:after="0"/>
        <w:ind w:right="105"/>
        <w:rPr>
          <w:rFonts w:eastAsia="Times New Roman"/>
        </w:rPr>
      </w:pPr>
    </w:p>
    <w:p>
      <w:pPr>
        <w:pStyle w:val="a7"/>
        <w:widowControl w:val="0"/>
        <w:tabs>
          <w:tab w:val="left" w:pos="851"/>
        </w:tabs>
        <w:spacing w:after="0"/>
        <w:ind w:right="-1"/>
        <w:rPr>
          <w:rFonts w:eastAsia="Times New Roman"/>
        </w:rPr>
      </w:pPr>
      <w:r>
        <w:rPr>
          <w:rFonts w:eastAsia="Times New Roman"/>
        </w:rPr>
        <w:t xml:space="preserve">Конструкция кранов шаровых </w:t>
      </w:r>
      <w:r>
        <w:rPr>
          <w:rFonts w:eastAsia="Times New Roman"/>
          <w:lang w:val="en-US"/>
        </w:rPr>
        <w:t>DN</w:t>
      </w:r>
      <w:r>
        <w:t> ≥ </w:t>
      </w:r>
      <w:r>
        <w:rPr>
          <w:rFonts w:eastAsia="Times New Roman"/>
        </w:rPr>
        <w:t>100 мм должна включать систему ввода уплотнительной смазки, очистителя и уплотнительного герметика в зону «седло-затвор» для смазки, промывки или восстановления герметичности по затвору.</w:t>
      </w:r>
    </w:p>
    <w:p>
      <w:pPr>
        <w:pStyle w:val="a7"/>
        <w:widowControl w:val="0"/>
        <w:tabs>
          <w:tab w:val="left" w:pos="851"/>
        </w:tabs>
        <w:spacing w:after="0"/>
        <w:ind w:right="105"/>
        <w:rPr>
          <w:rFonts w:eastAsia="Times New Roman"/>
        </w:rPr>
      </w:pPr>
    </w:p>
    <w:p>
      <w:pPr>
        <w:pStyle w:val="a7"/>
        <w:widowControl w:val="0"/>
        <w:tabs>
          <w:tab w:val="left" w:pos="851"/>
        </w:tabs>
        <w:spacing w:after="0"/>
        <w:ind w:right="-1"/>
        <w:rPr>
          <w:rFonts w:eastAsia="Times New Roman"/>
        </w:rPr>
      </w:pPr>
      <w:r>
        <w:rPr>
          <w:rFonts w:eastAsia="Times New Roman"/>
        </w:rPr>
        <w:t>Подача смазки должна осуществляться через быстроразъемные приспособления (фитинги), обеспечивающие подсоединение набивочного устройства.</w:t>
      </w:r>
    </w:p>
    <w:p>
      <w:pPr>
        <w:pStyle w:val="a7"/>
        <w:widowControl w:val="0"/>
        <w:tabs>
          <w:tab w:val="left" w:pos="851"/>
        </w:tabs>
        <w:spacing w:after="0"/>
        <w:ind w:right="105"/>
        <w:rPr>
          <w:rFonts w:eastAsia="Times New Roman"/>
        </w:rPr>
      </w:pPr>
    </w:p>
    <w:p>
      <w:pPr>
        <w:widowControl w:val="0"/>
        <w:shd w:val="clear" w:color="auto" w:fill="FFFFFF"/>
        <w:autoSpaceDE w:val="0"/>
        <w:autoSpaceDN w:val="0"/>
        <w:adjustRightInd w:val="0"/>
        <w:rPr>
          <w:rFonts w:eastAsia="Times New Roman"/>
          <w:sz w:val="20"/>
          <w:szCs w:val="20"/>
        </w:rPr>
      </w:pPr>
      <w:r>
        <w:rPr>
          <w:rFonts w:eastAsia="Times New Roman"/>
          <w:szCs w:val="20"/>
        </w:rPr>
        <w:t>На кранах шаровых надземного исполнения DN</w:t>
      </w:r>
      <w:r>
        <w:t> </w:t>
      </w:r>
      <w:r>
        <w:rPr>
          <w:rFonts w:eastAsia="Times New Roman"/>
          <w:szCs w:val="20"/>
        </w:rPr>
        <w:t>≥</w:t>
      </w:r>
      <w:r>
        <w:t> </w:t>
      </w:r>
      <w:r>
        <w:rPr>
          <w:rFonts w:eastAsia="Times New Roman"/>
          <w:szCs w:val="20"/>
        </w:rPr>
        <w:t>100 мм подачу уплотнительной смазки в седла и сальник шпинделя осуществляют через фитинги, установленные на корпусе крана.</w:t>
      </w:r>
    </w:p>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szCs w:val="20"/>
        </w:rPr>
      </w:pPr>
      <w:r>
        <w:rPr>
          <w:rFonts w:eastAsia="Times New Roman"/>
          <w:szCs w:val="20"/>
        </w:rPr>
        <w:lastRenderedPageBreak/>
        <w:t>Количество точек подвода смазки в седла крана надземной установки и их рекомендуемое расположение приведено в Таблице 13.</w:t>
      </w:r>
    </w:p>
    <w:p>
      <w:pPr>
        <w:widowControl w:val="0"/>
        <w:shd w:val="clear" w:color="auto" w:fill="FFFFFF"/>
        <w:autoSpaceDE w:val="0"/>
        <w:autoSpaceDN w:val="0"/>
        <w:adjustRightInd w:val="0"/>
        <w:rPr>
          <w:rFonts w:eastAsia="Times New Roman"/>
          <w:szCs w:val="20"/>
        </w:rPr>
      </w:pPr>
    </w:p>
    <w:p>
      <w:pPr>
        <w:pStyle w:val="af3"/>
        <w:keepNext/>
        <w:keepLines/>
        <w:jc w:val="right"/>
        <w:rPr>
          <w:rFonts w:ascii="Arial" w:eastAsia="Times New Roman" w:hAnsi="Arial" w:cs="Arial"/>
          <w:bCs w:val="0"/>
          <w:szCs w:val="24"/>
        </w:rPr>
      </w:pPr>
      <w:r>
        <w:rPr>
          <w:rFonts w:ascii="Arial" w:eastAsia="Times New Roman" w:hAnsi="Arial" w:cs="Arial"/>
          <w:bCs w:val="0"/>
          <w:szCs w:val="24"/>
        </w:rPr>
        <w:t xml:space="preserve">Таблица </w:t>
      </w:r>
      <w:r>
        <w:rPr>
          <w:rFonts w:ascii="Arial" w:eastAsia="Times New Roman" w:hAnsi="Arial" w:cs="Arial"/>
          <w:bCs w:val="0"/>
          <w:szCs w:val="24"/>
        </w:rPr>
        <w:fldChar w:fldCharType="begin"/>
      </w:r>
      <w:r>
        <w:rPr>
          <w:rFonts w:ascii="Arial" w:eastAsia="Times New Roman" w:hAnsi="Arial" w:cs="Arial"/>
          <w:bCs w:val="0"/>
          <w:szCs w:val="24"/>
        </w:rPr>
        <w:instrText xml:space="preserve"> SEQ Таблица \* ARABIC </w:instrText>
      </w:r>
      <w:r>
        <w:rPr>
          <w:rFonts w:ascii="Arial" w:eastAsia="Times New Roman" w:hAnsi="Arial" w:cs="Arial"/>
          <w:bCs w:val="0"/>
          <w:szCs w:val="24"/>
        </w:rPr>
        <w:fldChar w:fldCharType="separate"/>
      </w:r>
      <w:r>
        <w:rPr>
          <w:rFonts w:ascii="Arial" w:eastAsia="Times New Roman" w:hAnsi="Arial" w:cs="Arial"/>
          <w:bCs w:val="0"/>
          <w:noProof/>
          <w:szCs w:val="24"/>
        </w:rPr>
        <w:t>13</w:t>
      </w:r>
      <w:r>
        <w:rPr>
          <w:rFonts w:ascii="Arial" w:eastAsia="Times New Roman" w:hAnsi="Arial" w:cs="Arial"/>
          <w:bCs w:val="0"/>
          <w:szCs w:val="24"/>
        </w:rPr>
        <w:fldChar w:fldCharType="end"/>
      </w:r>
    </w:p>
    <w:p>
      <w:pPr>
        <w:pStyle w:val="Sd"/>
        <w:keepLines/>
        <w:widowControl/>
        <w:spacing w:after="60"/>
        <w:rPr>
          <w:rFonts w:cs="Arial"/>
          <w:sz w:val="16"/>
          <w:szCs w:val="20"/>
        </w:rPr>
      </w:pPr>
      <w:r>
        <w:rPr>
          <w:rFonts w:cs="Arial"/>
        </w:rPr>
        <w:t>Количество точек (фитингов) подвода смазки в седла крана шарового надземной установки</w:t>
      </w:r>
    </w:p>
    <w:tbl>
      <w:tblPr>
        <w:tblStyle w:val="aff6"/>
        <w:tblW w:w="5000" w:type="pct"/>
        <w:tblLayout w:type="fixed"/>
        <w:tblLook w:val="04A0" w:firstRow="1" w:lastRow="0" w:firstColumn="1" w:lastColumn="0" w:noHBand="0" w:noVBand="1"/>
      </w:tblPr>
      <w:tblGrid>
        <w:gridCol w:w="392"/>
        <w:gridCol w:w="1559"/>
        <w:gridCol w:w="3402"/>
        <w:gridCol w:w="4501"/>
      </w:tblGrid>
      <w:tr>
        <w:trPr>
          <w:trHeight w:val="620"/>
          <w:tblHeader/>
        </w:trPr>
        <w:tc>
          <w:tcPr>
            <w:tcW w:w="199" w:type="pct"/>
            <w:tcBorders>
              <w:top w:val="single" w:sz="12" w:space="0" w:color="auto"/>
              <w:left w:val="single" w:sz="12" w:space="0" w:color="auto"/>
              <w:bottom w:val="single" w:sz="12" w:space="0" w:color="auto"/>
              <w:right w:val="single" w:sz="6" w:space="0" w:color="auto"/>
            </w:tcBorders>
            <w:shd w:val="clear" w:color="auto" w:fill="FFD200"/>
            <w:vAlign w:val="center"/>
          </w:tcPr>
          <w:p>
            <w:pPr>
              <w:keepNext/>
              <w:keepLines/>
              <w:spacing w:before="20" w:after="20"/>
              <w:ind w:left="-142" w:right="-108"/>
              <w:jc w:val="center"/>
              <w:rPr>
                <w:rFonts w:ascii="Arial" w:eastAsia="Times New Roman" w:hAnsi="Arial" w:cs="Arial"/>
                <w:b/>
                <w:sz w:val="16"/>
                <w:szCs w:val="20"/>
              </w:rPr>
            </w:pPr>
            <w:r>
              <w:rPr>
                <w:rFonts w:ascii="Arial" w:eastAsia="Times New Roman" w:hAnsi="Arial" w:cs="Arial"/>
                <w:b/>
                <w:sz w:val="16"/>
                <w:szCs w:val="20"/>
              </w:rPr>
              <w:t xml:space="preserve">№ </w:t>
            </w:r>
          </w:p>
          <w:p>
            <w:pPr>
              <w:keepNext/>
              <w:keepLines/>
              <w:spacing w:before="20" w:after="20"/>
              <w:ind w:left="-142" w:right="-108"/>
              <w:jc w:val="center"/>
              <w:rPr>
                <w:rFonts w:ascii="Arial" w:eastAsia="Times New Roman" w:hAnsi="Arial" w:cs="Arial"/>
                <w:b/>
                <w:sz w:val="16"/>
                <w:szCs w:val="20"/>
              </w:rPr>
            </w:pPr>
            <w:r>
              <w:rPr>
                <w:rFonts w:ascii="Arial" w:eastAsia="Times New Roman" w:hAnsi="Arial" w:cs="Arial"/>
                <w:b/>
                <w:sz w:val="16"/>
                <w:szCs w:val="20"/>
              </w:rPr>
              <w:t>П/П</w:t>
            </w:r>
          </w:p>
        </w:tc>
        <w:tc>
          <w:tcPr>
            <w:tcW w:w="791"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keepLines/>
              <w:spacing w:before="20" w:after="20"/>
              <w:jc w:val="center"/>
              <w:rPr>
                <w:rFonts w:ascii="Arial" w:eastAsia="Times New Roman" w:hAnsi="Arial" w:cs="Arial"/>
                <w:b/>
                <w:sz w:val="16"/>
                <w:szCs w:val="20"/>
              </w:rPr>
            </w:pPr>
            <w:r>
              <w:rPr>
                <w:rFonts w:ascii="Arial" w:eastAsia="Times New Roman" w:hAnsi="Arial" w:cs="Arial"/>
                <w:b/>
                <w:sz w:val="16"/>
                <w:szCs w:val="20"/>
                <w:lang w:val="en-US"/>
              </w:rPr>
              <w:t>DN</w:t>
            </w:r>
            <w:r>
              <w:rPr>
                <w:rFonts w:ascii="Arial" w:eastAsia="Times New Roman" w:hAnsi="Arial" w:cs="Arial"/>
                <w:b/>
                <w:sz w:val="16"/>
                <w:szCs w:val="20"/>
              </w:rPr>
              <w:t xml:space="preserve">, ММ </w:t>
            </w:r>
          </w:p>
        </w:tc>
        <w:tc>
          <w:tcPr>
            <w:tcW w:w="1726" w:type="pct"/>
            <w:tcBorders>
              <w:top w:val="single" w:sz="12" w:space="0" w:color="auto"/>
              <w:left w:val="single" w:sz="6" w:space="0" w:color="auto"/>
              <w:bottom w:val="single" w:sz="12" w:space="0" w:color="auto"/>
              <w:right w:val="single" w:sz="6" w:space="0" w:color="auto"/>
            </w:tcBorders>
            <w:shd w:val="clear" w:color="auto" w:fill="FFD200"/>
          </w:tcPr>
          <w:p>
            <w:pPr>
              <w:keepNext/>
              <w:keepLines/>
              <w:spacing w:before="20" w:after="20"/>
              <w:ind w:left="-108" w:right="-108"/>
              <w:jc w:val="center"/>
              <w:rPr>
                <w:rFonts w:ascii="Arial" w:eastAsia="Times New Roman" w:hAnsi="Arial" w:cs="Arial"/>
                <w:b/>
                <w:sz w:val="16"/>
                <w:szCs w:val="20"/>
              </w:rPr>
            </w:pPr>
            <w:r>
              <w:rPr>
                <w:rFonts w:ascii="Arial" w:eastAsia="Times New Roman" w:hAnsi="Arial" w:cs="Arial"/>
                <w:b/>
                <w:sz w:val="16"/>
                <w:szCs w:val="20"/>
              </w:rPr>
              <w:t xml:space="preserve">КОЛИЧЕСТВО ТОЧЕК (ФИТИНГОВ) ПОДВОДА СМАЗКИ НА КОРПУСЕ КРАНА </w:t>
            </w:r>
          </w:p>
          <w:p>
            <w:pPr>
              <w:keepNext/>
              <w:keepLines/>
              <w:spacing w:before="20" w:after="20"/>
              <w:ind w:left="-108" w:right="-108"/>
              <w:jc w:val="center"/>
              <w:rPr>
                <w:rFonts w:ascii="Arial" w:eastAsia="Times New Roman" w:hAnsi="Arial" w:cs="Arial"/>
                <w:b/>
                <w:sz w:val="16"/>
                <w:szCs w:val="20"/>
              </w:rPr>
            </w:pPr>
            <w:r>
              <w:rPr>
                <w:rFonts w:ascii="Arial" w:eastAsia="Times New Roman" w:hAnsi="Arial" w:cs="Arial"/>
                <w:b/>
                <w:sz w:val="16"/>
                <w:szCs w:val="20"/>
              </w:rPr>
              <w:t>В КАЖДОЕ СЕДЛО, ШТ., НЕ МЕНЕЕ</w:t>
            </w:r>
          </w:p>
        </w:tc>
        <w:tc>
          <w:tcPr>
            <w:tcW w:w="2284" w:type="pct"/>
            <w:tcBorders>
              <w:top w:val="single" w:sz="12" w:space="0" w:color="auto"/>
              <w:left w:val="single" w:sz="6" w:space="0" w:color="auto"/>
              <w:bottom w:val="single" w:sz="12" w:space="0" w:color="auto"/>
              <w:right w:val="single" w:sz="12" w:space="0" w:color="auto"/>
            </w:tcBorders>
            <w:shd w:val="clear" w:color="auto" w:fill="FFD200"/>
            <w:vAlign w:val="center"/>
          </w:tcPr>
          <w:p>
            <w:pPr>
              <w:keepNext/>
              <w:keepLines/>
              <w:spacing w:before="20" w:after="20"/>
              <w:jc w:val="center"/>
              <w:rPr>
                <w:rFonts w:ascii="Arial" w:eastAsia="Times New Roman" w:hAnsi="Arial" w:cs="Arial"/>
                <w:b/>
                <w:sz w:val="16"/>
                <w:szCs w:val="20"/>
              </w:rPr>
            </w:pPr>
            <w:r>
              <w:rPr>
                <w:rFonts w:ascii="Arial" w:eastAsia="Times New Roman" w:hAnsi="Arial" w:cs="Arial"/>
                <w:b/>
                <w:sz w:val="16"/>
                <w:szCs w:val="20"/>
              </w:rPr>
              <w:t>РЕКОМЕНДУЕМОЕ РАСПОЛОЖЕНИЕ ТОЧЕК ПОДВОДА СМАЗКИ (ПО ЧАСОВОМУ ЦИФЕРБЛАТУ С ОСЬЮ, СОВПАДАЮЩЕЙ С ОСЬЮ ТРУБОПРОВОДА)</w:t>
            </w:r>
          </w:p>
        </w:tc>
      </w:tr>
      <w:tr>
        <w:trPr>
          <w:tblHeader/>
        </w:trPr>
        <w:tc>
          <w:tcPr>
            <w:tcW w:w="199" w:type="pct"/>
            <w:tcBorders>
              <w:top w:val="single" w:sz="12" w:space="0" w:color="auto"/>
              <w:left w:val="single" w:sz="12" w:space="0" w:color="auto"/>
              <w:bottom w:val="single" w:sz="12" w:space="0" w:color="auto"/>
              <w:right w:val="single" w:sz="6" w:space="0" w:color="auto"/>
            </w:tcBorders>
            <w:shd w:val="clear" w:color="auto" w:fill="FFD200"/>
            <w:vAlign w:val="center"/>
          </w:tcPr>
          <w:p>
            <w:pPr>
              <w:spacing w:before="20" w:after="20"/>
              <w:jc w:val="center"/>
              <w:rPr>
                <w:rFonts w:ascii="Arial" w:eastAsia="Times New Roman" w:hAnsi="Arial" w:cs="Arial"/>
                <w:b/>
                <w:bCs/>
                <w:sz w:val="16"/>
                <w:szCs w:val="16"/>
                <w:lang w:val="en-US"/>
              </w:rPr>
            </w:pPr>
            <w:r>
              <w:rPr>
                <w:rFonts w:ascii="Arial" w:eastAsia="Times New Roman" w:hAnsi="Arial" w:cs="Arial"/>
                <w:b/>
                <w:bCs/>
                <w:sz w:val="16"/>
                <w:szCs w:val="16"/>
                <w:lang w:val="en-US"/>
              </w:rPr>
              <w:t>1</w:t>
            </w:r>
          </w:p>
        </w:tc>
        <w:tc>
          <w:tcPr>
            <w:tcW w:w="791"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20" w:after="20"/>
              <w:jc w:val="center"/>
              <w:rPr>
                <w:rFonts w:ascii="Arial" w:eastAsia="Times New Roman" w:hAnsi="Arial" w:cs="Arial"/>
                <w:b/>
                <w:bCs/>
                <w:sz w:val="16"/>
                <w:szCs w:val="16"/>
                <w:lang w:val="en-US"/>
              </w:rPr>
            </w:pPr>
            <w:r>
              <w:rPr>
                <w:rFonts w:ascii="Arial" w:eastAsia="Times New Roman" w:hAnsi="Arial" w:cs="Arial"/>
                <w:b/>
                <w:bCs/>
                <w:sz w:val="16"/>
                <w:szCs w:val="16"/>
                <w:lang w:val="en-US"/>
              </w:rPr>
              <w:t>2</w:t>
            </w:r>
          </w:p>
        </w:tc>
        <w:tc>
          <w:tcPr>
            <w:tcW w:w="1726" w:type="pct"/>
            <w:tcBorders>
              <w:top w:val="single" w:sz="12" w:space="0" w:color="auto"/>
              <w:left w:val="single" w:sz="6" w:space="0" w:color="auto"/>
              <w:bottom w:val="single" w:sz="12" w:space="0" w:color="auto"/>
              <w:right w:val="single" w:sz="6" w:space="0" w:color="auto"/>
            </w:tcBorders>
            <w:shd w:val="clear" w:color="auto" w:fill="FFD200"/>
          </w:tcPr>
          <w:p>
            <w:pPr>
              <w:spacing w:before="20" w:after="20"/>
              <w:jc w:val="center"/>
              <w:rPr>
                <w:rFonts w:ascii="Arial" w:eastAsia="Times New Roman" w:hAnsi="Arial" w:cs="Arial"/>
                <w:b/>
                <w:bCs/>
                <w:sz w:val="16"/>
                <w:szCs w:val="16"/>
              </w:rPr>
            </w:pPr>
            <w:r>
              <w:rPr>
                <w:rFonts w:ascii="Arial" w:eastAsia="Times New Roman" w:hAnsi="Arial" w:cs="Arial"/>
                <w:b/>
                <w:bCs/>
                <w:sz w:val="16"/>
                <w:szCs w:val="16"/>
              </w:rPr>
              <w:t>3</w:t>
            </w:r>
          </w:p>
        </w:tc>
        <w:tc>
          <w:tcPr>
            <w:tcW w:w="2284" w:type="pct"/>
            <w:tcBorders>
              <w:top w:val="single" w:sz="12" w:space="0" w:color="auto"/>
              <w:left w:val="single" w:sz="6" w:space="0" w:color="auto"/>
              <w:bottom w:val="single" w:sz="12" w:space="0" w:color="auto"/>
              <w:right w:val="single" w:sz="12" w:space="0" w:color="auto"/>
            </w:tcBorders>
            <w:shd w:val="clear" w:color="auto" w:fill="FFD200"/>
            <w:vAlign w:val="center"/>
          </w:tcPr>
          <w:p>
            <w:pPr>
              <w:spacing w:before="20" w:after="20"/>
              <w:jc w:val="center"/>
              <w:rPr>
                <w:rFonts w:ascii="Arial" w:eastAsia="Times New Roman" w:hAnsi="Arial" w:cs="Arial"/>
                <w:b/>
                <w:bCs/>
                <w:sz w:val="16"/>
                <w:szCs w:val="16"/>
              </w:rPr>
            </w:pPr>
            <w:r>
              <w:rPr>
                <w:rFonts w:ascii="Arial" w:eastAsia="Times New Roman" w:hAnsi="Arial" w:cs="Arial"/>
                <w:b/>
                <w:bCs/>
                <w:sz w:val="16"/>
                <w:szCs w:val="16"/>
              </w:rPr>
              <w:t>4</w:t>
            </w:r>
          </w:p>
        </w:tc>
      </w:tr>
      <w:tr>
        <w:trPr>
          <w:trHeight w:val="340"/>
        </w:trPr>
        <w:tc>
          <w:tcPr>
            <w:tcW w:w="199" w:type="pct"/>
            <w:tcBorders>
              <w:top w:val="single" w:sz="12" w:space="0" w:color="auto"/>
              <w:left w:val="single" w:sz="12" w:space="0" w:color="auto"/>
              <w:bottom w:val="single" w:sz="6"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1</w:t>
            </w:r>
          </w:p>
        </w:tc>
        <w:tc>
          <w:tcPr>
            <w:tcW w:w="791" w:type="pct"/>
            <w:tcBorders>
              <w:top w:val="single" w:sz="12"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 xml:space="preserve">От 100 до 250 </w:t>
            </w:r>
          </w:p>
        </w:tc>
        <w:tc>
          <w:tcPr>
            <w:tcW w:w="1726" w:type="pct"/>
            <w:tcBorders>
              <w:top w:val="single" w:sz="12"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1</w:t>
            </w:r>
          </w:p>
        </w:tc>
        <w:tc>
          <w:tcPr>
            <w:tcW w:w="2284" w:type="pct"/>
            <w:tcBorders>
              <w:top w:val="single" w:sz="12" w:space="0" w:color="auto"/>
              <w:left w:val="single" w:sz="6" w:space="0" w:color="auto"/>
              <w:bottom w:val="single" w:sz="6" w:space="0" w:color="auto"/>
              <w:right w:val="single" w:sz="12" w:space="0" w:color="auto"/>
            </w:tcBorders>
            <w:shd w:val="clear" w:color="auto" w:fill="FFFFFF" w:themeFill="background1"/>
          </w:tcPr>
          <w:p>
            <w:pPr>
              <w:jc w:val="left"/>
              <w:rPr>
                <w:rFonts w:eastAsia="Times New Roman"/>
                <w:bCs/>
                <w:sz w:val="20"/>
                <w:vertAlign w:val="superscript"/>
              </w:rPr>
            </w:pPr>
            <w:r>
              <w:rPr>
                <w:rFonts w:eastAsia="Times New Roman"/>
                <w:bCs/>
                <w:sz w:val="20"/>
              </w:rPr>
              <w:t>12</w:t>
            </w:r>
            <w:r>
              <w:rPr>
                <w:rFonts w:eastAsia="Times New Roman"/>
                <w:bCs/>
                <w:sz w:val="20"/>
                <w:vertAlign w:val="superscript"/>
              </w:rPr>
              <w:t>00</w:t>
            </w:r>
          </w:p>
        </w:tc>
      </w:tr>
      <w:tr>
        <w:trPr>
          <w:trHeight w:val="340"/>
        </w:trPr>
        <w:tc>
          <w:tcPr>
            <w:tcW w:w="199" w:type="pct"/>
            <w:tcBorders>
              <w:top w:val="single" w:sz="6" w:space="0" w:color="auto"/>
              <w:left w:val="single" w:sz="12" w:space="0" w:color="auto"/>
              <w:bottom w:val="single" w:sz="6"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2</w:t>
            </w:r>
          </w:p>
        </w:tc>
        <w:tc>
          <w:tcPr>
            <w:tcW w:w="791"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От 300 до 500 включительно</w:t>
            </w:r>
          </w:p>
        </w:tc>
        <w:tc>
          <w:tcPr>
            <w:tcW w:w="1726"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2</w:t>
            </w:r>
          </w:p>
        </w:tc>
        <w:tc>
          <w:tcPr>
            <w:tcW w:w="2284" w:type="pct"/>
            <w:tcBorders>
              <w:top w:val="single" w:sz="6" w:space="0" w:color="auto"/>
              <w:left w:val="single" w:sz="6" w:space="0" w:color="auto"/>
              <w:bottom w:val="single" w:sz="6" w:space="0" w:color="auto"/>
              <w:right w:val="single" w:sz="12" w:space="0" w:color="auto"/>
            </w:tcBorders>
            <w:shd w:val="clear" w:color="auto" w:fill="FFFFFF" w:themeFill="background1"/>
          </w:tcPr>
          <w:p>
            <w:pPr>
              <w:jc w:val="left"/>
              <w:rPr>
                <w:rFonts w:eastAsia="Times New Roman"/>
                <w:bCs/>
                <w:sz w:val="20"/>
                <w:vertAlign w:val="superscript"/>
              </w:rPr>
            </w:pPr>
            <w:r>
              <w:rPr>
                <w:rFonts w:eastAsia="Times New Roman"/>
                <w:bCs/>
                <w:sz w:val="20"/>
              </w:rPr>
              <w:t>3</w:t>
            </w:r>
            <w:r>
              <w:rPr>
                <w:rFonts w:eastAsia="Times New Roman"/>
                <w:bCs/>
                <w:sz w:val="20"/>
                <w:vertAlign w:val="superscript"/>
              </w:rPr>
              <w:t xml:space="preserve">00 </w:t>
            </w:r>
            <w:r>
              <w:rPr>
                <w:rFonts w:eastAsia="Times New Roman"/>
                <w:bCs/>
                <w:sz w:val="20"/>
              </w:rPr>
              <w:t>и 9</w:t>
            </w:r>
            <w:r>
              <w:rPr>
                <w:rFonts w:eastAsia="Times New Roman"/>
                <w:bCs/>
                <w:sz w:val="20"/>
                <w:vertAlign w:val="superscript"/>
              </w:rPr>
              <w:t>00</w:t>
            </w:r>
          </w:p>
        </w:tc>
      </w:tr>
      <w:tr>
        <w:trPr>
          <w:trHeight w:val="340"/>
        </w:trPr>
        <w:tc>
          <w:tcPr>
            <w:tcW w:w="199" w:type="pct"/>
            <w:tcBorders>
              <w:top w:val="single" w:sz="6" w:space="0" w:color="auto"/>
              <w:left w:val="single" w:sz="12" w:space="0" w:color="auto"/>
              <w:bottom w:val="single" w:sz="12"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3</w:t>
            </w:r>
          </w:p>
        </w:tc>
        <w:tc>
          <w:tcPr>
            <w:tcW w:w="791" w:type="pct"/>
            <w:tcBorders>
              <w:top w:val="single" w:sz="6" w:space="0" w:color="auto"/>
              <w:left w:val="single" w:sz="6" w:space="0" w:color="auto"/>
              <w:bottom w:val="single" w:sz="12" w:space="0" w:color="auto"/>
              <w:right w:val="single" w:sz="6" w:space="0" w:color="auto"/>
            </w:tcBorders>
            <w:shd w:val="clear" w:color="auto" w:fill="FFFFFF" w:themeFill="background1"/>
          </w:tcPr>
          <w:p>
            <w:pPr>
              <w:jc w:val="left"/>
              <w:rPr>
                <w:rFonts w:eastAsia="Times New Roman"/>
                <w:bCs/>
                <w:sz w:val="20"/>
                <w:szCs w:val="20"/>
                <w:lang w:val="en-US"/>
              </w:rPr>
            </w:pPr>
            <w:r>
              <w:rPr>
                <w:rFonts w:eastAsia="Times New Roman"/>
                <w:bCs/>
                <w:sz w:val="20"/>
                <w:szCs w:val="20"/>
              </w:rPr>
              <w:t>Свыше 500</w:t>
            </w:r>
          </w:p>
        </w:tc>
        <w:tc>
          <w:tcPr>
            <w:tcW w:w="1726" w:type="pct"/>
            <w:tcBorders>
              <w:top w:val="single" w:sz="6" w:space="0" w:color="auto"/>
              <w:left w:val="single" w:sz="6" w:space="0" w:color="auto"/>
              <w:bottom w:val="single" w:sz="12" w:space="0" w:color="auto"/>
              <w:right w:val="single" w:sz="6" w:space="0" w:color="auto"/>
            </w:tcBorders>
            <w:shd w:val="clear" w:color="auto" w:fill="FFFFFF" w:themeFill="background1"/>
          </w:tcPr>
          <w:p>
            <w:pPr>
              <w:jc w:val="left"/>
              <w:rPr>
                <w:rFonts w:eastAsia="Times New Roman"/>
                <w:bCs/>
                <w:sz w:val="20"/>
              </w:rPr>
            </w:pPr>
            <w:r>
              <w:rPr>
                <w:rFonts w:eastAsia="Times New Roman"/>
                <w:bCs/>
                <w:sz w:val="20"/>
              </w:rPr>
              <w:t>4</w:t>
            </w:r>
          </w:p>
        </w:tc>
        <w:tc>
          <w:tcPr>
            <w:tcW w:w="2284" w:type="pct"/>
            <w:tcBorders>
              <w:top w:val="single" w:sz="6" w:space="0" w:color="auto"/>
              <w:left w:val="single" w:sz="6" w:space="0" w:color="auto"/>
              <w:bottom w:val="single" w:sz="12" w:space="0" w:color="auto"/>
              <w:right w:val="single" w:sz="12" w:space="0" w:color="auto"/>
            </w:tcBorders>
            <w:shd w:val="clear" w:color="auto" w:fill="FFFFFF" w:themeFill="background1"/>
          </w:tcPr>
          <w:p>
            <w:pPr>
              <w:jc w:val="left"/>
              <w:rPr>
                <w:rFonts w:eastAsia="Times New Roman"/>
                <w:bCs/>
                <w:sz w:val="20"/>
              </w:rPr>
            </w:pPr>
            <w:r>
              <w:rPr>
                <w:rFonts w:eastAsia="Times New Roman"/>
                <w:bCs/>
                <w:sz w:val="20"/>
              </w:rPr>
              <w:t>2</w:t>
            </w:r>
            <w:r>
              <w:rPr>
                <w:rFonts w:eastAsia="Times New Roman"/>
                <w:bCs/>
                <w:sz w:val="20"/>
                <w:vertAlign w:val="superscript"/>
              </w:rPr>
              <w:t>00</w:t>
            </w:r>
            <w:r>
              <w:rPr>
                <w:rFonts w:eastAsia="Times New Roman"/>
                <w:bCs/>
                <w:sz w:val="20"/>
              </w:rPr>
              <w:t>, 4</w:t>
            </w:r>
            <w:r>
              <w:rPr>
                <w:rFonts w:eastAsia="Times New Roman"/>
                <w:bCs/>
                <w:sz w:val="20"/>
                <w:vertAlign w:val="superscript"/>
              </w:rPr>
              <w:t>00</w:t>
            </w:r>
            <w:r>
              <w:rPr>
                <w:rFonts w:eastAsia="Times New Roman"/>
                <w:bCs/>
                <w:sz w:val="20"/>
              </w:rPr>
              <w:t>, 8</w:t>
            </w:r>
            <w:r>
              <w:rPr>
                <w:rFonts w:eastAsia="Times New Roman"/>
                <w:bCs/>
                <w:sz w:val="20"/>
                <w:vertAlign w:val="superscript"/>
              </w:rPr>
              <w:t>00</w:t>
            </w:r>
            <w:r>
              <w:rPr>
                <w:rFonts w:eastAsia="Times New Roman"/>
                <w:bCs/>
                <w:sz w:val="20"/>
              </w:rPr>
              <w:t xml:space="preserve"> и 10</w:t>
            </w:r>
            <w:r>
              <w:rPr>
                <w:rFonts w:eastAsia="Times New Roman"/>
                <w:bCs/>
                <w:sz w:val="20"/>
                <w:vertAlign w:val="superscript"/>
              </w:rPr>
              <w:t xml:space="preserve">00 </w:t>
            </w:r>
            <w:r>
              <w:rPr>
                <w:rFonts w:eastAsia="Times New Roman"/>
                <w:bCs/>
                <w:sz w:val="20"/>
              </w:rPr>
              <w:t>или</w:t>
            </w:r>
            <w:r>
              <w:rPr>
                <w:rFonts w:eastAsia="Times New Roman"/>
                <w:bCs/>
                <w:sz w:val="20"/>
                <w:lang w:val="en-US"/>
              </w:rPr>
              <w:t xml:space="preserve"> </w:t>
            </w:r>
            <w:r>
              <w:rPr>
                <w:rFonts w:eastAsia="Times New Roman"/>
                <w:bCs/>
                <w:sz w:val="20"/>
              </w:rPr>
              <w:t>1</w:t>
            </w:r>
            <w:r>
              <w:rPr>
                <w:rFonts w:eastAsia="Times New Roman"/>
                <w:bCs/>
                <w:sz w:val="20"/>
                <w:vertAlign w:val="superscript"/>
              </w:rPr>
              <w:t>30</w:t>
            </w:r>
            <w:r>
              <w:rPr>
                <w:rFonts w:eastAsia="Times New Roman"/>
                <w:bCs/>
                <w:sz w:val="20"/>
              </w:rPr>
              <w:t>, 4</w:t>
            </w:r>
            <w:r>
              <w:rPr>
                <w:rFonts w:eastAsia="Times New Roman"/>
                <w:bCs/>
                <w:sz w:val="20"/>
                <w:vertAlign w:val="superscript"/>
              </w:rPr>
              <w:t>30</w:t>
            </w:r>
            <w:r>
              <w:rPr>
                <w:rFonts w:eastAsia="Times New Roman"/>
                <w:bCs/>
                <w:sz w:val="20"/>
              </w:rPr>
              <w:t>, 7</w:t>
            </w:r>
            <w:r>
              <w:rPr>
                <w:rFonts w:eastAsia="Times New Roman"/>
                <w:bCs/>
                <w:sz w:val="20"/>
                <w:vertAlign w:val="superscript"/>
              </w:rPr>
              <w:t>30</w:t>
            </w:r>
            <w:r>
              <w:rPr>
                <w:rFonts w:eastAsia="Times New Roman"/>
                <w:bCs/>
                <w:sz w:val="20"/>
              </w:rPr>
              <w:t xml:space="preserve"> и 10</w:t>
            </w:r>
            <w:r>
              <w:rPr>
                <w:rFonts w:eastAsia="Times New Roman"/>
                <w:bCs/>
                <w:sz w:val="20"/>
                <w:vertAlign w:val="superscript"/>
              </w:rPr>
              <w:t>30</w:t>
            </w:r>
          </w:p>
        </w:tc>
      </w:tr>
    </w:tbl>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rPr>
      </w:pPr>
      <w:r>
        <w:rPr>
          <w:rFonts w:eastAsia="Times New Roman"/>
        </w:rPr>
        <w:t>В кранах шаровых, подземного исполнения, должны быть предусмотрены трубки подачи герметизирующей смазки, выведенные на уровень верхнего фланца колонны.</w:t>
      </w:r>
    </w:p>
    <w:p>
      <w:pPr>
        <w:widowControl w:val="0"/>
        <w:shd w:val="clear" w:color="auto" w:fill="FFFFFF"/>
        <w:autoSpaceDE w:val="0"/>
        <w:autoSpaceDN w:val="0"/>
        <w:adjustRightInd w:val="0"/>
        <w:rPr>
          <w:rFonts w:eastAsia="Times New Roman"/>
        </w:rPr>
      </w:pPr>
    </w:p>
    <w:p>
      <w:pPr>
        <w:widowControl w:val="0"/>
        <w:shd w:val="clear" w:color="auto" w:fill="FFFFFF"/>
        <w:autoSpaceDE w:val="0"/>
        <w:autoSpaceDN w:val="0"/>
        <w:adjustRightInd w:val="0"/>
        <w:rPr>
          <w:rFonts w:eastAsia="Times New Roman"/>
        </w:rPr>
      </w:pPr>
      <w:r>
        <w:rPr>
          <w:rFonts w:eastAsia="Times New Roman"/>
        </w:rPr>
        <w:t>Количество точек подвода смазки в седла крана подземной установки и их рекомендуемое расположение приведено в Таблице 14.</w:t>
      </w:r>
    </w:p>
    <w:p>
      <w:pPr>
        <w:widowControl w:val="0"/>
        <w:shd w:val="clear" w:color="auto" w:fill="FFFFFF"/>
        <w:autoSpaceDE w:val="0"/>
        <w:autoSpaceDN w:val="0"/>
        <w:adjustRightInd w:val="0"/>
        <w:rPr>
          <w:rFonts w:eastAsia="Times New Roman"/>
        </w:rPr>
      </w:pPr>
    </w:p>
    <w:p>
      <w:pPr>
        <w:pStyle w:val="af3"/>
        <w:jc w:val="right"/>
        <w:rPr>
          <w:rFonts w:ascii="Arial" w:hAnsi="Arial" w:cs="Arial"/>
          <w:b w:val="0"/>
          <w:bCs w:val="0"/>
        </w:rPr>
      </w:pPr>
      <w:r>
        <w:rPr>
          <w:rFonts w:ascii="Arial" w:eastAsia="Times New Roman" w:hAnsi="Arial" w:cs="Arial"/>
          <w:bCs w:val="0"/>
          <w:szCs w:val="24"/>
        </w:rPr>
        <w:t xml:space="preserve">Таблица </w:t>
      </w:r>
      <w:r>
        <w:rPr>
          <w:rFonts w:ascii="Arial" w:eastAsia="Times New Roman" w:hAnsi="Arial" w:cs="Arial"/>
          <w:bCs w:val="0"/>
          <w:szCs w:val="24"/>
        </w:rPr>
        <w:fldChar w:fldCharType="begin"/>
      </w:r>
      <w:r>
        <w:rPr>
          <w:rFonts w:ascii="Arial" w:eastAsia="Times New Roman" w:hAnsi="Arial" w:cs="Arial"/>
          <w:bCs w:val="0"/>
          <w:szCs w:val="24"/>
        </w:rPr>
        <w:instrText xml:space="preserve"> SEQ Таблица \* ARABIC </w:instrText>
      </w:r>
      <w:r>
        <w:rPr>
          <w:rFonts w:ascii="Arial" w:eastAsia="Times New Roman" w:hAnsi="Arial" w:cs="Arial"/>
          <w:bCs w:val="0"/>
          <w:szCs w:val="24"/>
        </w:rPr>
        <w:fldChar w:fldCharType="separate"/>
      </w:r>
      <w:r>
        <w:rPr>
          <w:rFonts w:ascii="Arial" w:eastAsia="Times New Roman" w:hAnsi="Arial" w:cs="Arial"/>
          <w:bCs w:val="0"/>
          <w:noProof/>
          <w:szCs w:val="24"/>
        </w:rPr>
        <w:t>14</w:t>
      </w:r>
      <w:r>
        <w:rPr>
          <w:rFonts w:ascii="Arial" w:eastAsia="Times New Roman" w:hAnsi="Arial" w:cs="Arial"/>
          <w:bCs w:val="0"/>
          <w:szCs w:val="24"/>
        </w:rPr>
        <w:fldChar w:fldCharType="end"/>
      </w:r>
    </w:p>
    <w:p>
      <w:pPr>
        <w:keepNext/>
        <w:widowControl w:val="0"/>
        <w:spacing w:after="60"/>
        <w:jc w:val="right"/>
        <w:rPr>
          <w:rFonts w:ascii="Arial" w:eastAsia="Times New Roman" w:hAnsi="Arial" w:cs="Arial"/>
          <w:b/>
          <w:sz w:val="16"/>
          <w:szCs w:val="20"/>
        </w:rPr>
      </w:pPr>
      <w:r>
        <w:rPr>
          <w:rFonts w:ascii="Arial" w:eastAsia="Times New Roman" w:hAnsi="Arial" w:cs="Arial"/>
          <w:b/>
          <w:sz w:val="20"/>
        </w:rPr>
        <w:t>Количество точек (фитингов) подвода смазки в седла крана шарового подземной установки</w:t>
      </w:r>
    </w:p>
    <w:tbl>
      <w:tblPr>
        <w:tblStyle w:val="44"/>
        <w:tblW w:w="5000" w:type="pct"/>
        <w:tblLook w:val="04A0" w:firstRow="1" w:lastRow="0" w:firstColumn="1" w:lastColumn="0" w:noHBand="0" w:noVBand="1"/>
      </w:tblPr>
      <w:tblGrid>
        <w:gridCol w:w="392"/>
        <w:gridCol w:w="1561"/>
        <w:gridCol w:w="2779"/>
        <w:gridCol w:w="1614"/>
        <w:gridCol w:w="3508"/>
      </w:tblGrid>
      <w:tr>
        <w:trPr>
          <w:trHeight w:val="851"/>
          <w:tblHeader/>
        </w:trPr>
        <w:tc>
          <w:tcPr>
            <w:tcW w:w="199" w:type="pct"/>
            <w:tcBorders>
              <w:top w:val="single" w:sz="12" w:space="0" w:color="auto"/>
              <w:left w:val="single" w:sz="12" w:space="0" w:color="auto"/>
              <w:bottom w:val="single" w:sz="12" w:space="0" w:color="auto"/>
              <w:right w:val="single" w:sz="6" w:space="0" w:color="auto"/>
            </w:tcBorders>
            <w:shd w:val="clear" w:color="auto" w:fill="FFD200"/>
            <w:vAlign w:val="center"/>
          </w:tcPr>
          <w:p>
            <w:pPr>
              <w:spacing w:before="20" w:after="20"/>
              <w:ind w:left="-142" w:right="-108"/>
              <w:jc w:val="center"/>
              <w:rPr>
                <w:rFonts w:ascii="Arial" w:eastAsia="Times New Roman" w:hAnsi="Arial" w:cs="Arial"/>
                <w:b/>
                <w:sz w:val="16"/>
                <w:szCs w:val="20"/>
              </w:rPr>
            </w:pPr>
            <w:r>
              <w:rPr>
                <w:rFonts w:ascii="Arial" w:eastAsia="Times New Roman" w:hAnsi="Arial" w:cs="Arial"/>
                <w:b/>
                <w:sz w:val="16"/>
                <w:szCs w:val="20"/>
              </w:rPr>
              <w:t>№</w:t>
            </w:r>
          </w:p>
          <w:p>
            <w:pPr>
              <w:spacing w:before="20" w:after="20"/>
              <w:ind w:left="-142" w:right="-108"/>
              <w:jc w:val="center"/>
              <w:rPr>
                <w:rFonts w:ascii="Arial" w:eastAsia="Times New Roman" w:hAnsi="Arial" w:cs="Arial"/>
                <w:b/>
                <w:sz w:val="16"/>
                <w:szCs w:val="20"/>
              </w:rPr>
            </w:pPr>
            <w:r>
              <w:rPr>
                <w:rFonts w:ascii="Arial" w:eastAsia="Times New Roman" w:hAnsi="Arial" w:cs="Arial"/>
                <w:b/>
                <w:sz w:val="16"/>
                <w:szCs w:val="20"/>
              </w:rPr>
              <w:t>П/П</w:t>
            </w:r>
          </w:p>
        </w:tc>
        <w:tc>
          <w:tcPr>
            <w:tcW w:w="792"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20" w:after="20"/>
              <w:jc w:val="center"/>
              <w:rPr>
                <w:rFonts w:ascii="Arial" w:eastAsia="Times New Roman" w:hAnsi="Arial" w:cs="Arial"/>
                <w:b/>
                <w:sz w:val="16"/>
                <w:szCs w:val="20"/>
              </w:rPr>
            </w:pPr>
            <w:r>
              <w:rPr>
                <w:rFonts w:ascii="Arial" w:eastAsia="Times New Roman" w:hAnsi="Arial" w:cs="Arial"/>
                <w:b/>
                <w:sz w:val="16"/>
                <w:szCs w:val="20"/>
                <w:lang w:val="en-US"/>
              </w:rPr>
              <w:t>DN</w:t>
            </w:r>
            <w:r>
              <w:rPr>
                <w:rFonts w:ascii="Arial" w:eastAsia="Times New Roman" w:hAnsi="Arial" w:cs="Arial"/>
                <w:b/>
                <w:sz w:val="16"/>
                <w:szCs w:val="20"/>
              </w:rPr>
              <w:t>, ММ</w:t>
            </w:r>
          </w:p>
        </w:tc>
        <w:tc>
          <w:tcPr>
            <w:tcW w:w="141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20" w:after="20"/>
              <w:ind w:left="-108" w:right="-164"/>
              <w:jc w:val="center"/>
              <w:rPr>
                <w:rFonts w:ascii="Arial" w:eastAsia="Times New Roman" w:hAnsi="Arial" w:cs="Arial"/>
                <w:b/>
                <w:sz w:val="16"/>
                <w:szCs w:val="20"/>
              </w:rPr>
            </w:pPr>
            <w:r>
              <w:rPr>
                <w:rFonts w:ascii="Arial" w:eastAsia="Times New Roman" w:hAnsi="Arial" w:cs="Arial"/>
                <w:b/>
                <w:sz w:val="16"/>
                <w:szCs w:val="20"/>
              </w:rPr>
              <w:t>КОЛИЧЕСТВО ТОЧЕК (ФИТИНГОВ) ПОДВОДА СМАЗКИ НА КОРПУСЕ КРАНА В КАЖДОЕ СЕДЛО, ШТ.,</w:t>
            </w:r>
          </w:p>
          <w:p>
            <w:pPr>
              <w:spacing w:before="20" w:after="20"/>
              <w:ind w:left="-108" w:right="-164"/>
              <w:jc w:val="center"/>
              <w:rPr>
                <w:rFonts w:ascii="Arial" w:eastAsia="Times New Roman" w:hAnsi="Arial" w:cs="Arial"/>
                <w:b/>
                <w:sz w:val="16"/>
                <w:szCs w:val="20"/>
              </w:rPr>
            </w:pPr>
            <w:r>
              <w:rPr>
                <w:rFonts w:ascii="Arial" w:eastAsia="Times New Roman" w:hAnsi="Arial" w:cs="Arial"/>
                <w:b/>
                <w:sz w:val="16"/>
                <w:szCs w:val="20"/>
              </w:rPr>
              <w:t>НЕ МЕНЕЕ</w:t>
            </w:r>
          </w:p>
        </w:tc>
        <w:tc>
          <w:tcPr>
            <w:tcW w:w="819"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20" w:after="20"/>
              <w:ind w:left="-54" w:right="-107"/>
              <w:jc w:val="center"/>
              <w:rPr>
                <w:rFonts w:ascii="Arial" w:eastAsia="Times New Roman" w:hAnsi="Arial" w:cs="Arial"/>
                <w:b/>
                <w:sz w:val="16"/>
                <w:szCs w:val="20"/>
              </w:rPr>
            </w:pPr>
            <w:r>
              <w:rPr>
                <w:rFonts w:ascii="Arial" w:eastAsia="Times New Roman" w:hAnsi="Arial" w:cs="Arial"/>
                <w:b/>
                <w:sz w:val="16"/>
                <w:szCs w:val="20"/>
              </w:rPr>
              <w:t>КОЛИЧЕСТВО ТОЧЕК ПОДВОДА СМАЗКИ В ОДНО СЕДЛО</w:t>
            </w:r>
          </w:p>
        </w:tc>
        <w:tc>
          <w:tcPr>
            <w:tcW w:w="1780" w:type="pct"/>
            <w:tcBorders>
              <w:top w:val="single" w:sz="12" w:space="0" w:color="auto"/>
              <w:left w:val="single" w:sz="6" w:space="0" w:color="auto"/>
              <w:bottom w:val="single" w:sz="12" w:space="0" w:color="auto"/>
              <w:right w:val="single" w:sz="12" w:space="0" w:color="auto"/>
            </w:tcBorders>
            <w:shd w:val="clear" w:color="auto" w:fill="FFD200"/>
            <w:vAlign w:val="center"/>
          </w:tcPr>
          <w:p>
            <w:pPr>
              <w:spacing w:before="20" w:after="20"/>
              <w:ind w:left="-109" w:right="-143"/>
              <w:jc w:val="center"/>
              <w:rPr>
                <w:rFonts w:ascii="Arial" w:eastAsia="Times New Roman" w:hAnsi="Arial" w:cs="Arial"/>
                <w:b/>
                <w:sz w:val="16"/>
                <w:szCs w:val="20"/>
              </w:rPr>
            </w:pPr>
            <w:r>
              <w:rPr>
                <w:rFonts w:ascii="Arial" w:eastAsia="Times New Roman" w:hAnsi="Arial" w:cs="Arial"/>
                <w:b/>
                <w:sz w:val="16"/>
                <w:szCs w:val="20"/>
              </w:rPr>
              <w:t>РЕКОМЕНДУЕМОЕ РАСПОЛОЖЕНИЕ ТОЧЕК ПОДВОДА СМАЗКИ (ПО ЧАСОВОМУ ЦИФЕРБЛАТУ С ОСЬЮ, СОВПАДАЮЩЕЙ С ОСЬЮ ТРУБОПРОВОДА)</w:t>
            </w:r>
          </w:p>
        </w:tc>
      </w:tr>
      <w:tr>
        <w:trPr>
          <w:tblHeader/>
        </w:trPr>
        <w:tc>
          <w:tcPr>
            <w:tcW w:w="199" w:type="pct"/>
            <w:tcBorders>
              <w:top w:val="single" w:sz="12" w:space="0" w:color="auto"/>
              <w:left w:val="single" w:sz="12" w:space="0" w:color="auto"/>
              <w:bottom w:val="single" w:sz="12" w:space="0" w:color="auto"/>
              <w:right w:val="single" w:sz="6" w:space="0" w:color="auto"/>
            </w:tcBorders>
            <w:shd w:val="clear" w:color="auto" w:fill="FFD200"/>
            <w:vAlign w:val="center"/>
          </w:tcPr>
          <w:p>
            <w:pPr>
              <w:spacing w:before="20" w:after="20"/>
              <w:jc w:val="center"/>
              <w:rPr>
                <w:rFonts w:ascii="Arial" w:eastAsia="Times New Roman" w:hAnsi="Arial" w:cs="Arial"/>
                <w:b/>
                <w:bCs/>
                <w:sz w:val="16"/>
                <w:szCs w:val="20"/>
                <w:lang w:val="en-US"/>
              </w:rPr>
            </w:pPr>
            <w:r>
              <w:rPr>
                <w:rFonts w:ascii="Arial" w:eastAsia="Times New Roman" w:hAnsi="Arial" w:cs="Arial"/>
                <w:b/>
                <w:bCs/>
                <w:sz w:val="16"/>
                <w:szCs w:val="20"/>
                <w:lang w:val="en-US"/>
              </w:rPr>
              <w:t>1</w:t>
            </w:r>
          </w:p>
        </w:tc>
        <w:tc>
          <w:tcPr>
            <w:tcW w:w="792"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20" w:after="20"/>
              <w:jc w:val="center"/>
              <w:rPr>
                <w:rFonts w:ascii="Arial" w:eastAsia="Times New Roman" w:hAnsi="Arial" w:cs="Arial"/>
                <w:b/>
                <w:bCs/>
                <w:sz w:val="16"/>
                <w:szCs w:val="20"/>
                <w:lang w:val="en-US"/>
              </w:rPr>
            </w:pPr>
            <w:r>
              <w:rPr>
                <w:rFonts w:ascii="Arial" w:eastAsia="Times New Roman" w:hAnsi="Arial" w:cs="Arial"/>
                <w:b/>
                <w:bCs/>
                <w:sz w:val="16"/>
                <w:szCs w:val="20"/>
                <w:lang w:val="en-US"/>
              </w:rPr>
              <w:t>2</w:t>
            </w:r>
          </w:p>
        </w:tc>
        <w:tc>
          <w:tcPr>
            <w:tcW w:w="1410" w:type="pct"/>
            <w:tcBorders>
              <w:top w:val="single" w:sz="12" w:space="0" w:color="auto"/>
              <w:left w:val="single" w:sz="6" w:space="0" w:color="auto"/>
              <w:bottom w:val="single" w:sz="12" w:space="0" w:color="auto"/>
              <w:right w:val="single" w:sz="6" w:space="0" w:color="auto"/>
            </w:tcBorders>
            <w:shd w:val="clear" w:color="auto" w:fill="FFD200"/>
          </w:tcPr>
          <w:p>
            <w:pPr>
              <w:spacing w:before="20" w:after="20"/>
              <w:jc w:val="center"/>
              <w:rPr>
                <w:rFonts w:ascii="Arial" w:eastAsia="Times New Roman" w:hAnsi="Arial" w:cs="Arial"/>
                <w:b/>
                <w:bCs/>
                <w:sz w:val="16"/>
                <w:szCs w:val="20"/>
              </w:rPr>
            </w:pPr>
            <w:r>
              <w:rPr>
                <w:rFonts w:ascii="Arial" w:eastAsia="Times New Roman" w:hAnsi="Arial" w:cs="Arial"/>
                <w:b/>
                <w:bCs/>
                <w:sz w:val="16"/>
                <w:szCs w:val="20"/>
              </w:rPr>
              <w:t>3</w:t>
            </w:r>
          </w:p>
        </w:tc>
        <w:tc>
          <w:tcPr>
            <w:tcW w:w="819" w:type="pct"/>
            <w:tcBorders>
              <w:top w:val="single" w:sz="12" w:space="0" w:color="auto"/>
              <w:left w:val="single" w:sz="6" w:space="0" w:color="auto"/>
              <w:bottom w:val="single" w:sz="12" w:space="0" w:color="auto"/>
              <w:right w:val="single" w:sz="6" w:space="0" w:color="auto"/>
            </w:tcBorders>
            <w:shd w:val="clear" w:color="auto" w:fill="FFD200"/>
          </w:tcPr>
          <w:p>
            <w:pPr>
              <w:spacing w:before="20" w:after="20"/>
              <w:jc w:val="center"/>
              <w:rPr>
                <w:rFonts w:ascii="Arial" w:eastAsia="Times New Roman" w:hAnsi="Arial" w:cs="Arial"/>
                <w:b/>
                <w:bCs/>
                <w:sz w:val="16"/>
                <w:szCs w:val="20"/>
              </w:rPr>
            </w:pPr>
            <w:r>
              <w:rPr>
                <w:rFonts w:ascii="Arial" w:eastAsia="Times New Roman" w:hAnsi="Arial" w:cs="Arial"/>
                <w:b/>
                <w:bCs/>
                <w:sz w:val="16"/>
                <w:szCs w:val="20"/>
              </w:rPr>
              <w:t>4</w:t>
            </w:r>
          </w:p>
        </w:tc>
        <w:tc>
          <w:tcPr>
            <w:tcW w:w="1780" w:type="pct"/>
            <w:tcBorders>
              <w:top w:val="single" w:sz="12" w:space="0" w:color="auto"/>
              <w:left w:val="single" w:sz="6" w:space="0" w:color="auto"/>
              <w:bottom w:val="single" w:sz="12" w:space="0" w:color="auto"/>
              <w:right w:val="single" w:sz="12" w:space="0" w:color="auto"/>
            </w:tcBorders>
            <w:shd w:val="clear" w:color="auto" w:fill="FFD200"/>
            <w:vAlign w:val="center"/>
          </w:tcPr>
          <w:p>
            <w:pPr>
              <w:spacing w:before="20" w:after="20"/>
              <w:jc w:val="center"/>
              <w:rPr>
                <w:rFonts w:ascii="Arial" w:eastAsia="Times New Roman" w:hAnsi="Arial" w:cs="Arial"/>
                <w:b/>
                <w:bCs/>
                <w:sz w:val="16"/>
                <w:szCs w:val="20"/>
              </w:rPr>
            </w:pPr>
            <w:r>
              <w:rPr>
                <w:rFonts w:ascii="Arial" w:eastAsia="Times New Roman" w:hAnsi="Arial" w:cs="Arial"/>
                <w:b/>
                <w:bCs/>
                <w:sz w:val="16"/>
                <w:szCs w:val="20"/>
              </w:rPr>
              <w:t>5</w:t>
            </w:r>
          </w:p>
        </w:tc>
      </w:tr>
      <w:tr>
        <w:trPr>
          <w:tblHeader/>
        </w:trPr>
        <w:tc>
          <w:tcPr>
            <w:tcW w:w="199" w:type="pct"/>
            <w:tcBorders>
              <w:top w:val="single" w:sz="6" w:space="0" w:color="auto"/>
              <w:left w:val="single" w:sz="12"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1</w:t>
            </w:r>
          </w:p>
        </w:tc>
        <w:tc>
          <w:tcPr>
            <w:tcW w:w="792"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 xml:space="preserve">От 100 до 250 </w:t>
            </w:r>
          </w:p>
        </w:tc>
        <w:tc>
          <w:tcPr>
            <w:tcW w:w="1410"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1</w:t>
            </w:r>
          </w:p>
        </w:tc>
        <w:tc>
          <w:tcPr>
            <w:tcW w:w="819"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1</w:t>
            </w:r>
          </w:p>
        </w:tc>
        <w:tc>
          <w:tcPr>
            <w:tcW w:w="1780" w:type="pct"/>
            <w:tcBorders>
              <w:top w:val="single" w:sz="6" w:space="0" w:color="auto"/>
              <w:left w:val="single" w:sz="6" w:space="0" w:color="auto"/>
              <w:bottom w:val="single" w:sz="6" w:space="0" w:color="auto"/>
              <w:right w:val="single" w:sz="12" w:space="0" w:color="auto"/>
            </w:tcBorders>
            <w:shd w:val="clear" w:color="auto" w:fill="FFFFFF" w:themeFill="background1"/>
          </w:tcPr>
          <w:p>
            <w:pPr>
              <w:jc w:val="left"/>
              <w:rPr>
                <w:rFonts w:eastAsia="Times New Roman"/>
                <w:bCs/>
                <w:sz w:val="20"/>
                <w:szCs w:val="20"/>
                <w:vertAlign w:val="superscript"/>
              </w:rPr>
            </w:pPr>
            <w:r>
              <w:rPr>
                <w:rFonts w:eastAsia="Times New Roman"/>
                <w:bCs/>
                <w:sz w:val="20"/>
                <w:szCs w:val="20"/>
              </w:rPr>
              <w:t>12</w:t>
            </w:r>
            <w:r>
              <w:rPr>
                <w:rFonts w:eastAsia="Times New Roman"/>
                <w:bCs/>
                <w:sz w:val="20"/>
                <w:szCs w:val="20"/>
                <w:vertAlign w:val="superscript"/>
              </w:rPr>
              <w:t>00</w:t>
            </w:r>
          </w:p>
        </w:tc>
      </w:tr>
      <w:tr>
        <w:trPr>
          <w:tblHeader/>
        </w:trPr>
        <w:tc>
          <w:tcPr>
            <w:tcW w:w="199" w:type="pct"/>
            <w:tcBorders>
              <w:top w:val="single" w:sz="6" w:space="0" w:color="auto"/>
              <w:left w:val="single" w:sz="12"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2</w:t>
            </w:r>
          </w:p>
        </w:tc>
        <w:tc>
          <w:tcPr>
            <w:tcW w:w="792"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От 300 до 500 включительно</w:t>
            </w:r>
          </w:p>
        </w:tc>
        <w:tc>
          <w:tcPr>
            <w:tcW w:w="1410"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1</w:t>
            </w:r>
          </w:p>
        </w:tc>
        <w:tc>
          <w:tcPr>
            <w:tcW w:w="819" w:type="pct"/>
            <w:tcBorders>
              <w:top w:val="single" w:sz="6" w:space="0" w:color="auto"/>
              <w:left w:val="single" w:sz="6" w:space="0" w:color="auto"/>
              <w:bottom w:val="single" w:sz="6"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2</w:t>
            </w:r>
          </w:p>
        </w:tc>
        <w:tc>
          <w:tcPr>
            <w:tcW w:w="1780" w:type="pct"/>
            <w:tcBorders>
              <w:top w:val="single" w:sz="6" w:space="0" w:color="auto"/>
              <w:left w:val="single" w:sz="6" w:space="0" w:color="auto"/>
              <w:bottom w:val="single" w:sz="6" w:space="0" w:color="auto"/>
              <w:right w:val="single" w:sz="12" w:space="0" w:color="auto"/>
            </w:tcBorders>
            <w:shd w:val="clear" w:color="auto" w:fill="FFFFFF" w:themeFill="background1"/>
          </w:tcPr>
          <w:p>
            <w:pPr>
              <w:jc w:val="left"/>
              <w:rPr>
                <w:rFonts w:eastAsia="Times New Roman"/>
                <w:bCs/>
                <w:sz w:val="20"/>
                <w:szCs w:val="20"/>
                <w:vertAlign w:val="superscript"/>
              </w:rPr>
            </w:pPr>
            <w:r>
              <w:rPr>
                <w:rFonts w:eastAsia="Times New Roman"/>
                <w:bCs/>
                <w:sz w:val="20"/>
                <w:szCs w:val="20"/>
              </w:rPr>
              <w:t>3</w:t>
            </w:r>
            <w:r>
              <w:rPr>
                <w:rFonts w:eastAsia="Times New Roman"/>
                <w:bCs/>
                <w:sz w:val="20"/>
                <w:szCs w:val="20"/>
                <w:vertAlign w:val="superscript"/>
              </w:rPr>
              <w:t xml:space="preserve">00 </w:t>
            </w:r>
            <w:r>
              <w:rPr>
                <w:rFonts w:eastAsia="Times New Roman"/>
                <w:bCs/>
                <w:sz w:val="20"/>
                <w:szCs w:val="20"/>
              </w:rPr>
              <w:t>и 9</w:t>
            </w:r>
            <w:r>
              <w:rPr>
                <w:rFonts w:eastAsia="Times New Roman"/>
                <w:bCs/>
                <w:sz w:val="20"/>
                <w:szCs w:val="20"/>
                <w:vertAlign w:val="superscript"/>
              </w:rPr>
              <w:t>00</w:t>
            </w:r>
          </w:p>
        </w:tc>
      </w:tr>
      <w:tr>
        <w:trPr>
          <w:tblHeader/>
        </w:trPr>
        <w:tc>
          <w:tcPr>
            <w:tcW w:w="199" w:type="pct"/>
            <w:tcBorders>
              <w:top w:val="single" w:sz="6" w:space="0" w:color="auto"/>
              <w:left w:val="single" w:sz="12" w:space="0" w:color="auto"/>
              <w:bottom w:val="single" w:sz="12"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3</w:t>
            </w:r>
          </w:p>
        </w:tc>
        <w:tc>
          <w:tcPr>
            <w:tcW w:w="792" w:type="pct"/>
            <w:tcBorders>
              <w:top w:val="single" w:sz="6" w:space="0" w:color="auto"/>
              <w:left w:val="single" w:sz="6" w:space="0" w:color="auto"/>
              <w:bottom w:val="single" w:sz="12"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 xml:space="preserve">Свыше 500  </w:t>
            </w:r>
          </w:p>
        </w:tc>
        <w:tc>
          <w:tcPr>
            <w:tcW w:w="1410" w:type="pct"/>
            <w:tcBorders>
              <w:top w:val="single" w:sz="6" w:space="0" w:color="auto"/>
              <w:left w:val="single" w:sz="6" w:space="0" w:color="auto"/>
              <w:bottom w:val="single" w:sz="12"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2</w:t>
            </w:r>
          </w:p>
        </w:tc>
        <w:tc>
          <w:tcPr>
            <w:tcW w:w="819" w:type="pct"/>
            <w:tcBorders>
              <w:top w:val="single" w:sz="6" w:space="0" w:color="auto"/>
              <w:left w:val="single" w:sz="6" w:space="0" w:color="auto"/>
              <w:bottom w:val="single" w:sz="12" w:space="0" w:color="auto"/>
              <w:right w:val="single" w:sz="6" w:space="0" w:color="auto"/>
            </w:tcBorders>
            <w:shd w:val="clear" w:color="auto" w:fill="FFFFFF" w:themeFill="background1"/>
          </w:tcPr>
          <w:p>
            <w:pPr>
              <w:jc w:val="left"/>
              <w:rPr>
                <w:rFonts w:eastAsia="Times New Roman"/>
                <w:bCs/>
                <w:sz w:val="20"/>
                <w:szCs w:val="20"/>
              </w:rPr>
            </w:pPr>
            <w:r>
              <w:rPr>
                <w:rFonts w:eastAsia="Times New Roman"/>
                <w:bCs/>
                <w:sz w:val="20"/>
                <w:szCs w:val="20"/>
              </w:rPr>
              <w:t>4</w:t>
            </w:r>
          </w:p>
        </w:tc>
        <w:tc>
          <w:tcPr>
            <w:tcW w:w="1780" w:type="pct"/>
            <w:tcBorders>
              <w:top w:val="single" w:sz="6" w:space="0" w:color="auto"/>
              <w:left w:val="single" w:sz="6" w:space="0" w:color="auto"/>
              <w:bottom w:val="single" w:sz="12" w:space="0" w:color="auto"/>
              <w:right w:val="single" w:sz="12" w:space="0" w:color="auto"/>
            </w:tcBorders>
            <w:shd w:val="clear" w:color="auto" w:fill="FFFFFF" w:themeFill="background1"/>
          </w:tcPr>
          <w:p>
            <w:pPr>
              <w:jc w:val="left"/>
              <w:rPr>
                <w:rFonts w:eastAsia="Times New Roman"/>
                <w:bCs/>
                <w:sz w:val="20"/>
              </w:rPr>
            </w:pPr>
            <w:r>
              <w:rPr>
                <w:rFonts w:eastAsia="Times New Roman"/>
                <w:bCs/>
                <w:sz w:val="20"/>
              </w:rPr>
              <w:t>2</w:t>
            </w:r>
            <w:r>
              <w:rPr>
                <w:rFonts w:eastAsia="Times New Roman"/>
                <w:bCs/>
                <w:sz w:val="20"/>
                <w:vertAlign w:val="superscript"/>
              </w:rPr>
              <w:t>00</w:t>
            </w:r>
            <w:r>
              <w:rPr>
                <w:rFonts w:eastAsia="Times New Roman"/>
                <w:bCs/>
                <w:sz w:val="20"/>
              </w:rPr>
              <w:t>, 4</w:t>
            </w:r>
            <w:r>
              <w:rPr>
                <w:rFonts w:eastAsia="Times New Roman"/>
                <w:bCs/>
                <w:sz w:val="20"/>
                <w:vertAlign w:val="superscript"/>
              </w:rPr>
              <w:t>00</w:t>
            </w:r>
            <w:r>
              <w:rPr>
                <w:rFonts w:eastAsia="Times New Roman"/>
                <w:bCs/>
                <w:sz w:val="20"/>
              </w:rPr>
              <w:t>, 8</w:t>
            </w:r>
            <w:r>
              <w:rPr>
                <w:rFonts w:eastAsia="Times New Roman"/>
                <w:bCs/>
                <w:sz w:val="20"/>
                <w:vertAlign w:val="superscript"/>
              </w:rPr>
              <w:t>00</w:t>
            </w:r>
            <w:r>
              <w:rPr>
                <w:rFonts w:eastAsia="Times New Roman"/>
                <w:bCs/>
                <w:sz w:val="20"/>
              </w:rPr>
              <w:t xml:space="preserve"> и 10</w:t>
            </w:r>
            <w:r>
              <w:rPr>
                <w:rFonts w:eastAsia="Times New Roman"/>
                <w:bCs/>
                <w:sz w:val="20"/>
                <w:vertAlign w:val="superscript"/>
              </w:rPr>
              <w:t xml:space="preserve">00 </w:t>
            </w:r>
            <w:r>
              <w:rPr>
                <w:rFonts w:eastAsia="Times New Roman"/>
                <w:bCs/>
                <w:sz w:val="20"/>
              </w:rPr>
              <w:t>или</w:t>
            </w:r>
            <w:r>
              <w:rPr>
                <w:rFonts w:eastAsia="Times New Roman"/>
                <w:bCs/>
                <w:sz w:val="20"/>
                <w:lang w:val="en-US"/>
              </w:rPr>
              <w:t xml:space="preserve"> </w:t>
            </w:r>
            <w:r>
              <w:rPr>
                <w:rFonts w:eastAsia="Times New Roman"/>
                <w:bCs/>
                <w:sz w:val="20"/>
              </w:rPr>
              <w:t>1</w:t>
            </w:r>
            <w:r>
              <w:rPr>
                <w:rFonts w:eastAsia="Times New Roman"/>
                <w:bCs/>
                <w:sz w:val="20"/>
                <w:vertAlign w:val="superscript"/>
              </w:rPr>
              <w:t>30</w:t>
            </w:r>
            <w:r>
              <w:rPr>
                <w:rFonts w:eastAsia="Times New Roman"/>
                <w:bCs/>
                <w:sz w:val="20"/>
              </w:rPr>
              <w:t>, 4</w:t>
            </w:r>
            <w:r>
              <w:rPr>
                <w:rFonts w:eastAsia="Times New Roman"/>
                <w:bCs/>
                <w:sz w:val="20"/>
                <w:vertAlign w:val="superscript"/>
              </w:rPr>
              <w:t>30</w:t>
            </w:r>
            <w:r>
              <w:rPr>
                <w:rFonts w:eastAsia="Times New Roman"/>
                <w:bCs/>
                <w:sz w:val="20"/>
              </w:rPr>
              <w:t>, 7</w:t>
            </w:r>
            <w:r>
              <w:rPr>
                <w:rFonts w:eastAsia="Times New Roman"/>
                <w:bCs/>
                <w:sz w:val="20"/>
                <w:vertAlign w:val="superscript"/>
              </w:rPr>
              <w:t>30</w:t>
            </w:r>
            <w:r>
              <w:rPr>
                <w:rFonts w:eastAsia="Times New Roman"/>
                <w:bCs/>
                <w:sz w:val="20"/>
              </w:rPr>
              <w:t xml:space="preserve"> и 10</w:t>
            </w:r>
            <w:r>
              <w:rPr>
                <w:rFonts w:eastAsia="Times New Roman"/>
                <w:bCs/>
                <w:sz w:val="20"/>
                <w:vertAlign w:val="superscript"/>
              </w:rPr>
              <w:t>30</w:t>
            </w:r>
          </w:p>
        </w:tc>
      </w:tr>
    </w:tbl>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szCs w:val="20"/>
        </w:rPr>
      </w:pPr>
      <w:r>
        <w:rPr>
          <w:rFonts w:eastAsia="Times New Roman"/>
        </w:rPr>
        <w:t xml:space="preserve">На кранах </w:t>
      </w:r>
      <w:r>
        <w:rPr>
          <w:rFonts w:eastAsia="Times New Roman"/>
          <w:szCs w:val="20"/>
        </w:rPr>
        <w:t>шаровых</w:t>
      </w:r>
      <w:r>
        <w:rPr>
          <w:rFonts w:eastAsia="Times New Roman"/>
        </w:rPr>
        <w:t xml:space="preserve"> подземного исполнения трубки подвода уплотнительной смазки присоединяют к корпусу крана через бобышки при помощи сварки, выполненной на заводе-изготовителе</w:t>
      </w:r>
      <w:r>
        <w:rPr>
          <w:rFonts w:eastAsia="Times New Roman"/>
          <w:szCs w:val="20"/>
        </w:rPr>
        <w:t xml:space="preserve">. Трубки подвода уплотнительной смазки в седла должны иметь двойную блокировку обратными клапанами. Один клапан должен находиться в фитинге подсоединения </w:t>
      </w:r>
      <w:r>
        <w:rPr>
          <w:rFonts w:eastAsia="Times New Roman"/>
        </w:rPr>
        <w:t>набивочного устройства</w:t>
      </w:r>
      <w:r>
        <w:rPr>
          <w:rFonts w:eastAsia="Times New Roman"/>
          <w:szCs w:val="20"/>
        </w:rPr>
        <w:t>, второй – в корпусе крана шарового или в бобышке для приварки трубки подвода смазки в корпус крана шарового. На трубопроводе подачи смазки в сальник шпинделя должен быть установлен обратный клапан в фитинге подсоединения набивочного устройства.</w:t>
      </w:r>
    </w:p>
    <w:p>
      <w:pPr>
        <w:widowControl w:val="0"/>
        <w:shd w:val="clear" w:color="auto" w:fill="FFFFFF"/>
        <w:autoSpaceDE w:val="0"/>
        <w:autoSpaceDN w:val="0"/>
        <w:adjustRightInd w:val="0"/>
        <w:rPr>
          <w:rFonts w:eastAsia="Times New Roman"/>
          <w:szCs w:val="20"/>
        </w:rPr>
      </w:pPr>
    </w:p>
    <w:p>
      <w:pPr>
        <w:pStyle w:val="S0"/>
      </w:pPr>
      <w:r>
        <w:t>Конструкция седел кранов шаровых с пробкой в опорах должна обеспечивать ввод уплотнительной смазки по всему периметру седла, а также должно быть предусмотрено наличие уплотнений, препятствующих проходу уплотнительной смазки между седлом и корпусом крана.</w:t>
      </w:r>
    </w:p>
    <w:p>
      <w:pPr>
        <w:pStyle w:val="S0"/>
      </w:pPr>
    </w:p>
    <w:p>
      <w:pPr>
        <w:pStyle w:val="S0"/>
        <w:rPr>
          <w:sz w:val="20"/>
        </w:rPr>
      </w:pPr>
      <w:r>
        <w:t>Фитинги для ввода уплотнительной смазки должны иметь конструкцию и единые присоединительные размеры, обеспечивающие быстросъемное подсоединение набивочного устройства. Конструкция фитингов и обратных клапанов не должна препятствовать проходу твердых наполнителей уплотнительных паст. Фитинги закрывают резьбовой травмобезопасной крышкой.</w:t>
      </w:r>
    </w:p>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rPr>
      </w:pPr>
      <w:r>
        <w:rPr>
          <w:rFonts w:eastAsia="Times New Roman"/>
        </w:rPr>
        <w:t xml:space="preserve">Фитинги и трубки подвода смазок и герметиков, а также седло и шпиндельный узел должны </w:t>
      </w:r>
      <w:r>
        <w:rPr>
          <w:rFonts w:eastAsia="Times New Roman"/>
        </w:rPr>
        <w:lastRenderedPageBreak/>
        <w:t>быть рассчитаны на следующие значения давления нагнетания герметика:</w:t>
      </w:r>
    </w:p>
    <w:p>
      <w:pPr>
        <w:pStyle w:val="a7"/>
        <w:widowControl w:val="0"/>
        <w:numPr>
          <w:ilvl w:val="0"/>
          <w:numId w:val="30"/>
        </w:numPr>
        <w:tabs>
          <w:tab w:val="left" w:pos="539"/>
        </w:tabs>
        <w:spacing w:before="120" w:after="0"/>
        <w:ind w:left="538" w:hanging="357"/>
        <w:rPr>
          <w:rFonts w:eastAsia="Times New Roman"/>
        </w:rPr>
      </w:pPr>
      <w:r>
        <w:rPr>
          <w:rFonts w:eastAsia="Times New Roman"/>
        </w:rPr>
        <w:t>30 МПа для PN</w:t>
      </w:r>
      <w:r>
        <w:rPr>
          <w:rFonts w:eastAsia="Times New Roman"/>
          <w:lang w:val="en-US"/>
        </w:rPr>
        <w:t> </w:t>
      </w:r>
      <w:r>
        <w:rPr>
          <w:rFonts w:eastAsia="Times New Roman"/>
        </w:rPr>
        <w:t>≤</w:t>
      </w:r>
      <w:r>
        <w:rPr>
          <w:rFonts w:eastAsia="Times New Roman"/>
          <w:lang w:val="en-US"/>
        </w:rPr>
        <w:t> </w:t>
      </w:r>
      <w:r>
        <w:rPr>
          <w:rFonts w:eastAsia="Times New Roman"/>
        </w:rPr>
        <w:t>6,3 МПа;</w:t>
      </w:r>
    </w:p>
    <w:p>
      <w:pPr>
        <w:pStyle w:val="a7"/>
        <w:widowControl w:val="0"/>
        <w:numPr>
          <w:ilvl w:val="0"/>
          <w:numId w:val="30"/>
        </w:numPr>
        <w:tabs>
          <w:tab w:val="left" w:pos="539"/>
        </w:tabs>
        <w:spacing w:before="120" w:after="0"/>
        <w:ind w:left="538" w:hanging="357"/>
        <w:rPr>
          <w:rFonts w:eastAsia="Times New Roman"/>
        </w:rPr>
      </w:pPr>
      <w:r>
        <w:rPr>
          <w:rFonts w:eastAsia="Times New Roman"/>
        </w:rPr>
        <w:t>50 МПа для PN</w:t>
      </w:r>
      <w:r>
        <w:rPr>
          <w:rFonts w:eastAsia="Times New Roman"/>
          <w:lang w:val="en-US"/>
        </w:rPr>
        <w:t> </w:t>
      </w:r>
      <w:r>
        <w:rPr>
          <w:rFonts w:eastAsia="Times New Roman"/>
        </w:rPr>
        <w:t>≤</w:t>
      </w:r>
      <w:r>
        <w:rPr>
          <w:rFonts w:eastAsia="Times New Roman"/>
          <w:lang w:val="en-US"/>
        </w:rPr>
        <w:t> </w:t>
      </w:r>
      <w:r>
        <w:rPr>
          <w:rFonts w:eastAsia="Times New Roman"/>
        </w:rPr>
        <w:t>10,0 МПа;</w:t>
      </w:r>
    </w:p>
    <w:p>
      <w:pPr>
        <w:pStyle w:val="a7"/>
        <w:widowControl w:val="0"/>
        <w:numPr>
          <w:ilvl w:val="0"/>
          <w:numId w:val="30"/>
        </w:numPr>
        <w:tabs>
          <w:tab w:val="left" w:pos="539"/>
        </w:tabs>
        <w:spacing w:before="120" w:after="0"/>
        <w:ind w:left="538" w:hanging="357"/>
        <w:rPr>
          <w:rFonts w:eastAsia="Times New Roman"/>
        </w:rPr>
      </w:pPr>
      <w:r>
        <w:rPr>
          <w:rFonts w:eastAsia="Times New Roman"/>
        </w:rPr>
        <w:t>56 МПа для PN</w:t>
      </w:r>
      <w:r>
        <w:rPr>
          <w:rFonts w:eastAsia="Times New Roman"/>
          <w:lang w:val="en-US"/>
        </w:rPr>
        <w:t> </w:t>
      </w:r>
      <w:r>
        <w:rPr>
          <w:rFonts w:eastAsia="Times New Roman"/>
        </w:rPr>
        <w:t>≤</w:t>
      </w:r>
      <w:r>
        <w:rPr>
          <w:rFonts w:eastAsia="Times New Roman"/>
          <w:lang w:val="en-US"/>
        </w:rPr>
        <w:t> </w:t>
      </w:r>
      <w:r>
        <w:rPr>
          <w:rFonts w:eastAsia="Times New Roman"/>
        </w:rPr>
        <w:t>16,0 МПа;</w:t>
      </w:r>
    </w:p>
    <w:p>
      <w:pPr>
        <w:numPr>
          <w:ilvl w:val="0"/>
          <w:numId w:val="12"/>
        </w:numPr>
        <w:tabs>
          <w:tab w:val="left" w:pos="539"/>
        </w:tabs>
        <w:spacing w:before="120"/>
        <w:ind w:left="538" w:hanging="357"/>
        <w:rPr>
          <w:rFonts w:eastAsia="Times New Roman"/>
        </w:rPr>
      </w:pPr>
      <w:r>
        <w:rPr>
          <w:rFonts w:eastAsia="Times New Roman"/>
        </w:rPr>
        <w:t>65 МПа для PN</w:t>
      </w:r>
      <w:r>
        <w:rPr>
          <w:rFonts w:eastAsia="Times New Roman"/>
          <w:lang w:val="en-US"/>
        </w:rPr>
        <w:t> </w:t>
      </w:r>
      <w:r>
        <w:rPr>
          <w:rFonts w:eastAsia="Times New Roman"/>
        </w:rPr>
        <w:t>≤</w:t>
      </w:r>
      <w:r>
        <w:rPr>
          <w:rFonts w:eastAsia="Times New Roman"/>
          <w:lang w:val="en-US"/>
        </w:rPr>
        <w:t> </w:t>
      </w:r>
      <w:r>
        <w:rPr>
          <w:rFonts w:eastAsia="Times New Roman"/>
        </w:rPr>
        <w:t>25,0 МПа;</w:t>
      </w:r>
    </w:p>
    <w:p>
      <w:pPr>
        <w:numPr>
          <w:ilvl w:val="0"/>
          <w:numId w:val="12"/>
        </w:numPr>
        <w:tabs>
          <w:tab w:val="left" w:pos="539"/>
        </w:tabs>
        <w:spacing w:before="120"/>
        <w:ind w:left="538" w:hanging="357"/>
        <w:rPr>
          <w:rFonts w:eastAsia="Times New Roman"/>
        </w:rPr>
      </w:pPr>
      <w:r>
        <w:rPr>
          <w:rFonts w:eastAsia="Times New Roman"/>
        </w:rPr>
        <w:t>80 МПа для PN</w:t>
      </w:r>
      <w:r>
        <w:rPr>
          <w:rFonts w:eastAsia="Times New Roman"/>
          <w:lang w:val="en-US"/>
        </w:rPr>
        <w:t> </w:t>
      </w:r>
      <w:r>
        <w:rPr>
          <w:rFonts w:eastAsia="Times New Roman"/>
        </w:rPr>
        <w:t>≤</w:t>
      </w:r>
      <w:r>
        <w:rPr>
          <w:rFonts w:eastAsia="Times New Roman"/>
          <w:lang w:val="en-US"/>
        </w:rPr>
        <w:t> </w:t>
      </w:r>
      <w:r>
        <w:rPr>
          <w:rFonts w:eastAsia="Times New Roman"/>
        </w:rPr>
        <w:t>32,0 МПа.</w:t>
      </w:r>
    </w:p>
    <w:p>
      <w:pPr>
        <w:rPr>
          <w:rFonts w:eastAsia="Times New Roman"/>
          <w:szCs w:val="20"/>
        </w:rPr>
      </w:pPr>
    </w:p>
    <w:p>
      <w:pPr>
        <w:rPr>
          <w:rFonts w:eastAsia="Times New Roman"/>
          <w:szCs w:val="20"/>
        </w:rPr>
      </w:pPr>
      <w:r>
        <w:rPr>
          <w:rFonts w:eastAsia="Times New Roman"/>
          <w:szCs w:val="20"/>
        </w:rPr>
        <w:t>Трубопроводы обвязки шаровых кранов, располагаемые вдоль корпуса крана и колонны удлинителя, должны быть закреплены на колонне и закрыты съемными металлическими кожухами, а подземную часть закрывают съемными металлическими кожухами для защиты от механических повреждений, в том числе при осевых перемещениях крана с трубопроводом.</w:t>
      </w:r>
    </w:p>
    <w:p>
      <w:pPr>
        <w:pStyle w:val="M"/>
      </w:pPr>
    </w:p>
    <w:p>
      <w:pPr>
        <w:pStyle w:val="M"/>
      </w:pPr>
    </w:p>
    <w:p>
      <w:pPr>
        <w:pStyle w:val="S30"/>
      </w:pPr>
      <w:bookmarkStart w:id="104" w:name="_Toc481662376"/>
      <w:bookmarkStart w:id="105" w:name="_Toc486233268"/>
      <w:bookmarkStart w:id="106" w:name="_Toc514169515"/>
      <w:r>
        <w:t>4.3.4.</w:t>
      </w:r>
      <w:r>
        <w:tab/>
        <w:t>ТРЕБОВАНИЕ ПО ПРИСОЕДИНЕНИЮ КРАНА ШАРОВОГО К ТРУБОПРОВОДУ</w:t>
      </w:r>
      <w:bookmarkEnd w:id="102"/>
      <w:bookmarkEnd w:id="103"/>
      <w:bookmarkEnd w:id="104"/>
      <w:bookmarkEnd w:id="105"/>
      <w:bookmarkEnd w:id="106"/>
    </w:p>
    <w:p>
      <w:pPr>
        <w:rPr>
          <w:rFonts w:eastAsia="PMingLiU"/>
          <w:szCs w:val="22"/>
          <w:lang w:eastAsia="en-US"/>
        </w:rPr>
      </w:pPr>
    </w:p>
    <w:p>
      <w:pPr>
        <w:tabs>
          <w:tab w:val="left" w:pos="993"/>
        </w:tabs>
        <w:rPr>
          <w:rFonts w:eastAsia="PMingLiU"/>
          <w:lang w:eastAsia="en-US"/>
        </w:rPr>
      </w:pPr>
      <w:r>
        <w:rPr>
          <w:rFonts w:eastAsia="PMingLiU"/>
          <w:lang w:eastAsia="en-US"/>
        </w:rPr>
        <w:t>Тип присоединения кранов шаровых к трубопроводу:</w:t>
      </w:r>
    </w:p>
    <w:p>
      <w:pPr>
        <w:numPr>
          <w:ilvl w:val="0"/>
          <w:numId w:val="12"/>
        </w:numPr>
        <w:tabs>
          <w:tab w:val="left" w:pos="539"/>
        </w:tabs>
        <w:spacing w:before="120"/>
        <w:ind w:left="538" w:hanging="357"/>
        <w:rPr>
          <w:rFonts w:eastAsia="Times New Roman"/>
        </w:rPr>
      </w:pPr>
      <w:r>
        <w:rPr>
          <w:rFonts w:eastAsia="Times New Roman"/>
        </w:rPr>
        <w:t>муфтовое;</w:t>
      </w:r>
    </w:p>
    <w:p>
      <w:pPr>
        <w:numPr>
          <w:ilvl w:val="0"/>
          <w:numId w:val="12"/>
        </w:numPr>
        <w:tabs>
          <w:tab w:val="left" w:pos="539"/>
        </w:tabs>
        <w:spacing w:before="120"/>
        <w:ind w:left="538" w:hanging="357"/>
        <w:rPr>
          <w:rFonts w:eastAsia="Times New Roman"/>
        </w:rPr>
      </w:pPr>
      <w:r>
        <w:rPr>
          <w:rFonts w:eastAsia="Times New Roman"/>
        </w:rPr>
        <w:t>ниппельное;</w:t>
      </w:r>
    </w:p>
    <w:p>
      <w:pPr>
        <w:widowControl w:val="0"/>
        <w:numPr>
          <w:ilvl w:val="0"/>
          <w:numId w:val="17"/>
        </w:numPr>
        <w:tabs>
          <w:tab w:val="left" w:pos="539"/>
        </w:tabs>
        <w:spacing w:before="120"/>
        <w:ind w:left="538" w:hanging="357"/>
        <w:rPr>
          <w:rFonts w:eastAsia="Times New Roman"/>
        </w:rPr>
      </w:pPr>
      <w:r>
        <w:rPr>
          <w:rFonts w:eastAsia="Times New Roman"/>
        </w:rPr>
        <w:t>фланцевое;</w:t>
      </w:r>
    </w:p>
    <w:p>
      <w:pPr>
        <w:widowControl w:val="0"/>
        <w:numPr>
          <w:ilvl w:val="0"/>
          <w:numId w:val="17"/>
        </w:numPr>
        <w:tabs>
          <w:tab w:val="left" w:pos="539"/>
        </w:tabs>
        <w:spacing w:before="120"/>
        <w:ind w:left="538" w:hanging="357"/>
        <w:rPr>
          <w:rFonts w:eastAsia="Times New Roman"/>
        </w:rPr>
      </w:pPr>
      <w:r>
        <w:rPr>
          <w:rFonts w:eastAsia="Times New Roman"/>
        </w:rPr>
        <w:t>с концами под приварку.</w:t>
      </w:r>
    </w:p>
    <w:p>
      <w:pPr>
        <w:rPr>
          <w:rFonts w:eastAsia="PMingLiU"/>
          <w:szCs w:val="22"/>
        </w:rPr>
      </w:pPr>
    </w:p>
    <w:p>
      <w:pPr>
        <w:rPr>
          <w:rFonts w:eastAsia="PMingLiU"/>
          <w:szCs w:val="22"/>
        </w:rPr>
      </w:pPr>
      <w:r>
        <w:rPr>
          <w:rFonts w:eastAsia="PMingLiU"/>
          <w:szCs w:val="22"/>
        </w:rPr>
        <w:t>Разделка концов присоединительных фланцев, концов под приварку, патрубков должна быть произведена по ГОСТ</w:t>
      </w:r>
      <w:r>
        <w:rPr>
          <w:rFonts w:eastAsia="PMingLiU"/>
          <w:szCs w:val="22"/>
          <w:lang w:val="en-US"/>
        </w:rPr>
        <w:t> </w:t>
      </w:r>
      <w:r>
        <w:rPr>
          <w:rFonts w:eastAsia="PMingLiU"/>
          <w:szCs w:val="22"/>
        </w:rPr>
        <w:t>16037.</w:t>
      </w:r>
    </w:p>
    <w:p>
      <w:pPr>
        <w:rPr>
          <w:rFonts w:eastAsia="PMingLiU"/>
          <w:szCs w:val="22"/>
        </w:rPr>
      </w:pPr>
    </w:p>
    <w:p>
      <w:pPr>
        <w:widowControl w:val="0"/>
        <w:tabs>
          <w:tab w:val="left" w:pos="851"/>
        </w:tabs>
        <w:ind w:right="-1"/>
        <w:rPr>
          <w:rFonts w:eastAsia="PMingLiU"/>
          <w:spacing w:val="3"/>
          <w:szCs w:val="22"/>
          <w:lang w:eastAsia="en-US"/>
        </w:rPr>
      </w:pPr>
      <w:r>
        <w:rPr>
          <w:rFonts w:eastAsia="PMingLiU"/>
          <w:spacing w:val="3"/>
          <w:szCs w:val="22"/>
          <w:lang w:eastAsia="en-US"/>
        </w:rPr>
        <w:t>Краны шаровые с концами под приварку, ответные фланцы фланцевых кранов могут изготавливаться с приварными катушками, устанавливаемыми на заводе-изготовителе.</w:t>
      </w:r>
    </w:p>
    <w:p>
      <w:pPr>
        <w:widowControl w:val="0"/>
        <w:tabs>
          <w:tab w:val="left" w:pos="851"/>
        </w:tabs>
        <w:ind w:right="104"/>
        <w:rPr>
          <w:rFonts w:eastAsia="PMingLiU"/>
          <w:spacing w:val="3"/>
          <w:szCs w:val="22"/>
          <w:lang w:eastAsia="en-US"/>
        </w:rPr>
      </w:pPr>
    </w:p>
    <w:p>
      <w:pPr>
        <w:widowControl w:val="0"/>
        <w:rPr>
          <w:snapToGrid w:val="0"/>
        </w:rPr>
      </w:pPr>
      <w:r>
        <w:rPr>
          <w:snapToGrid w:val="0"/>
        </w:rPr>
        <w:t>При необходимости монтажа крана шарового на трубопровод с внутренним АКП, поставка осуществляется с катушками, покрытыми изнутри АКП, приваренными к концам под приварку крана или ответным фланцам.</w:t>
      </w:r>
    </w:p>
    <w:p>
      <w:pPr>
        <w:widowControl w:val="0"/>
        <w:tabs>
          <w:tab w:val="left" w:pos="851"/>
        </w:tabs>
        <w:ind w:right="104"/>
        <w:rPr>
          <w:rFonts w:eastAsia="PMingLiU"/>
          <w:spacing w:val="3"/>
          <w:szCs w:val="22"/>
          <w:lang w:eastAsia="en-US"/>
        </w:rPr>
      </w:pPr>
    </w:p>
    <w:p>
      <w:pPr>
        <w:widowControl w:val="0"/>
        <w:rPr>
          <w:snapToGrid w:val="0"/>
        </w:rPr>
      </w:pPr>
      <w:r>
        <w:rPr>
          <w:snapToGrid w:val="0"/>
        </w:rPr>
        <w:t>Длина приварных катушек должна быть не менее:</w:t>
      </w:r>
    </w:p>
    <w:p>
      <w:pPr>
        <w:numPr>
          <w:ilvl w:val="0"/>
          <w:numId w:val="12"/>
        </w:numPr>
        <w:tabs>
          <w:tab w:val="left" w:pos="539"/>
        </w:tabs>
        <w:spacing w:before="120"/>
        <w:ind w:left="538" w:hanging="357"/>
        <w:rPr>
          <w:rFonts w:eastAsia="Times New Roman"/>
        </w:rPr>
      </w:pPr>
      <w:r>
        <w:rPr>
          <w:rFonts w:eastAsia="Times New Roman"/>
        </w:rPr>
        <w:t>250 мм – для кранов шаровых DN ≤ 300;</w:t>
      </w:r>
    </w:p>
    <w:p>
      <w:pPr>
        <w:numPr>
          <w:ilvl w:val="0"/>
          <w:numId w:val="12"/>
        </w:numPr>
        <w:tabs>
          <w:tab w:val="left" w:pos="539"/>
        </w:tabs>
        <w:spacing w:before="120"/>
        <w:ind w:left="538" w:hanging="357"/>
        <w:rPr>
          <w:rFonts w:eastAsia="Times New Roman"/>
        </w:rPr>
      </w:pPr>
      <w:r>
        <w:rPr>
          <w:rFonts w:eastAsia="Times New Roman"/>
        </w:rPr>
        <w:t>400 мм – для кранов шаровых DN &gt; 300.</w:t>
      </w:r>
    </w:p>
    <w:p>
      <w:pPr>
        <w:widowControl w:val="0"/>
        <w:rPr>
          <w:snapToGrid w:val="0"/>
        </w:rPr>
      </w:pPr>
    </w:p>
    <w:p>
      <w:pPr>
        <w:widowControl w:val="0"/>
        <w:rPr>
          <w:snapToGrid w:val="0"/>
          <w:u w:val="single"/>
        </w:rPr>
      </w:pPr>
    </w:p>
    <w:p>
      <w:pPr>
        <w:pStyle w:val="S30"/>
      </w:pPr>
      <w:bookmarkStart w:id="107" w:name="_Toc481662377"/>
      <w:bookmarkStart w:id="108" w:name="_Toc486233269"/>
      <w:bookmarkStart w:id="109" w:name="_Toc514169516"/>
      <w:bookmarkStart w:id="110" w:name="_Toc392752836"/>
      <w:bookmarkStart w:id="111" w:name="_Toc404615313"/>
      <w:r>
        <w:t>4.3.5.</w:t>
      </w:r>
      <w:r>
        <w:tab/>
        <w:t>ТРЕБОВАНИЯ К КРАНАМ ШАРОВЫМ С МУФТОВЫМ ПРИСОЕДИНЕНИЕМ</w:t>
      </w:r>
      <w:bookmarkEnd w:id="107"/>
      <w:bookmarkEnd w:id="108"/>
      <w:bookmarkEnd w:id="109"/>
    </w:p>
    <w:p>
      <w:pPr>
        <w:pStyle w:val="M"/>
      </w:pPr>
    </w:p>
    <w:p>
      <w:r>
        <w:t>Строительная длина крана шарового с муфтовым присоединением должна соответствовать ГОСТ 28908.</w:t>
      </w:r>
    </w:p>
    <w:p/>
    <w:p>
      <w:pPr>
        <w:tabs>
          <w:tab w:val="left" w:pos="993"/>
        </w:tabs>
        <w:rPr>
          <w:rFonts w:eastAsia="PMingLiU"/>
          <w:lang w:eastAsia="en-US"/>
        </w:rPr>
      </w:pPr>
      <w:r>
        <w:rPr>
          <w:rFonts w:eastAsia="PMingLiU"/>
          <w:lang w:eastAsia="en-US"/>
        </w:rPr>
        <w:t>Рекомендованные для условного обозначения строительные длины кранов шаровых с муфтовым присоединением приведены в Таблице 15.</w:t>
      </w:r>
    </w:p>
    <w:p/>
    <w:p>
      <w:pPr>
        <w:keepNext/>
        <w:widowControl w:val="0"/>
        <w:jc w:val="right"/>
        <w:rPr>
          <w:rFonts w:ascii="Arial" w:eastAsia="Times New Roman" w:hAnsi="Arial" w:cs="Arial"/>
          <w:b/>
          <w:sz w:val="20"/>
          <w:szCs w:val="20"/>
        </w:rPr>
      </w:pPr>
      <w:r>
        <w:rPr>
          <w:rFonts w:ascii="Arial" w:eastAsia="Times New Roman" w:hAnsi="Arial"/>
          <w:b/>
          <w:sz w:val="20"/>
          <w:szCs w:val="20"/>
        </w:rPr>
        <w:lastRenderedPageBreak/>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15</w:t>
      </w:r>
      <w:r>
        <w:rPr>
          <w:rFonts w:ascii="Arial" w:eastAsia="Times New Roman" w:hAnsi="Arial" w:cs="Arial"/>
          <w:b/>
          <w:bCs/>
          <w:sz w:val="20"/>
          <w:szCs w:val="20"/>
        </w:rPr>
        <w:fldChar w:fldCharType="end"/>
      </w:r>
    </w:p>
    <w:p>
      <w:pPr>
        <w:keepNext/>
        <w:widowControl w:val="0"/>
        <w:spacing w:after="60"/>
        <w:jc w:val="right"/>
        <w:rPr>
          <w:rFonts w:ascii="Arial" w:eastAsia="Times New Roman" w:hAnsi="Arial" w:cs="Arial"/>
          <w:b/>
          <w:sz w:val="20"/>
          <w:szCs w:val="20"/>
        </w:rPr>
      </w:pPr>
      <w:r>
        <w:rPr>
          <w:rFonts w:ascii="Arial" w:eastAsia="Times New Roman" w:hAnsi="Arial" w:cs="Arial"/>
          <w:b/>
          <w:sz w:val="20"/>
          <w:szCs w:val="20"/>
        </w:rPr>
        <w:t>Строительные длины кранов шаровых с муфтовым присоединением</w:t>
      </w:r>
    </w:p>
    <w:tbl>
      <w:tblPr>
        <w:tblStyle w:val="aff6"/>
        <w:tblW w:w="5000" w:type="pct"/>
        <w:tblLook w:val="04A0" w:firstRow="1" w:lastRow="0" w:firstColumn="1" w:lastColumn="0" w:noHBand="0" w:noVBand="1"/>
      </w:tblPr>
      <w:tblGrid>
        <w:gridCol w:w="512"/>
        <w:gridCol w:w="1569"/>
        <w:gridCol w:w="751"/>
        <w:gridCol w:w="792"/>
        <w:gridCol w:w="769"/>
        <w:gridCol w:w="881"/>
        <w:gridCol w:w="769"/>
        <w:gridCol w:w="790"/>
        <w:gridCol w:w="1017"/>
        <w:gridCol w:w="1003"/>
        <w:gridCol w:w="1001"/>
      </w:tblGrid>
      <w:tr>
        <w:trPr>
          <w:trHeight w:val="516"/>
        </w:trPr>
        <w:tc>
          <w:tcPr>
            <w:tcW w:w="260"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п/п</w:t>
            </w:r>
          </w:p>
        </w:tc>
        <w:tc>
          <w:tcPr>
            <w:tcW w:w="796"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val="en-US" w:eastAsia="en-US"/>
              </w:rPr>
              <w:t>PN</w:t>
            </w:r>
            <w:r>
              <w:rPr>
                <w:rFonts w:ascii="Arial" w:eastAsia="PMingLiU" w:hAnsi="Arial" w:cs="Arial"/>
                <w:b/>
                <w:bCs/>
                <w:caps/>
                <w:sz w:val="16"/>
                <w:szCs w:val="20"/>
                <w:u w:color="000000"/>
                <w:lang w:eastAsia="en-US"/>
              </w:rPr>
              <w:t>,</w:t>
            </w:r>
            <w:r>
              <w:rPr>
                <w:rFonts w:ascii="Arial" w:eastAsia="PMingLiU" w:hAnsi="Arial" w:cs="Arial"/>
                <w:b/>
                <w:bCs/>
                <w:caps/>
                <w:sz w:val="16"/>
                <w:szCs w:val="20"/>
                <w:u w:color="000000"/>
                <w:lang w:val="en-US" w:eastAsia="en-US"/>
              </w:rPr>
              <w:t xml:space="preserve"> (</w:t>
            </w:r>
            <w:r>
              <w:rPr>
                <w:rFonts w:ascii="Arial" w:eastAsia="PMingLiU" w:hAnsi="Arial" w:cs="Arial"/>
                <w:b/>
                <w:bCs/>
                <w:caps/>
                <w:sz w:val="16"/>
                <w:szCs w:val="20"/>
                <w:u w:color="000000"/>
                <w:lang w:eastAsia="en-US"/>
              </w:rPr>
              <w:t>МП</w:t>
            </w:r>
            <w:r>
              <w:rPr>
                <w:rFonts w:ascii="Arial" w:eastAsia="PMingLiU" w:hAnsi="Arial" w:cs="Arial"/>
                <w:b/>
                <w:bCs/>
                <w:sz w:val="16"/>
                <w:szCs w:val="20"/>
                <w:u w:color="000000"/>
                <w:lang w:eastAsia="en-US"/>
              </w:rPr>
              <w:t>а</w:t>
            </w:r>
            <w:r>
              <w:rPr>
                <w:rFonts w:ascii="Arial" w:eastAsia="PMingLiU" w:hAnsi="Arial" w:cs="Arial"/>
                <w:b/>
                <w:bCs/>
                <w:caps/>
                <w:sz w:val="16"/>
                <w:szCs w:val="20"/>
                <w:u w:color="000000"/>
                <w:lang w:eastAsia="en-US"/>
              </w:rPr>
              <w:t>)</w:t>
            </w:r>
          </w:p>
        </w:tc>
        <w:tc>
          <w:tcPr>
            <w:tcW w:w="3944" w:type="pct"/>
            <w:gridSpan w:val="9"/>
            <w:tcBorders>
              <w:top w:val="single" w:sz="12" w:space="0" w:color="auto"/>
              <w:left w:val="single" w:sz="6" w:space="0" w:color="auto"/>
              <w:bottom w:val="single" w:sz="6" w:space="0" w:color="auto"/>
              <w:right w:val="single" w:sz="12"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xml:space="preserve">строительная длина КРАНА ШАРОВОГО с МУФТОВым присоединением для УСЛОВНого ПРОХОДа </w:t>
            </w:r>
            <w:r>
              <w:rPr>
                <w:rFonts w:ascii="Arial" w:eastAsia="PMingLiU" w:hAnsi="Arial" w:cs="Arial"/>
                <w:b/>
                <w:bCs/>
                <w:caps/>
                <w:sz w:val="16"/>
                <w:szCs w:val="20"/>
                <w:u w:color="000000"/>
                <w:lang w:val="en-US" w:eastAsia="en-US"/>
              </w:rPr>
              <w:t>DN</w:t>
            </w:r>
          </w:p>
        </w:tc>
      </w:tr>
      <w:tr>
        <w:trPr>
          <w:trHeight w:val="269"/>
        </w:trPr>
        <w:tc>
          <w:tcPr>
            <w:tcW w:w="260"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796" w:type="pct"/>
            <w:vMerge/>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381"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6</w:t>
            </w:r>
          </w:p>
        </w:tc>
        <w:tc>
          <w:tcPr>
            <w:tcW w:w="402"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10</w:t>
            </w:r>
          </w:p>
        </w:tc>
        <w:tc>
          <w:tcPr>
            <w:tcW w:w="390"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15</w:t>
            </w:r>
          </w:p>
        </w:tc>
        <w:tc>
          <w:tcPr>
            <w:tcW w:w="447"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20</w:t>
            </w:r>
          </w:p>
        </w:tc>
        <w:tc>
          <w:tcPr>
            <w:tcW w:w="390"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25</w:t>
            </w:r>
          </w:p>
        </w:tc>
        <w:tc>
          <w:tcPr>
            <w:tcW w:w="401"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32</w:t>
            </w:r>
          </w:p>
        </w:tc>
        <w:tc>
          <w:tcPr>
            <w:tcW w:w="516"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40</w:t>
            </w:r>
          </w:p>
        </w:tc>
        <w:tc>
          <w:tcPr>
            <w:tcW w:w="509"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50</w:t>
            </w:r>
          </w:p>
        </w:tc>
        <w:tc>
          <w:tcPr>
            <w:tcW w:w="508" w:type="pct"/>
            <w:tcBorders>
              <w:top w:val="single" w:sz="6" w:space="0" w:color="auto"/>
              <w:left w:val="single" w:sz="6" w:space="0" w:color="auto"/>
              <w:bottom w:val="single" w:sz="12" w:space="0" w:color="auto"/>
              <w:right w:val="single" w:sz="12"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80</w:t>
            </w:r>
          </w:p>
        </w:tc>
      </w:tr>
      <w:tr>
        <w:trPr>
          <w:trHeight w:val="259"/>
        </w:trPr>
        <w:tc>
          <w:tcPr>
            <w:tcW w:w="260" w:type="pct"/>
            <w:tcBorders>
              <w:top w:val="single" w:sz="12" w:space="0" w:color="auto"/>
              <w:left w:val="single" w:sz="12"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w:t>
            </w:r>
          </w:p>
        </w:tc>
        <w:tc>
          <w:tcPr>
            <w:tcW w:w="796"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2</w:t>
            </w:r>
          </w:p>
        </w:tc>
        <w:tc>
          <w:tcPr>
            <w:tcW w:w="381"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3</w:t>
            </w:r>
          </w:p>
        </w:tc>
        <w:tc>
          <w:tcPr>
            <w:tcW w:w="402"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4</w:t>
            </w:r>
          </w:p>
        </w:tc>
        <w:tc>
          <w:tcPr>
            <w:tcW w:w="390"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5</w:t>
            </w:r>
          </w:p>
        </w:tc>
        <w:tc>
          <w:tcPr>
            <w:tcW w:w="447"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6</w:t>
            </w:r>
          </w:p>
        </w:tc>
        <w:tc>
          <w:tcPr>
            <w:tcW w:w="390"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7</w:t>
            </w:r>
          </w:p>
        </w:tc>
        <w:tc>
          <w:tcPr>
            <w:tcW w:w="401"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8</w:t>
            </w:r>
          </w:p>
        </w:tc>
        <w:tc>
          <w:tcPr>
            <w:tcW w:w="516"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9</w:t>
            </w:r>
          </w:p>
        </w:tc>
        <w:tc>
          <w:tcPr>
            <w:tcW w:w="509"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10</w:t>
            </w:r>
          </w:p>
        </w:tc>
        <w:tc>
          <w:tcPr>
            <w:tcW w:w="508" w:type="pct"/>
            <w:tcBorders>
              <w:top w:val="single" w:sz="12" w:space="0" w:color="auto"/>
              <w:left w:val="single" w:sz="6" w:space="0" w:color="auto"/>
              <w:bottom w:val="single" w:sz="12" w:space="0" w:color="auto"/>
              <w:right w:val="single" w:sz="12"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11</w:t>
            </w:r>
          </w:p>
        </w:tc>
      </w:tr>
      <w:tr>
        <w:tc>
          <w:tcPr>
            <w:tcW w:w="260" w:type="pct"/>
            <w:tcBorders>
              <w:top w:val="single" w:sz="12" w:space="0" w:color="auto"/>
              <w:left w:val="single" w:sz="12"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w:t>
            </w:r>
          </w:p>
        </w:tc>
        <w:tc>
          <w:tcPr>
            <w:tcW w:w="796"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lang w:val="en-US"/>
              </w:rPr>
              <w:t>≤</w:t>
            </w:r>
            <w:r>
              <w:rPr>
                <w:rFonts w:eastAsia="Times New Roman"/>
                <w:sz w:val="20"/>
                <w:szCs w:val="20"/>
              </w:rPr>
              <w:t xml:space="preserve"> 25,0</w:t>
            </w:r>
          </w:p>
        </w:tc>
        <w:tc>
          <w:tcPr>
            <w:tcW w:w="381"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50</w:t>
            </w:r>
          </w:p>
        </w:tc>
        <w:tc>
          <w:tcPr>
            <w:tcW w:w="402"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60</w:t>
            </w:r>
          </w:p>
        </w:tc>
        <w:tc>
          <w:tcPr>
            <w:tcW w:w="390"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75</w:t>
            </w:r>
          </w:p>
        </w:tc>
        <w:tc>
          <w:tcPr>
            <w:tcW w:w="447"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80</w:t>
            </w:r>
          </w:p>
        </w:tc>
        <w:tc>
          <w:tcPr>
            <w:tcW w:w="390"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90</w:t>
            </w:r>
          </w:p>
        </w:tc>
        <w:tc>
          <w:tcPr>
            <w:tcW w:w="401"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110</w:t>
            </w:r>
          </w:p>
        </w:tc>
        <w:tc>
          <w:tcPr>
            <w:tcW w:w="516"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120</w:t>
            </w:r>
          </w:p>
        </w:tc>
        <w:tc>
          <w:tcPr>
            <w:tcW w:w="509" w:type="pct"/>
            <w:tcBorders>
              <w:top w:val="single" w:sz="12"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140</w:t>
            </w:r>
          </w:p>
        </w:tc>
        <w:tc>
          <w:tcPr>
            <w:tcW w:w="508" w:type="pct"/>
            <w:tcBorders>
              <w:top w:val="single" w:sz="12" w:space="0" w:color="auto"/>
              <w:left w:val="single" w:sz="6" w:space="0" w:color="auto"/>
              <w:bottom w:val="single" w:sz="12" w:space="0" w:color="auto"/>
              <w:right w:val="single" w:sz="12" w:space="0" w:color="auto"/>
            </w:tcBorders>
          </w:tcPr>
          <w:p>
            <w:pPr>
              <w:jc w:val="left"/>
              <w:rPr>
                <w:rFonts w:eastAsia="Times New Roman"/>
                <w:sz w:val="20"/>
                <w:szCs w:val="20"/>
              </w:rPr>
            </w:pPr>
            <w:r>
              <w:rPr>
                <w:rFonts w:eastAsia="Times New Roman"/>
                <w:sz w:val="20"/>
                <w:szCs w:val="20"/>
              </w:rPr>
              <w:t>205</w:t>
            </w:r>
          </w:p>
        </w:tc>
      </w:tr>
    </w:tbl>
    <w:p>
      <w:pPr>
        <w:pStyle w:val="S0"/>
        <w:rPr>
          <w:lang w:eastAsia="en-US"/>
        </w:rPr>
      </w:pPr>
    </w:p>
    <w:p>
      <w:pPr>
        <w:pStyle w:val="S0"/>
      </w:pPr>
      <w:r>
        <w:t>Кран шаровой муфтовый может иметь:</w:t>
      </w:r>
    </w:p>
    <w:p>
      <w:pPr>
        <w:numPr>
          <w:ilvl w:val="0"/>
          <w:numId w:val="12"/>
        </w:numPr>
        <w:tabs>
          <w:tab w:val="left" w:pos="539"/>
        </w:tabs>
        <w:spacing w:before="120"/>
        <w:ind w:left="538" w:hanging="357"/>
      </w:pPr>
      <w:r>
        <w:t xml:space="preserve">трубную цилиндрическую резьбу по ГОСТ 6357 – обозначение </w:t>
      </w:r>
      <w:r>
        <w:rPr>
          <w:lang w:val="en-US"/>
        </w:rPr>
        <w:t>G</w:t>
      </w:r>
      <w:r>
        <w:t>;</w:t>
      </w:r>
    </w:p>
    <w:p>
      <w:pPr>
        <w:numPr>
          <w:ilvl w:val="0"/>
          <w:numId w:val="12"/>
        </w:numPr>
        <w:tabs>
          <w:tab w:val="left" w:pos="539"/>
        </w:tabs>
        <w:spacing w:before="120"/>
        <w:ind w:left="538" w:hanging="357"/>
      </w:pPr>
      <w:r>
        <w:t xml:space="preserve">коническую резьбу по ГОСТ 6211 – обозначение </w:t>
      </w:r>
      <w:r>
        <w:rPr>
          <w:lang w:val="en-US"/>
        </w:rPr>
        <w:t>Rc</w:t>
      </w:r>
      <w:r>
        <w:t>;</w:t>
      </w:r>
    </w:p>
    <w:p>
      <w:pPr>
        <w:pStyle w:val="S0"/>
        <w:numPr>
          <w:ilvl w:val="0"/>
          <w:numId w:val="32"/>
        </w:numPr>
        <w:spacing w:before="120"/>
        <w:ind w:left="541"/>
      </w:pPr>
      <w:r>
        <w:t>коническую дюймовую резьбу по ГОСТ 6111 – обозначение К.</w:t>
      </w:r>
    </w:p>
    <w:p>
      <w:pPr>
        <w:pStyle w:val="S0"/>
        <w:rPr>
          <w:lang w:eastAsia="en-US"/>
        </w:rPr>
      </w:pPr>
    </w:p>
    <w:p>
      <w:pPr>
        <w:pStyle w:val="S0"/>
        <w:rPr>
          <w:lang w:eastAsia="en-US"/>
        </w:rPr>
      </w:pPr>
    </w:p>
    <w:p>
      <w:pPr>
        <w:pStyle w:val="S30"/>
      </w:pPr>
      <w:bookmarkStart w:id="112" w:name="_Toc481662378"/>
      <w:bookmarkStart w:id="113" w:name="_Toc486233270"/>
      <w:bookmarkStart w:id="114" w:name="_Toc514169517"/>
      <w:r>
        <w:t>4.3.6.</w:t>
      </w:r>
      <w:r>
        <w:tab/>
        <w:t>ТРЕБОВАНИЯ К КРАНАМ ШАРОВЫМ С НИППИЛЬНЫМ ПРИСОЕДИНЕНИЕМ</w:t>
      </w:r>
      <w:bookmarkEnd w:id="112"/>
      <w:bookmarkEnd w:id="113"/>
      <w:bookmarkEnd w:id="114"/>
    </w:p>
    <w:p>
      <w:pPr>
        <w:pStyle w:val="M"/>
      </w:pPr>
    </w:p>
    <w:p>
      <w:r>
        <w:t>Строительная длина крана шарового с ниппельным присоединением должна соответствовать ГОСТ 28908.</w:t>
      </w:r>
    </w:p>
    <w:p/>
    <w:p>
      <w:pPr>
        <w:tabs>
          <w:tab w:val="left" w:pos="993"/>
        </w:tabs>
        <w:rPr>
          <w:rFonts w:eastAsia="PMingLiU"/>
          <w:lang w:eastAsia="en-US"/>
        </w:rPr>
      </w:pPr>
      <w:r>
        <w:rPr>
          <w:rFonts w:eastAsia="PMingLiU"/>
          <w:lang w:eastAsia="en-US"/>
        </w:rPr>
        <w:t>Рекомендованные для условного обозначения строительные длины кранов шаровых с ниппельным присоединением приведены в Таблице 16.</w:t>
      </w:r>
    </w:p>
    <w:p>
      <w:pPr>
        <w:tabs>
          <w:tab w:val="left" w:pos="993"/>
        </w:tabs>
        <w:rPr>
          <w:rFonts w:eastAsia="PMingLiU"/>
          <w:lang w:eastAsia="en-US"/>
        </w:rPr>
      </w:pPr>
    </w:p>
    <w:p>
      <w:pPr>
        <w:keepNext/>
        <w:keepLines/>
        <w:tabs>
          <w:tab w:val="left" w:pos="993"/>
        </w:tabs>
        <w:jc w:val="right"/>
        <w:rPr>
          <w:rFonts w:ascii="Arial" w:eastAsia="Times New Roman" w:hAnsi="Arial" w:cs="Arial"/>
          <w:b/>
          <w:sz w:val="20"/>
          <w:szCs w:val="20"/>
        </w:rPr>
      </w:pPr>
      <w:r>
        <w:rPr>
          <w:rFonts w:ascii="Arial" w:eastAsia="Times New Roman" w:hAnsi="Arial"/>
          <w:b/>
          <w:sz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16</w:t>
      </w:r>
      <w:r>
        <w:rPr>
          <w:rFonts w:ascii="Arial" w:eastAsia="Times New Roman" w:hAnsi="Arial" w:cs="Arial"/>
          <w:b/>
          <w:bCs/>
          <w:sz w:val="20"/>
          <w:szCs w:val="20"/>
        </w:rPr>
        <w:fldChar w:fldCharType="end"/>
      </w:r>
    </w:p>
    <w:p>
      <w:pPr>
        <w:keepNext/>
        <w:keepLines/>
        <w:spacing w:after="60"/>
        <w:jc w:val="right"/>
        <w:rPr>
          <w:rFonts w:ascii="Arial" w:eastAsia="Times New Roman" w:hAnsi="Arial" w:cs="Arial"/>
          <w:b/>
          <w:sz w:val="20"/>
          <w:szCs w:val="20"/>
        </w:rPr>
      </w:pPr>
      <w:r>
        <w:rPr>
          <w:rFonts w:ascii="Arial" w:eastAsia="Times New Roman" w:hAnsi="Arial" w:cs="Arial"/>
          <w:b/>
          <w:sz w:val="20"/>
          <w:szCs w:val="20"/>
        </w:rPr>
        <w:t>Строительные длины кранов шаровых с ниппельным присоединением</w:t>
      </w:r>
    </w:p>
    <w:tbl>
      <w:tblPr>
        <w:tblStyle w:val="aff6"/>
        <w:tblW w:w="5000" w:type="pct"/>
        <w:tblLook w:val="04A0" w:firstRow="1" w:lastRow="0" w:firstColumn="1" w:lastColumn="0" w:noHBand="0" w:noVBand="1"/>
      </w:tblPr>
      <w:tblGrid>
        <w:gridCol w:w="509"/>
        <w:gridCol w:w="2009"/>
        <w:gridCol w:w="995"/>
        <w:gridCol w:w="991"/>
        <w:gridCol w:w="991"/>
        <w:gridCol w:w="1135"/>
        <w:gridCol w:w="1131"/>
        <w:gridCol w:w="993"/>
        <w:gridCol w:w="1100"/>
      </w:tblGrid>
      <w:tr>
        <w:trPr>
          <w:trHeight w:val="516"/>
        </w:trPr>
        <w:tc>
          <w:tcPr>
            <w:tcW w:w="258"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keepNext/>
              <w:keepLines/>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п/п</w:t>
            </w:r>
          </w:p>
        </w:tc>
        <w:tc>
          <w:tcPr>
            <w:tcW w:w="101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keepNext/>
              <w:keepLines/>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val="en-US" w:eastAsia="en-US"/>
              </w:rPr>
              <w:t>PN</w:t>
            </w:r>
            <w:r>
              <w:rPr>
                <w:rFonts w:ascii="Arial" w:eastAsia="PMingLiU" w:hAnsi="Arial" w:cs="Arial"/>
                <w:b/>
                <w:bCs/>
                <w:caps/>
                <w:sz w:val="16"/>
                <w:szCs w:val="20"/>
                <w:u w:color="000000"/>
                <w:lang w:eastAsia="en-US"/>
              </w:rPr>
              <w:t>,</w:t>
            </w:r>
            <w:r>
              <w:rPr>
                <w:rFonts w:ascii="Arial" w:eastAsia="PMingLiU" w:hAnsi="Arial" w:cs="Arial"/>
                <w:b/>
                <w:bCs/>
                <w:caps/>
                <w:sz w:val="16"/>
                <w:szCs w:val="20"/>
                <w:u w:color="000000"/>
                <w:lang w:val="en-US" w:eastAsia="en-US"/>
              </w:rPr>
              <w:t xml:space="preserve"> (</w:t>
            </w:r>
            <w:r>
              <w:rPr>
                <w:rFonts w:ascii="Arial" w:eastAsia="PMingLiU" w:hAnsi="Arial" w:cs="Arial"/>
                <w:b/>
                <w:bCs/>
                <w:caps/>
                <w:sz w:val="16"/>
                <w:szCs w:val="20"/>
                <w:u w:color="000000"/>
                <w:lang w:eastAsia="en-US"/>
              </w:rPr>
              <w:t>МП</w:t>
            </w:r>
            <w:r>
              <w:rPr>
                <w:rFonts w:ascii="Arial" w:eastAsia="PMingLiU" w:hAnsi="Arial" w:cs="Arial"/>
                <w:b/>
                <w:bCs/>
                <w:sz w:val="16"/>
                <w:szCs w:val="20"/>
                <w:u w:color="000000"/>
                <w:lang w:eastAsia="en-US"/>
              </w:rPr>
              <w:t>а</w:t>
            </w:r>
            <w:r>
              <w:rPr>
                <w:rFonts w:ascii="Arial" w:eastAsia="PMingLiU" w:hAnsi="Arial" w:cs="Arial"/>
                <w:b/>
                <w:bCs/>
                <w:caps/>
                <w:sz w:val="16"/>
                <w:szCs w:val="20"/>
                <w:u w:color="000000"/>
                <w:lang w:eastAsia="en-US"/>
              </w:rPr>
              <w:t>)</w:t>
            </w:r>
          </w:p>
        </w:tc>
        <w:tc>
          <w:tcPr>
            <w:tcW w:w="3722" w:type="pct"/>
            <w:gridSpan w:val="7"/>
            <w:tcBorders>
              <w:top w:val="single" w:sz="12" w:space="0" w:color="auto"/>
              <w:left w:val="single" w:sz="6" w:space="0" w:color="auto"/>
              <w:bottom w:val="single" w:sz="6" w:space="0" w:color="auto"/>
              <w:right w:val="single" w:sz="12" w:space="0" w:color="auto"/>
            </w:tcBorders>
            <w:shd w:val="clear" w:color="auto" w:fill="FFD200"/>
            <w:vAlign w:val="center"/>
          </w:tcPr>
          <w:p>
            <w:pPr>
              <w:keepNext/>
              <w:keepLines/>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xml:space="preserve">строительная длина КРАНА ШАРОВОГО с ниппельным присоединением, для УСЛОВНого ПРОХОДа, </w:t>
            </w:r>
            <w:r>
              <w:rPr>
                <w:rFonts w:ascii="Arial" w:eastAsia="PMingLiU" w:hAnsi="Arial" w:cs="Arial"/>
                <w:b/>
                <w:bCs/>
                <w:caps/>
                <w:sz w:val="16"/>
                <w:szCs w:val="20"/>
                <w:u w:color="000000"/>
                <w:lang w:val="en-US" w:eastAsia="en-US"/>
              </w:rPr>
              <w:t>DN</w:t>
            </w:r>
          </w:p>
        </w:tc>
      </w:tr>
      <w:tr>
        <w:trPr>
          <w:trHeight w:val="269"/>
        </w:trPr>
        <w:tc>
          <w:tcPr>
            <w:tcW w:w="258"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1019" w:type="pct"/>
            <w:vMerge/>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505"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6</w:t>
            </w:r>
          </w:p>
        </w:tc>
        <w:tc>
          <w:tcPr>
            <w:tcW w:w="503"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10</w:t>
            </w:r>
          </w:p>
        </w:tc>
        <w:tc>
          <w:tcPr>
            <w:tcW w:w="503"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15</w:t>
            </w:r>
          </w:p>
        </w:tc>
        <w:tc>
          <w:tcPr>
            <w:tcW w:w="576"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20</w:t>
            </w:r>
          </w:p>
        </w:tc>
        <w:tc>
          <w:tcPr>
            <w:tcW w:w="574"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25</w:t>
            </w:r>
          </w:p>
        </w:tc>
        <w:tc>
          <w:tcPr>
            <w:tcW w:w="504" w:type="pct"/>
            <w:tcBorders>
              <w:top w:val="single" w:sz="6"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32</w:t>
            </w:r>
          </w:p>
        </w:tc>
        <w:tc>
          <w:tcPr>
            <w:tcW w:w="558" w:type="pct"/>
            <w:tcBorders>
              <w:top w:val="single" w:sz="6" w:space="0" w:color="auto"/>
              <w:left w:val="single" w:sz="6" w:space="0" w:color="auto"/>
              <w:bottom w:val="single" w:sz="12" w:space="0" w:color="auto"/>
              <w:right w:val="single" w:sz="12"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40</w:t>
            </w:r>
          </w:p>
        </w:tc>
      </w:tr>
      <w:tr>
        <w:trPr>
          <w:trHeight w:val="259"/>
        </w:trPr>
        <w:tc>
          <w:tcPr>
            <w:tcW w:w="258" w:type="pct"/>
            <w:tcBorders>
              <w:top w:val="single" w:sz="12" w:space="0" w:color="auto"/>
              <w:left w:val="single" w:sz="12"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w:t>
            </w:r>
          </w:p>
        </w:tc>
        <w:tc>
          <w:tcPr>
            <w:tcW w:w="1019"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2</w:t>
            </w:r>
          </w:p>
        </w:tc>
        <w:tc>
          <w:tcPr>
            <w:tcW w:w="505"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3</w:t>
            </w:r>
          </w:p>
        </w:tc>
        <w:tc>
          <w:tcPr>
            <w:tcW w:w="503"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4</w:t>
            </w:r>
          </w:p>
        </w:tc>
        <w:tc>
          <w:tcPr>
            <w:tcW w:w="503"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5</w:t>
            </w:r>
          </w:p>
        </w:tc>
        <w:tc>
          <w:tcPr>
            <w:tcW w:w="576"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6</w:t>
            </w:r>
          </w:p>
        </w:tc>
        <w:tc>
          <w:tcPr>
            <w:tcW w:w="57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7</w:t>
            </w:r>
          </w:p>
        </w:tc>
        <w:tc>
          <w:tcPr>
            <w:tcW w:w="50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8</w:t>
            </w:r>
          </w:p>
        </w:tc>
        <w:tc>
          <w:tcPr>
            <w:tcW w:w="558" w:type="pct"/>
            <w:tcBorders>
              <w:top w:val="single" w:sz="12" w:space="0" w:color="auto"/>
              <w:left w:val="single" w:sz="6" w:space="0" w:color="auto"/>
              <w:bottom w:val="single" w:sz="12" w:space="0" w:color="auto"/>
              <w:right w:val="single" w:sz="12"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9</w:t>
            </w:r>
          </w:p>
        </w:tc>
      </w:tr>
      <w:tr>
        <w:tc>
          <w:tcPr>
            <w:tcW w:w="258" w:type="pct"/>
            <w:tcBorders>
              <w:top w:val="single" w:sz="12" w:space="0" w:color="auto"/>
              <w:left w:val="single" w:sz="12"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1</w:t>
            </w:r>
          </w:p>
        </w:tc>
        <w:tc>
          <w:tcPr>
            <w:tcW w:w="1019"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lang w:val="en-US"/>
              </w:rPr>
              <w:t>≤</w:t>
            </w:r>
            <w:r>
              <w:rPr>
                <w:rFonts w:eastAsia="Times New Roman"/>
                <w:sz w:val="20"/>
                <w:szCs w:val="20"/>
              </w:rPr>
              <w:t xml:space="preserve"> 4,0</w:t>
            </w:r>
          </w:p>
        </w:tc>
        <w:tc>
          <w:tcPr>
            <w:tcW w:w="505"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76</w:t>
            </w:r>
          </w:p>
        </w:tc>
        <w:tc>
          <w:tcPr>
            <w:tcW w:w="503"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70</w:t>
            </w:r>
          </w:p>
        </w:tc>
        <w:tc>
          <w:tcPr>
            <w:tcW w:w="503"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105</w:t>
            </w:r>
          </w:p>
        </w:tc>
        <w:tc>
          <w:tcPr>
            <w:tcW w:w="576"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110</w:t>
            </w:r>
          </w:p>
        </w:tc>
        <w:tc>
          <w:tcPr>
            <w:tcW w:w="574"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120</w:t>
            </w:r>
          </w:p>
        </w:tc>
        <w:tc>
          <w:tcPr>
            <w:tcW w:w="504"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145</w:t>
            </w:r>
          </w:p>
        </w:tc>
        <w:tc>
          <w:tcPr>
            <w:tcW w:w="558" w:type="pct"/>
            <w:tcBorders>
              <w:top w:val="single" w:sz="12" w:space="0" w:color="auto"/>
              <w:left w:val="single" w:sz="6" w:space="0" w:color="auto"/>
              <w:bottom w:val="single" w:sz="6" w:space="0" w:color="auto"/>
              <w:right w:val="single" w:sz="12" w:space="0" w:color="auto"/>
            </w:tcBorders>
          </w:tcPr>
          <w:p>
            <w:pPr>
              <w:jc w:val="left"/>
              <w:rPr>
                <w:rFonts w:eastAsia="Times New Roman"/>
                <w:sz w:val="20"/>
                <w:szCs w:val="20"/>
              </w:rPr>
            </w:pPr>
            <w:r>
              <w:rPr>
                <w:rFonts w:eastAsia="Times New Roman"/>
                <w:sz w:val="20"/>
                <w:szCs w:val="20"/>
              </w:rPr>
              <w:t>150</w:t>
            </w:r>
          </w:p>
        </w:tc>
      </w:tr>
      <w:tr>
        <w:tc>
          <w:tcPr>
            <w:tcW w:w="258" w:type="pct"/>
            <w:tcBorders>
              <w:top w:val="single" w:sz="6" w:space="0" w:color="auto"/>
              <w:left w:val="single" w:sz="12"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2</w:t>
            </w:r>
          </w:p>
        </w:tc>
        <w:tc>
          <w:tcPr>
            <w:tcW w:w="1019"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6,3 – 16,0</w:t>
            </w:r>
          </w:p>
        </w:tc>
        <w:tc>
          <w:tcPr>
            <w:tcW w:w="505"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110</w:t>
            </w:r>
          </w:p>
        </w:tc>
        <w:tc>
          <w:tcPr>
            <w:tcW w:w="503"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110</w:t>
            </w:r>
          </w:p>
        </w:tc>
        <w:tc>
          <w:tcPr>
            <w:tcW w:w="503"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120</w:t>
            </w:r>
          </w:p>
        </w:tc>
        <w:tc>
          <w:tcPr>
            <w:tcW w:w="576"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130</w:t>
            </w:r>
          </w:p>
        </w:tc>
        <w:tc>
          <w:tcPr>
            <w:tcW w:w="574"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150</w:t>
            </w:r>
          </w:p>
        </w:tc>
        <w:tc>
          <w:tcPr>
            <w:tcW w:w="504" w:type="pct"/>
            <w:tcBorders>
              <w:top w:val="single" w:sz="6" w:space="0" w:color="auto"/>
              <w:left w:val="single" w:sz="6" w:space="0" w:color="auto"/>
              <w:bottom w:val="single" w:sz="12" w:space="0" w:color="auto"/>
              <w:right w:val="single" w:sz="6" w:space="0" w:color="auto"/>
            </w:tcBorders>
          </w:tcPr>
          <w:p>
            <w:pPr>
              <w:jc w:val="left"/>
              <w:rPr>
                <w:rFonts w:eastAsia="Times New Roman"/>
                <w:sz w:val="20"/>
                <w:szCs w:val="20"/>
              </w:rPr>
            </w:pPr>
            <w:r>
              <w:rPr>
                <w:rFonts w:eastAsia="Times New Roman"/>
                <w:sz w:val="20"/>
                <w:szCs w:val="20"/>
              </w:rPr>
              <w:t>-</w:t>
            </w:r>
          </w:p>
        </w:tc>
        <w:tc>
          <w:tcPr>
            <w:tcW w:w="558" w:type="pct"/>
            <w:tcBorders>
              <w:top w:val="single" w:sz="6" w:space="0" w:color="auto"/>
              <w:left w:val="single" w:sz="6" w:space="0" w:color="auto"/>
              <w:bottom w:val="single" w:sz="12" w:space="0" w:color="auto"/>
              <w:right w:val="single" w:sz="12" w:space="0" w:color="auto"/>
            </w:tcBorders>
          </w:tcPr>
          <w:p>
            <w:pPr>
              <w:jc w:val="left"/>
              <w:rPr>
                <w:rFonts w:eastAsia="Times New Roman"/>
                <w:sz w:val="20"/>
                <w:szCs w:val="20"/>
              </w:rPr>
            </w:pPr>
            <w:r>
              <w:rPr>
                <w:rFonts w:eastAsia="Times New Roman"/>
                <w:sz w:val="20"/>
                <w:szCs w:val="20"/>
              </w:rPr>
              <w:t>-</w:t>
            </w:r>
          </w:p>
        </w:tc>
      </w:tr>
    </w:tbl>
    <w:p>
      <w:pPr>
        <w:pStyle w:val="S0"/>
        <w:rPr>
          <w:lang w:eastAsia="en-US"/>
        </w:rPr>
      </w:pPr>
    </w:p>
    <w:p>
      <w:pPr>
        <w:pStyle w:val="S0"/>
      </w:pPr>
      <w:r>
        <w:t>Кран шаровой ниппельный может иметь:</w:t>
      </w:r>
    </w:p>
    <w:p>
      <w:pPr>
        <w:pStyle w:val="S0"/>
        <w:numPr>
          <w:ilvl w:val="0"/>
          <w:numId w:val="32"/>
        </w:numPr>
        <w:spacing w:before="120"/>
        <w:ind w:left="541"/>
      </w:pPr>
      <w:r>
        <w:t xml:space="preserve">трубную цилиндрическую резьбу по ГОСТ 6357 – обозначение </w:t>
      </w:r>
      <w:r>
        <w:rPr>
          <w:lang w:val="en-US"/>
        </w:rPr>
        <w:t>G</w:t>
      </w:r>
      <w:r>
        <w:t>;</w:t>
      </w:r>
    </w:p>
    <w:p>
      <w:pPr>
        <w:pStyle w:val="S0"/>
        <w:numPr>
          <w:ilvl w:val="0"/>
          <w:numId w:val="32"/>
        </w:numPr>
        <w:spacing w:before="120"/>
        <w:ind w:left="541"/>
      </w:pPr>
      <w:r>
        <w:t xml:space="preserve">коническую резьбу по ГОСТ 6211 – обозначение </w:t>
      </w:r>
      <w:r>
        <w:rPr>
          <w:lang w:val="en-US"/>
        </w:rPr>
        <w:t>Rc</w:t>
      </w:r>
      <w:r>
        <w:t>;</w:t>
      </w:r>
    </w:p>
    <w:p>
      <w:pPr>
        <w:numPr>
          <w:ilvl w:val="0"/>
          <w:numId w:val="12"/>
        </w:numPr>
        <w:tabs>
          <w:tab w:val="left" w:pos="539"/>
        </w:tabs>
        <w:spacing w:before="120"/>
        <w:ind w:left="538" w:hanging="357"/>
      </w:pPr>
      <w:r>
        <w:t>коническую дюймовую резьбу по ГОСТ 6111 – обозначение К.</w:t>
      </w:r>
    </w:p>
    <w:p>
      <w:pPr>
        <w:pStyle w:val="S0"/>
        <w:rPr>
          <w:lang w:eastAsia="en-US"/>
        </w:rPr>
      </w:pPr>
    </w:p>
    <w:p>
      <w:pPr>
        <w:pStyle w:val="S0"/>
        <w:rPr>
          <w:lang w:eastAsia="en-US"/>
        </w:rPr>
      </w:pPr>
    </w:p>
    <w:p>
      <w:pPr>
        <w:pStyle w:val="S30"/>
      </w:pPr>
      <w:bookmarkStart w:id="115" w:name="_Toc481662379"/>
      <w:bookmarkStart w:id="116" w:name="_Toc486233271"/>
      <w:bookmarkStart w:id="117" w:name="_Toc514169518"/>
      <w:r>
        <w:t>4.3.7.</w:t>
      </w:r>
      <w:r>
        <w:tab/>
        <w:t>ТРЕБОВАНИЯ К КРАНАМ ШАРОВЫМ С ФЛАНЦЕВЫМ ПРИСОЕДИНЕНИЕМ</w:t>
      </w:r>
      <w:bookmarkEnd w:id="110"/>
      <w:bookmarkEnd w:id="111"/>
      <w:bookmarkEnd w:id="115"/>
      <w:bookmarkEnd w:id="116"/>
      <w:bookmarkEnd w:id="117"/>
    </w:p>
    <w:p>
      <w:pPr>
        <w:tabs>
          <w:tab w:val="left" w:pos="993"/>
        </w:tabs>
        <w:rPr>
          <w:rFonts w:eastAsia="PMingLiU"/>
          <w:lang w:eastAsia="en-US"/>
        </w:rPr>
      </w:pPr>
    </w:p>
    <w:p>
      <w:r>
        <w:t>Строительная длина крана шарового с фланцевым присоединением должна соответствовать ГОСТ 28908.</w:t>
      </w:r>
    </w:p>
    <w:p/>
    <w:p>
      <w:pPr>
        <w:tabs>
          <w:tab w:val="left" w:pos="993"/>
        </w:tabs>
        <w:rPr>
          <w:rFonts w:eastAsia="PMingLiU"/>
          <w:lang w:eastAsia="en-US"/>
        </w:rPr>
      </w:pPr>
      <w:r>
        <w:rPr>
          <w:rFonts w:eastAsia="PMingLiU"/>
          <w:lang w:eastAsia="en-US"/>
        </w:rPr>
        <w:t>Для проектирования строительства, рекомендуется строительные длины кранов шаровых с фланцевым присоединением применять согласно Таблице 17.</w:t>
      </w:r>
    </w:p>
    <w:p>
      <w:pPr>
        <w:tabs>
          <w:tab w:val="left" w:pos="993"/>
        </w:tabs>
        <w:rPr>
          <w:rFonts w:eastAsia="PMingLiU"/>
          <w:lang w:eastAsia="en-US"/>
        </w:rPr>
      </w:pPr>
    </w:p>
    <w:p>
      <w:pPr>
        <w:keepNext/>
        <w:jc w:val="right"/>
        <w:rPr>
          <w:rFonts w:ascii="Arial" w:eastAsia="Times New Roman" w:hAnsi="Arial" w:cs="Arial"/>
          <w:b/>
          <w:sz w:val="20"/>
          <w:szCs w:val="20"/>
        </w:rPr>
      </w:pPr>
      <w:r>
        <w:rPr>
          <w:rFonts w:ascii="Arial" w:eastAsia="Times New Roman" w:hAnsi="Arial"/>
          <w:b/>
          <w:sz w:val="20"/>
        </w:rPr>
        <w:lastRenderedPageBreak/>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17</w:t>
      </w:r>
      <w:r>
        <w:rPr>
          <w:rFonts w:ascii="Arial" w:eastAsia="Times New Roman" w:hAnsi="Arial" w:cs="Arial"/>
          <w:b/>
          <w:bCs/>
          <w:sz w:val="20"/>
          <w:szCs w:val="20"/>
        </w:rPr>
        <w:fldChar w:fldCharType="end"/>
      </w:r>
    </w:p>
    <w:p>
      <w:pPr>
        <w:keepNext/>
        <w:spacing w:after="60"/>
        <w:jc w:val="right"/>
        <w:rPr>
          <w:rFonts w:ascii="Arial" w:eastAsia="Times New Roman" w:hAnsi="Arial" w:cs="Arial"/>
          <w:b/>
          <w:sz w:val="20"/>
          <w:szCs w:val="20"/>
        </w:rPr>
      </w:pPr>
      <w:r>
        <w:rPr>
          <w:rFonts w:ascii="Arial" w:eastAsia="Times New Roman" w:hAnsi="Arial" w:cs="Arial"/>
          <w:b/>
          <w:sz w:val="20"/>
          <w:szCs w:val="20"/>
        </w:rPr>
        <w:t>Рекомендованные строительные длины кранов шаровых с фланцевым присоединением</w:t>
      </w:r>
    </w:p>
    <w:tbl>
      <w:tblPr>
        <w:tblStyle w:val="aff6"/>
        <w:tblW w:w="5000" w:type="pct"/>
        <w:tblLook w:val="04A0" w:firstRow="1" w:lastRow="0" w:firstColumn="1" w:lastColumn="0" w:noHBand="0" w:noVBand="1"/>
      </w:tblPr>
      <w:tblGrid>
        <w:gridCol w:w="1408"/>
        <w:gridCol w:w="1408"/>
        <w:gridCol w:w="1408"/>
        <w:gridCol w:w="1407"/>
        <w:gridCol w:w="1407"/>
        <w:gridCol w:w="1407"/>
        <w:gridCol w:w="1409"/>
      </w:tblGrid>
      <w:tr>
        <w:trPr>
          <w:trHeight w:val="516"/>
          <w:tblHeader/>
        </w:trPr>
        <w:tc>
          <w:tcPr>
            <w:tcW w:w="714" w:type="pct"/>
            <w:vMerge w:val="restart"/>
            <w:tcBorders>
              <w:top w:val="single" w:sz="12" w:space="0" w:color="auto"/>
              <w:left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xml:space="preserve">№ </w:t>
            </w:r>
            <w:r>
              <w:rPr>
                <w:rFonts w:ascii="Arial" w:eastAsia="PMingLiU" w:hAnsi="Arial" w:cs="Arial"/>
                <w:b/>
                <w:bCs/>
                <w:caps/>
                <w:sz w:val="16"/>
                <w:szCs w:val="20"/>
                <w:u w:color="000000"/>
                <w:lang w:eastAsia="en-US"/>
              </w:rPr>
              <w:br/>
              <w:t>п/п</w:t>
            </w:r>
          </w:p>
        </w:tc>
        <w:tc>
          <w:tcPr>
            <w:tcW w:w="714" w:type="pct"/>
            <w:vMerge w:val="restart"/>
            <w:tcBorders>
              <w:top w:val="single" w:sz="12" w:space="0" w:color="auto"/>
              <w:left w:val="single" w:sz="6"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DN, ММ</w:t>
            </w:r>
          </w:p>
        </w:tc>
        <w:tc>
          <w:tcPr>
            <w:tcW w:w="3571" w:type="pct"/>
            <w:gridSpan w:val="5"/>
            <w:tcBorders>
              <w:top w:val="single" w:sz="12" w:space="0" w:color="auto"/>
              <w:left w:val="single" w:sz="6" w:space="0" w:color="auto"/>
              <w:bottom w:val="single" w:sz="6" w:space="0" w:color="auto"/>
              <w:right w:val="single" w:sz="12"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строительная длина кранов шаровых с фланцевым присоединением L, мм для РN, МПа</w:t>
            </w:r>
          </w:p>
        </w:tc>
      </w:tr>
      <w:tr>
        <w:trPr>
          <w:trHeight w:val="269"/>
          <w:tblHeader/>
        </w:trPr>
        <w:tc>
          <w:tcPr>
            <w:tcW w:w="714" w:type="pct"/>
            <w:vMerge/>
            <w:tcBorders>
              <w:left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p>
        </w:tc>
        <w:tc>
          <w:tcPr>
            <w:tcW w:w="714" w:type="pct"/>
            <w:vMerge/>
            <w:tcBorders>
              <w:left w:val="single" w:sz="6"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p>
        </w:tc>
        <w:tc>
          <w:tcPr>
            <w:tcW w:w="714" w:type="pct"/>
            <w:tcBorders>
              <w:top w:val="single" w:sz="6" w:space="0" w:color="auto"/>
              <w:left w:val="single" w:sz="6" w:space="0" w:color="auto"/>
              <w:bottom w:val="single" w:sz="6" w:space="0" w:color="auto"/>
              <w:right w:val="single" w:sz="6" w:space="0" w:color="auto"/>
            </w:tcBorders>
            <w:shd w:val="clear" w:color="auto" w:fill="FFD200"/>
            <w:vAlign w:val="center"/>
          </w:tcPr>
          <w:p>
            <w:pPr>
              <w:keepNext/>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До 1,6</w:t>
            </w:r>
          </w:p>
        </w:tc>
        <w:tc>
          <w:tcPr>
            <w:tcW w:w="714" w:type="pct"/>
            <w:tcBorders>
              <w:top w:val="single" w:sz="6" w:space="0" w:color="auto"/>
              <w:left w:val="single" w:sz="6" w:space="0" w:color="auto"/>
              <w:bottom w:val="single" w:sz="6" w:space="0" w:color="auto"/>
              <w:right w:val="single" w:sz="6" w:space="0" w:color="auto"/>
            </w:tcBorders>
            <w:shd w:val="clear" w:color="auto" w:fill="FFD200"/>
            <w:vAlign w:val="center"/>
          </w:tcPr>
          <w:p>
            <w:pPr>
              <w:keepNext/>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2,5 – 4,0</w:t>
            </w:r>
          </w:p>
        </w:tc>
        <w:tc>
          <w:tcPr>
            <w:tcW w:w="714" w:type="pct"/>
            <w:tcBorders>
              <w:top w:val="single" w:sz="6" w:space="0" w:color="auto"/>
              <w:left w:val="single" w:sz="6" w:space="0" w:color="auto"/>
              <w:right w:val="single" w:sz="6" w:space="0" w:color="auto"/>
            </w:tcBorders>
            <w:shd w:val="clear" w:color="auto" w:fill="FFD200"/>
            <w:vAlign w:val="center"/>
          </w:tcPr>
          <w:p>
            <w:pPr>
              <w:keepNext/>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6,3 - 10,0</w:t>
            </w:r>
          </w:p>
        </w:tc>
        <w:tc>
          <w:tcPr>
            <w:tcW w:w="714" w:type="pct"/>
            <w:tcBorders>
              <w:top w:val="single" w:sz="6" w:space="0" w:color="auto"/>
              <w:left w:val="single" w:sz="6" w:space="0" w:color="auto"/>
              <w:right w:val="single" w:sz="6" w:space="0" w:color="auto"/>
            </w:tcBorders>
            <w:shd w:val="clear" w:color="auto" w:fill="FFD200"/>
            <w:vAlign w:val="center"/>
          </w:tcPr>
          <w:p>
            <w:pPr>
              <w:keepNext/>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12,5 - 16,0</w:t>
            </w:r>
          </w:p>
        </w:tc>
        <w:tc>
          <w:tcPr>
            <w:tcW w:w="715" w:type="pct"/>
            <w:tcBorders>
              <w:top w:val="single" w:sz="6" w:space="0" w:color="auto"/>
              <w:left w:val="single" w:sz="6" w:space="0" w:color="auto"/>
              <w:right w:val="single" w:sz="12" w:space="0" w:color="auto"/>
            </w:tcBorders>
            <w:shd w:val="clear" w:color="auto" w:fill="FFD200"/>
            <w:vAlign w:val="center"/>
          </w:tcPr>
          <w:p>
            <w:pPr>
              <w:keepNext/>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20,0 - 32,0</w:t>
            </w:r>
          </w:p>
        </w:tc>
      </w:tr>
      <w:tr>
        <w:trPr>
          <w:trHeight w:val="259"/>
          <w:tblHeader/>
        </w:trPr>
        <w:tc>
          <w:tcPr>
            <w:tcW w:w="714" w:type="pct"/>
            <w:tcBorders>
              <w:top w:val="single" w:sz="12" w:space="0" w:color="auto"/>
              <w:left w:val="single" w:sz="12"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2</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3</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4</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5</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6</w:t>
            </w:r>
          </w:p>
        </w:tc>
        <w:tc>
          <w:tcPr>
            <w:tcW w:w="715" w:type="pct"/>
            <w:tcBorders>
              <w:top w:val="single" w:sz="12" w:space="0" w:color="auto"/>
              <w:left w:val="single" w:sz="6" w:space="0" w:color="auto"/>
              <w:bottom w:val="single" w:sz="12" w:space="0" w:color="auto"/>
              <w:right w:val="single" w:sz="12" w:space="0" w:color="auto"/>
            </w:tcBorders>
            <w:shd w:val="clear" w:color="auto" w:fill="FFD200"/>
            <w:vAlign w:val="center"/>
          </w:tcPr>
          <w:p>
            <w:pPr>
              <w:keepNext/>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7</w:t>
            </w:r>
          </w:p>
        </w:tc>
      </w:tr>
      <w:tr>
        <w:tc>
          <w:tcPr>
            <w:tcW w:w="714" w:type="pct"/>
            <w:tcBorders>
              <w:top w:val="single" w:sz="12"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w:t>
            </w:r>
          </w:p>
        </w:tc>
        <w:tc>
          <w:tcPr>
            <w:tcW w:w="714" w:type="pct"/>
            <w:tcBorders>
              <w:top w:val="single" w:sz="12"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w:t>
            </w:r>
          </w:p>
        </w:tc>
        <w:tc>
          <w:tcPr>
            <w:tcW w:w="714" w:type="pct"/>
            <w:tcBorders>
              <w:top w:val="single" w:sz="12"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102</w:t>
            </w:r>
          </w:p>
        </w:tc>
        <w:tc>
          <w:tcPr>
            <w:tcW w:w="714" w:type="pct"/>
            <w:tcBorders>
              <w:top w:val="single" w:sz="12" w:space="0" w:color="auto"/>
              <w:left w:val="single" w:sz="6" w:space="0" w:color="auto"/>
              <w:bottom w:val="single" w:sz="6" w:space="0" w:color="auto"/>
              <w:right w:val="single" w:sz="6" w:space="0" w:color="auto"/>
            </w:tcBorders>
          </w:tcPr>
          <w:p>
            <w:r>
              <w:rPr>
                <w:rFonts w:eastAsia="Times New Roman"/>
                <w:sz w:val="20"/>
                <w:szCs w:val="20"/>
              </w:rPr>
              <w:t>–</w:t>
            </w:r>
          </w:p>
        </w:tc>
        <w:tc>
          <w:tcPr>
            <w:tcW w:w="714" w:type="pct"/>
            <w:tcBorders>
              <w:top w:val="single" w:sz="12" w:space="0" w:color="auto"/>
              <w:left w:val="single" w:sz="6" w:space="0" w:color="auto"/>
              <w:bottom w:val="single" w:sz="6" w:space="0" w:color="auto"/>
              <w:right w:val="single" w:sz="6" w:space="0" w:color="auto"/>
            </w:tcBorders>
          </w:tcPr>
          <w:p>
            <w:r>
              <w:rPr>
                <w:rFonts w:eastAsia="Times New Roman"/>
                <w:sz w:val="20"/>
                <w:szCs w:val="20"/>
              </w:rPr>
              <w:t>–</w:t>
            </w:r>
          </w:p>
        </w:tc>
        <w:tc>
          <w:tcPr>
            <w:tcW w:w="714" w:type="pct"/>
            <w:tcBorders>
              <w:top w:val="single" w:sz="12"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12"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230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260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127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260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178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229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300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241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300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178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292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350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241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330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283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229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520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559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292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660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330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568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787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648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838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lang w:val="en-US"/>
              </w:rPr>
            </w:pPr>
            <w:r>
              <w:rPr>
                <w:rFonts w:eastAsia="Times New Roman"/>
                <w:sz w:val="20"/>
                <w:szCs w:val="20"/>
                <w:lang w:val="en-US"/>
              </w:rPr>
              <w:t>1050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381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762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889</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838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991</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914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1092</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991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1194</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1143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1397</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610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1549</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660</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rPr>
              <w:t>–</w:t>
            </w:r>
          </w:p>
        </w:tc>
      </w:tr>
      <w:tr>
        <w:tc>
          <w:tcPr>
            <w:tcW w:w="714" w:type="pct"/>
            <w:tcBorders>
              <w:top w:val="single" w:sz="6" w:space="0" w:color="auto"/>
              <w:left w:val="single" w:sz="12" w:space="0" w:color="auto"/>
              <w:bottom w:val="single" w:sz="12" w:space="0" w:color="auto"/>
              <w:right w:val="single" w:sz="6" w:space="0" w:color="auto"/>
            </w:tcBorders>
          </w:tcPr>
          <w:p>
            <w:pPr>
              <w:rPr>
                <w:rFonts w:eastAsia="Times New Roman"/>
                <w:sz w:val="20"/>
                <w:szCs w:val="20"/>
              </w:rPr>
            </w:pPr>
            <w:r>
              <w:rPr>
                <w:rFonts w:eastAsia="Times New Roman"/>
                <w:sz w:val="20"/>
                <w:szCs w:val="20"/>
              </w:rPr>
              <w:t>22</w:t>
            </w:r>
          </w:p>
        </w:tc>
        <w:tc>
          <w:tcPr>
            <w:tcW w:w="714" w:type="pct"/>
            <w:tcBorders>
              <w:top w:val="single" w:sz="6" w:space="0" w:color="auto"/>
              <w:left w:val="single" w:sz="6" w:space="0" w:color="auto"/>
              <w:bottom w:val="single" w:sz="12" w:space="0" w:color="auto"/>
              <w:right w:val="single" w:sz="6" w:space="0" w:color="auto"/>
            </w:tcBorders>
          </w:tcPr>
          <w:p>
            <w:pPr>
              <w:rPr>
                <w:rFonts w:eastAsia="Times New Roman"/>
                <w:sz w:val="20"/>
                <w:szCs w:val="20"/>
              </w:rPr>
            </w:pPr>
            <w:r>
              <w:rPr>
                <w:rFonts w:eastAsia="Times New Roman"/>
                <w:sz w:val="20"/>
                <w:szCs w:val="20"/>
              </w:rPr>
              <w:t>1000</w:t>
            </w:r>
          </w:p>
        </w:tc>
        <w:tc>
          <w:tcPr>
            <w:tcW w:w="714" w:type="pct"/>
            <w:tcBorders>
              <w:top w:val="single" w:sz="6" w:space="0" w:color="auto"/>
              <w:left w:val="single" w:sz="6" w:space="0" w:color="auto"/>
              <w:bottom w:val="single" w:sz="12" w:space="0" w:color="auto"/>
              <w:right w:val="single" w:sz="6" w:space="0" w:color="auto"/>
            </w:tcBorders>
          </w:tcPr>
          <w:p>
            <w:pPr>
              <w:rPr>
                <w:rFonts w:eastAsia="Times New Roman"/>
                <w:sz w:val="20"/>
                <w:szCs w:val="20"/>
              </w:rPr>
            </w:pPr>
            <w:r>
              <w:rPr>
                <w:rFonts w:eastAsia="Times New Roman"/>
                <w:sz w:val="20"/>
                <w:szCs w:val="20"/>
              </w:rPr>
              <w:t>813</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rPr>
              <w:t>–</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rPr>
              <w:t>–</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rPr>
              <w:t>–</w:t>
            </w:r>
          </w:p>
        </w:tc>
        <w:tc>
          <w:tcPr>
            <w:tcW w:w="715" w:type="pct"/>
            <w:tcBorders>
              <w:top w:val="single" w:sz="6" w:space="0" w:color="auto"/>
              <w:left w:val="single" w:sz="6" w:space="0" w:color="auto"/>
              <w:bottom w:val="single" w:sz="12" w:space="0" w:color="auto"/>
              <w:right w:val="single" w:sz="12" w:space="0" w:color="auto"/>
            </w:tcBorders>
          </w:tcPr>
          <w:p>
            <w:r>
              <w:rPr>
                <w:rFonts w:eastAsia="Times New Roman"/>
                <w:sz w:val="20"/>
                <w:szCs w:val="20"/>
              </w:rPr>
              <w:t>–</w:t>
            </w:r>
          </w:p>
        </w:tc>
      </w:tr>
    </w:tbl>
    <w:p>
      <w:pPr>
        <w:rPr>
          <w:rFonts w:eastAsia="Times New Roman"/>
        </w:rPr>
      </w:pPr>
    </w:p>
    <w:p>
      <w:pPr>
        <w:tabs>
          <w:tab w:val="left" w:pos="567"/>
          <w:tab w:val="left" w:pos="993"/>
        </w:tabs>
      </w:pPr>
      <w:r>
        <w:t>Допуски на строительные размеры фланцевой арматуры:</w:t>
      </w:r>
    </w:p>
    <w:p>
      <w:pPr>
        <w:numPr>
          <w:ilvl w:val="0"/>
          <w:numId w:val="12"/>
        </w:numPr>
        <w:tabs>
          <w:tab w:val="left" w:pos="539"/>
        </w:tabs>
        <w:spacing w:before="120"/>
        <w:ind w:left="538" w:hanging="357"/>
      </w:pPr>
      <w:r>
        <w:t xml:space="preserve">± 2 мм для кранов шаровых </w:t>
      </w:r>
      <w:r>
        <w:rPr>
          <w:lang w:val="en-US"/>
        </w:rPr>
        <w:t>DN</w:t>
      </w:r>
      <w:r>
        <w:t> </w:t>
      </w:r>
      <w:r>
        <w:rPr>
          <w:snapToGrid w:val="0"/>
        </w:rPr>
        <w:t>≤</w:t>
      </w:r>
      <w:r>
        <w:t> 250;</w:t>
      </w:r>
    </w:p>
    <w:p>
      <w:pPr>
        <w:numPr>
          <w:ilvl w:val="0"/>
          <w:numId w:val="12"/>
        </w:numPr>
        <w:tabs>
          <w:tab w:val="left" w:pos="539"/>
        </w:tabs>
        <w:spacing w:before="120"/>
        <w:ind w:left="538" w:hanging="357"/>
      </w:pPr>
      <w:r>
        <w:t xml:space="preserve">± 3 мм для кранов шаровых </w:t>
      </w:r>
      <w:r>
        <w:rPr>
          <w:lang w:val="en-US"/>
        </w:rPr>
        <w:t>DN</w:t>
      </w:r>
      <w:r>
        <w:t> </w:t>
      </w:r>
      <w:r>
        <w:rPr>
          <w:snapToGrid w:val="0"/>
        </w:rPr>
        <w:t>&gt;</w:t>
      </w:r>
      <w:r>
        <w:t> 300.</w:t>
      </w:r>
    </w:p>
    <w:p>
      <w:pPr>
        <w:tabs>
          <w:tab w:val="left" w:pos="567"/>
          <w:tab w:val="left" w:pos="993"/>
        </w:tabs>
        <w:rPr>
          <w:rFonts w:eastAsia="PMingLiU"/>
          <w:lang w:eastAsia="en-US"/>
        </w:rPr>
      </w:pPr>
    </w:p>
    <w:p>
      <w:pPr>
        <w:tabs>
          <w:tab w:val="left" w:pos="567"/>
          <w:tab w:val="left" w:pos="993"/>
        </w:tabs>
        <w:rPr>
          <w:rFonts w:eastAsia="PMingLiU"/>
          <w:lang w:eastAsia="en-US"/>
        </w:rPr>
      </w:pPr>
    </w:p>
    <w:p>
      <w:pPr>
        <w:pStyle w:val="S30"/>
      </w:pPr>
      <w:bookmarkStart w:id="118" w:name="_Toc392752837"/>
      <w:bookmarkStart w:id="119" w:name="_Toc404615314"/>
      <w:bookmarkStart w:id="120" w:name="_Toc481662380"/>
      <w:bookmarkStart w:id="121" w:name="_Toc486233272"/>
      <w:bookmarkStart w:id="122" w:name="_Toc514169519"/>
      <w:r>
        <w:t>4.3.8.</w:t>
      </w:r>
      <w:r>
        <w:tab/>
        <w:t>ТРЕБОВАНИЯ К ИСПОЛНЕНИЮ ПРИСОЕДИНИТЕЛЬНЫХ ПОВЕРХНОСТЕЙ ФЛАНЦЕВ</w:t>
      </w:r>
      <w:bookmarkEnd w:id="118"/>
      <w:bookmarkEnd w:id="119"/>
      <w:bookmarkEnd w:id="120"/>
      <w:bookmarkEnd w:id="121"/>
      <w:bookmarkEnd w:id="122"/>
    </w:p>
    <w:p>
      <w:pPr>
        <w:tabs>
          <w:tab w:val="left" w:pos="993"/>
        </w:tabs>
        <w:autoSpaceDE w:val="0"/>
        <w:autoSpaceDN w:val="0"/>
        <w:adjustRightInd w:val="0"/>
        <w:contextualSpacing/>
        <w:rPr>
          <w:rFonts w:eastAsia="PMingLiU"/>
          <w:szCs w:val="22"/>
          <w:lang w:eastAsia="en-US"/>
        </w:rPr>
      </w:pPr>
    </w:p>
    <w:p>
      <w:r>
        <w:t>На трубопроводах, транспортирующих вещества групп А и Б технологических объектов I</w:t>
      </w:r>
      <w:r>
        <w:rPr>
          <w:lang w:val="en-US"/>
        </w:rPr>
        <w:t> </w:t>
      </w:r>
      <w:r>
        <w:t>категории взрывоопасности, не применять фланцевые соединения кранов шаровых с соединительным выступом исполнения «В» по ГОСТ 33259, за исключением случаев применения спирально-навитых прокладок с ограничительными кольцами, согласно требований руководства по безопасности «Рекомендации по устройству и безопасной эксплуатации технологических трубопроводов», утверждённого приказом Ростехнадзора от 27.12.2012 № 784.</w:t>
      </w:r>
    </w:p>
    <w:p/>
    <w:p>
      <w:pPr>
        <w:pStyle w:val="19"/>
        <w:tabs>
          <w:tab w:val="left" w:pos="993"/>
        </w:tabs>
        <w:autoSpaceDE w:val="0"/>
        <w:autoSpaceDN w:val="0"/>
        <w:adjustRightInd w:val="0"/>
        <w:ind w:left="0" w:firstLine="0"/>
      </w:pPr>
      <w:r>
        <w:t xml:space="preserve">Для фланцев кранов шаровых и присоединяемых ответных фланцев </w:t>
      </w:r>
      <w:r>
        <w:rPr>
          <w:lang w:val="en-US"/>
        </w:rPr>
        <w:t>PN</w:t>
      </w:r>
      <w:r>
        <w:t xml:space="preserve"> от 1,6 МПа </w:t>
      </w:r>
      <w:r>
        <w:br/>
        <w:t>(16 кгс/см²) до 20,0 МПа (200 кгс/см²), исполнение, размеры уплотнительной поверхности E, F, J и габаритные размеры фланцев должны соответствовать ГОСТ 33259.</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Исполнение уплотнительных поверхностей для фланцев PN 25,0 МПа (250 кгс/см</w:t>
      </w:r>
      <w:r>
        <w:rPr>
          <w:vertAlign w:val="superscript"/>
        </w:rPr>
        <w:t>2</w:t>
      </w:r>
      <w:r>
        <w:t xml:space="preserve">), </w:t>
      </w:r>
      <w:r>
        <w:br/>
        <w:t xml:space="preserve">32,0 МПа (320 кгс/см²) по ГОСТ 28919 с параметрами фланцевого соединения </w:t>
      </w:r>
      <w:r>
        <w:rPr>
          <w:lang w:val="en-US"/>
        </w:rPr>
        <w:t>PN</w:t>
      </w:r>
      <w:r>
        <w:t> 35,0 МПа (350 кгс/см</w:t>
      </w:r>
      <w:r>
        <w:rPr>
          <w:vertAlign w:val="superscript"/>
        </w:rPr>
        <w:t>2</w:t>
      </w:r>
      <w:r>
        <w:t>) тип 1, исполнение 1.</w:t>
      </w:r>
    </w:p>
    <w:p>
      <w:pPr>
        <w:tabs>
          <w:tab w:val="left" w:pos="993"/>
        </w:tabs>
        <w:autoSpaceDE w:val="0"/>
        <w:autoSpaceDN w:val="0"/>
        <w:adjustRightInd w:val="0"/>
        <w:contextualSpacing/>
        <w:rPr>
          <w:rFonts w:eastAsia="Times New Roman"/>
        </w:rPr>
      </w:pPr>
    </w:p>
    <w:p>
      <w:pPr>
        <w:tabs>
          <w:tab w:val="left" w:pos="993"/>
        </w:tabs>
        <w:autoSpaceDE w:val="0"/>
        <w:autoSpaceDN w:val="0"/>
        <w:adjustRightInd w:val="0"/>
        <w:contextualSpacing/>
        <w:rPr>
          <w:rFonts w:eastAsia="Times New Roman"/>
        </w:rPr>
      </w:pPr>
      <w:r>
        <w:rPr>
          <w:rFonts w:eastAsia="Times New Roman"/>
        </w:rPr>
        <w:lastRenderedPageBreak/>
        <w:t>Отклонения от параллельности и перпендикулярности (относительно оси корпуса) уплотнительных (присоединительных) поверхностей фланцев крана шарового должны соответствовать требованиям ГОСТ 21345.</w:t>
      </w:r>
    </w:p>
    <w:p>
      <w:pPr>
        <w:tabs>
          <w:tab w:val="left" w:pos="993"/>
        </w:tabs>
        <w:autoSpaceDE w:val="0"/>
        <w:autoSpaceDN w:val="0"/>
        <w:adjustRightInd w:val="0"/>
        <w:contextualSpacing/>
        <w:rPr>
          <w:rFonts w:eastAsia="Times New Roman"/>
        </w:rPr>
      </w:pPr>
    </w:p>
    <w:p>
      <w:pPr>
        <w:tabs>
          <w:tab w:val="left" w:pos="993"/>
        </w:tabs>
        <w:autoSpaceDE w:val="0"/>
        <w:autoSpaceDN w:val="0"/>
        <w:adjustRightInd w:val="0"/>
        <w:contextualSpacing/>
        <w:rPr>
          <w:rFonts w:eastAsia="Times New Roman"/>
        </w:rPr>
      </w:pPr>
      <w:r>
        <w:rPr>
          <w:rFonts w:eastAsia="Times New Roman"/>
        </w:rPr>
        <w:t>Исполнения уплотнительных поверхностей фланцев крана шарового и ответных фланцев присоединительных фланцев трубопровода/изделия приведены в Таблице 18.</w:t>
      </w:r>
    </w:p>
    <w:p>
      <w:pPr>
        <w:widowControl w:val="0"/>
        <w:rPr>
          <w:rFonts w:eastAsia="Times New Roman"/>
        </w:rPr>
      </w:pPr>
    </w:p>
    <w:p>
      <w:pPr>
        <w:keepNext/>
        <w:widowControl w:val="0"/>
        <w:jc w:val="right"/>
        <w:rPr>
          <w:rFonts w:ascii="Arial" w:eastAsia="Times New Roman" w:hAnsi="Arial" w:cs="Arial"/>
          <w:b/>
          <w:sz w:val="20"/>
          <w:szCs w:val="20"/>
        </w:rPr>
      </w:pPr>
      <w:r>
        <w:rPr>
          <w:rFonts w:ascii="Arial" w:eastAsia="Times New Roman" w:hAnsi="Arial"/>
          <w:b/>
          <w:sz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18</w:t>
      </w:r>
      <w:r>
        <w:rPr>
          <w:rFonts w:ascii="Arial" w:eastAsia="Times New Roman" w:hAnsi="Arial" w:cs="Arial"/>
          <w:b/>
          <w:bCs/>
          <w:sz w:val="20"/>
          <w:szCs w:val="20"/>
        </w:rPr>
        <w:fldChar w:fldCharType="end"/>
      </w:r>
    </w:p>
    <w:p>
      <w:pPr>
        <w:keepNext/>
        <w:widowControl w:val="0"/>
        <w:spacing w:after="60"/>
        <w:jc w:val="right"/>
        <w:rPr>
          <w:rFonts w:ascii="Arial" w:eastAsia="Times New Roman" w:hAnsi="Arial" w:cs="Arial"/>
          <w:b/>
          <w:sz w:val="20"/>
          <w:szCs w:val="20"/>
        </w:rPr>
      </w:pPr>
      <w:r>
        <w:rPr>
          <w:rFonts w:ascii="Arial" w:eastAsia="Times New Roman" w:hAnsi="Arial" w:cs="Arial"/>
          <w:b/>
          <w:sz w:val="20"/>
          <w:szCs w:val="20"/>
        </w:rPr>
        <w:t>Выбор исполнения уплотнительной поверхности фланцев крана шарового</w:t>
      </w:r>
      <w:r>
        <w:rPr>
          <w:rFonts w:ascii="Arial" w:eastAsia="Times New Roman" w:hAnsi="Arial" w:cs="Arial"/>
          <w:b/>
          <w:sz w:val="20"/>
          <w:szCs w:val="20"/>
        </w:rPr>
        <w:br/>
        <w:t>и присоединяемых фланцев трубопровода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ook w:val="04A0" w:firstRow="1" w:lastRow="0" w:firstColumn="1" w:lastColumn="0" w:noHBand="0" w:noVBand="1"/>
      </w:tblPr>
      <w:tblGrid>
        <w:gridCol w:w="491"/>
        <w:gridCol w:w="3862"/>
        <w:gridCol w:w="3126"/>
        <w:gridCol w:w="2375"/>
      </w:tblGrid>
      <w:tr>
        <w:trPr>
          <w:cantSplit/>
          <w:trHeight w:val="259"/>
          <w:tblHeader/>
        </w:trPr>
        <w:tc>
          <w:tcPr>
            <w:tcW w:w="249" w:type="pct"/>
            <w:vMerge w:val="restart"/>
            <w:tcBorders>
              <w:top w:val="single" w:sz="12" w:space="0" w:color="auto"/>
              <w:bottom w:val="single" w:sz="6" w:space="0" w:color="auto"/>
            </w:tcBorders>
            <w:shd w:val="clear" w:color="auto" w:fill="FFD200"/>
            <w:vAlign w:val="center"/>
          </w:tcPr>
          <w:p>
            <w:pPr>
              <w:jc w:val="center"/>
              <w:rPr>
                <w:rFonts w:ascii="Arial" w:hAnsi="Arial" w:cs="Arial"/>
                <w:b/>
                <w:bCs/>
                <w:sz w:val="16"/>
                <w:szCs w:val="20"/>
                <w:u w:color="000000"/>
              </w:rPr>
            </w:pPr>
            <w:r>
              <w:rPr>
                <w:rFonts w:ascii="Arial" w:hAnsi="Arial" w:cs="Arial"/>
                <w:b/>
                <w:bCs/>
                <w:sz w:val="16"/>
                <w:szCs w:val="20"/>
                <w:u w:color="000000"/>
              </w:rPr>
              <w:t>№</w:t>
            </w:r>
          </w:p>
          <w:p>
            <w:pPr>
              <w:jc w:val="center"/>
              <w:rPr>
                <w:rFonts w:ascii="Arial" w:hAnsi="Arial" w:cs="Arial"/>
                <w:b/>
                <w:bCs/>
                <w:sz w:val="16"/>
                <w:szCs w:val="20"/>
                <w:u w:color="000000"/>
              </w:rPr>
            </w:pPr>
            <w:r>
              <w:rPr>
                <w:rFonts w:ascii="Arial" w:hAnsi="Arial" w:cs="Arial"/>
                <w:b/>
                <w:bCs/>
                <w:sz w:val="16"/>
                <w:szCs w:val="20"/>
                <w:u w:color="000000"/>
              </w:rPr>
              <w:t>П/П</w:t>
            </w:r>
          </w:p>
        </w:tc>
        <w:tc>
          <w:tcPr>
            <w:tcW w:w="1960" w:type="pct"/>
            <w:vMerge w:val="restart"/>
            <w:tcBorders>
              <w:top w:val="single" w:sz="12" w:space="0" w:color="auto"/>
              <w:bottom w:val="single" w:sz="6" w:space="0" w:color="auto"/>
            </w:tcBorders>
            <w:shd w:val="clear" w:color="auto" w:fill="FFD200"/>
            <w:vAlign w:val="center"/>
          </w:tcPr>
          <w:p>
            <w:pPr>
              <w:jc w:val="center"/>
              <w:rPr>
                <w:rFonts w:ascii="Arial" w:hAnsi="Arial" w:cs="Arial"/>
                <w:b/>
                <w:bCs/>
                <w:sz w:val="16"/>
                <w:szCs w:val="20"/>
                <w:u w:color="000000"/>
              </w:rPr>
            </w:pPr>
            <w:r>
              <w:rPr>
                <w:rFonts w:ascii="Arial" w:hAnsi="Arial" w:cs="Arial"/>
                <w:b/>
                <w:bCs/>
                <w:sz w:val="16"/>
                <w:szCs w:val="20"/>
                <w:u w:color="000000"/>
              </w:rPr>
              <w:t>Р</w:t>
            </w:r>
            <w:r>
              <w:rPr>
                <w:rFonts w:ascii="Arial" w:hAnsi="Arial" w:cs="Arial"/>
                <w:b/>
                <w:bCs/>
                <w:sz w:val="16"/>
                <w:szCs w:val="20"/>
                <w:u w:color="000000"/>
                <w:lang w:val="en-US"/>
              </w:rPr>
              <w:t>N</w:t>
            </w:r>
            <w:r>
              <w:rPr>
                <w:rFonts w:ascii="Arial" w:hAnsi="Arial" w:cs="Arial"/>
                <w:b/>
                <w:bCs/>
                <w:sz w:val="16"/>
                <w:szCs w:val="20"/>
                <w:u w:color="000000"/>
              </w:rPr>
              <w:t>, МПА (КГС/</w:t>
            </w:r>
            <w:r>
              <w:rPr>
                <w:rFonts w:ascii="Arial" w:hAnsi="Arial" w:cs="Arial"/>
                <w:b/>
                <w:bCs/>
                <w:sz w:val="16"/>
                <w:szCs w:val="20"/>
                <w:u w:color="000000"/>
                <w:lang w:val="en-US"/>
              </w:rPr>
              <w:t>C</w:t>
            </w:r>
            <w:r>
              <w:rPr>
                <w:rFonts w:ascii="Arial" w:hAnsi="Arial" w:cs="Arial"/>
                <w:b/>
                <w:bCs/>
                <w:sz w:val="16"/>
                <w:szCs w:val="20"/>
                <w:u w:color="000000"/>
              </w:rPr>
              <w:t>М</w:t>
            </w:r>
            <w:r>
              <w:rPr>
                <w:rFonts w:ascii="Arial" w:hAnsi="Arial" w:cs="Arial"/>
                <w:b/>
                <w:bCs/>
                <w:sz w:val="16"/>
                <w:szCs w:val="20"/>
                <w:u w:color="000000"/>
                <w:vertAlign w:val="superscript"/>
              </w:rPr>
              <w:t>2</w:t>
            </w:r>
            <w:r>
              <w:rPr>
                <w:rFonts w:ascii="Arial" w:hAnsi="Arial" w:cs="Arial"/>
                <w:b/>
                <w:bCs/>
                <w:sz w:val="16"/>
                <w:szCs w:val="20"/>
                <w:u w:color="000000"/>
              </w:rPr>
              <w:t>)</w:t>
            </w:r>
          </w:p>
        </w:tc>
        <w:tc>
          <w:tcPr>
            <w:tcW w:w="2791" w:type="pct"/>
            <w:gridSpan w:val="2"/>
            <w:tcBorders>
              <w:top w:val="single" w:sz="12" w:space="0" w:color="auto"/>
              <w:bottom w:val="single" w:sz="6" w:space="0" w:color="auto"/>
            </w:tcBorders>
            <w:shd w:val="clear" w:color="auto" w:fill="FFD200"/>
            <w:vAlign w:val="center"/>
          </w:tcPr>
          <w:p>
            <w:pPr>
              <w:jc w:val="center"/>
              <w:rPr>
                <w:rFonts w:ascii="Arial" w:hAnsi="Arial" w:cs="Arial"/>
                <w:b/>
                <w:bCs/>
                <w:caps/>
                <w:sz w:val="16"/>
                <w:szCs w:val="20"/>
                <w:u w:color="000000"/>
              </w:rPr>
            </w:pPr>
            <w:r>
              <w:rPr>
                <w:rFonts w:ascii="Arial" w:hAnsi="Arial" w:cs="Arial"/>
                <w:b/>
                <w:bCs/>
                <w:caps/>
                <w:sz w:val="16"/>
                <w:szCs w:val="20"/>
                <w:u w:color="000000"/>
              </w:rPr>
              <w:t>ИСПОЛНЕНИЕ уплотнительной поверхности</w:t>
            </w:r>
          </w:p>
        </w:tc>
      </w:tr>
      <w:tr>
        <w:trPr>
          <w:cantSplit/>
          <w:trHeight w:val="530"/>
          <w:tblHeader/>
        </w:trPr>
        <w:tc>
          <w:tcPr>
            <w:tcW w:w="249" w:type="pct"/>
            <w:vMerge/>
            <w:tcBorders>
              <w:top w:val="single" w:sz="6" w:space="0" w:color="auto"/>
              <w:bottom w:val="single" w:sz="12" w:space="0" w:color="auto"/>
            </w:tcBorders>
            <w:shd w:val="clear" w:color="auto" w:fill="FFD200"/>
            <w:textDirection w:val="btLr"/>
            <w:vAlign w:val="center"/>
          </w:tcPr>
          <w:p>
            <w:pPr>
              <w:ind w:right="113"/>
              <w:jc w:val="center"/>
              <w:rPr>
                <w:rFonts w:ascii="Arial" w:hAnsi="Arial" w:cs="Arial"/>
                <w:b/>
                <w:bCs/>
                <w:sz w:val="16"/>
                <w:szCs w:val="20"/>
                <w:u w:color="000000"/>
              </w:rPr>
            </w:pPr>
          </w:p>
        </w:tc>
        <w:tc>
          <w:tcPr>
            <w:tcW w:w="1960" w:type="pct"/>
            <w:vMerge/>
            <w:tcBorders>
              <w:top w:val="single" w:sz="6" w:space="0" w:color="auto"/>
              <w:bottom w:val="single" w:sz="12" w:space="0" w:color="auto"/>
            </w:tcBorders>
            <w:shd w:val="clear" w:color="auto" w:fill="FFD200"/>
            <w:textDirection w:val="btLr"/>
            <w:vAlign w:val="center"/>
          </w:tcPr>
          <w:p>
            <w:pPr>
              <w:ind w:right="113"/>
              <w:jc w:val="center"/>
              <w:rPr>
                <w:rFonts w:ascii="Arial" w:hAnsi="Arial" w:cs="Arial"/>
                <w:b/>
                <w:bCs/>
                <w:sz w:val="16"/>
                <w:szCs w:val="20"/>
                <w:u w:color="000000"/>
              </w:rPr>
            </w:pPr>
          </w:p>
        </w:tc>
        <w:tc>
          <w:tcPr>
            <w:tcW w:w="1586" w:type="pct"/>
            <w:tcBorders>
              <w:top w:val="single" w:sz="6" w:space="0" w:color="auto"/>
              <w:bottom w:val="single" w:sz="12" w:space="0" w:color="auto"/>
            </w:tcBorders>
            <w:shd w:val="clear" w:color="auto" w:fill="FFD200"/>
            <w:vAlign w:val="center"/>
          </w:tcPr>
          <w:p>
            <w:pPr>
              <w:jc w:val="center"/>
              <w:rPr>
                <w:rFonts w:ascii="Arial" w:hAnsi="Arial" w:cs="Arial"/>
                <w:b/>
                <w:bCs/>
                <w:caps/>
                <w:sz w:val="14"/>
                <w:szCs w:val="14"/>
                <w:u w:color="000000"/>
              </w:rPr>
            </w:pPr>
            <w:r>
              <w:rPr>
                <w:rFonts w:ascii="Arial" w:hAnsi="Arial" w:cs="Arial"/>
                <w:b/>
                <w:bCs/>
                <w:caps/>
                <w:sz w:val="14"/>
                <w:szCs w:val="14"/>
                <w:u w:color="000000"/>
              </w:rPr>
              <w:t>ФЛАНЕЦ крана</w:t>
            </w:r>
          </w:p>
        </w:tc>
        <w:tc>
          <w:tcPr>
            <w:tcW w:w="1205" w:type="pct"/>
            <w:tcBorders>
              <w:top w:val="single" w:sz="6" w:space="0" w:color="auto"/>
              <w:bottom w:val="single" w:sz="12" w:space="0" w:color="auto"/>
            </w:tcBorders>
            <w:shd w:val="clear" w:color="auto" w:fill="FFD200"/>
            <w:vAlign w:val="center"/>
          </w:tcPr>
          <w:p>
            <w:pPr>
              <w:jc w:val="center"/>
              <w:rPr>
                <w:rFonts w:ascii="Arial" w:hAnsi="Arial" w:cs="Arial"/>
                <w:b/>
                <w:bCs/>
                <w:caps/>
                <w:sz w:val="14"/>
                <w:szCs w:val="14"/>
                <w:u w:color="000000"/>
              </w:rPr>
            </w:pPr>
            <w:r>
              <w:rPr>
                <w:rFonts w:ascii="Arial" w:hAnsi="Arial" w:cs="Arial"/>
                <w:b/>
                <w:bCs/>
                <w:caps/>
                <w:sz w:val="14"/>
                <w:szCs w:val="14"/>
                <w:u w:color="000000"/>
              </w:rPr>
              <w:t>ФЛАНЕЦ трубопровода/ изделия присоединяемый</w:t>
            </w:r>
          </w:p>
        </w:tc>
      </w:tr>
      <w:tr>
        <w:trPr>
          <w:cantSplit/>
          <w:trHeight w:val="200"/>
          <w:tblHeader/>
        </w:trPr>
        <w:tc>
          <w:tcPr>
            <w:tcW w:w="249" w:type="pct"/>
            <w:tcBorders>
              <w:top w:val="single" w:sz="12" w:space="0" w:color="auto"/>
              <w:bottom w:val="single" w:sz="12" w:space="0" w:color="auto"/>
            </w:tcBorders>
            <w:shd w:val="clear" w:color="auto" w:fill="FFD200"/>
            <w:vAlign w:val="center"/>
          </w:tcPr>
          <w:p>
            <w:pPr>
              <w:jc w:val="center"/>
              <w:rPr>
                <w:rFonts w:ascii="Arial" w:hAnsi="Arial" w:cs="Arial"/>
                <w:b/>
                <w:bCs/>
                <w:sz w:val="16"/>
                <w:szCs w:val="14"/>
                <w:u w:color="000000"/>
              </w:rPr>
            </w:pPr>
            <w:r>
              <w:rPr>
                <w:rFonts w:ascii="Arial" w:hAnsi="Arial" w:cs="Arial"/>
                <w:b/>
                <w:bCs/>
                <w:sz w:val="16"/>
                <w:szCs w:val="14"/>
                <w:u w:color="000000"/>
              </w:rPr>
              <w:t>1</w:t>
            </w:r>
          </w:p>
        </w:tc>
        <w:tc>
          <w:tcPr>
            <w:tcW w:w="1960" w:type="pct"/>
            <w:tcBorders>
              <w:top w:val="single" w:sz="12" w:space="0" w:color="auto"/>
              <w:bottom w:val="single" w:sz="12" w:space="0" w:color="auto"/>
            </w:tcBorders>
            <w:shd w:val="clear" w:color="auto" w:fill="FFD200"/>
            <w:vAlign w:val="center"/>
          </w:tcPr>
          <w:p>
            <w:pPr>
              <w:jc w:val="center"/>
              <w:rPr>
                <w:rFonts w:ascii="Arial" w:hAnsi="Arial" w:cs="Arial"/>
                <w:b/>
                <w:bCs/>
                <w:sz w:val="16"/>
                <w:szCs w:val="14"/>
                <w:u w:color="000000"/>
              </w:rPr>
            </w:pPr>
            <w:r>
              <w:rPr>
                <w:rFonts w:ascii="Arial" w:hAnsi="Arial" w:cs="Arial"/>
                <w:b/>
                <w:bCs/>
                <w:sz w:val="16"/>
                <w:szCs w:val="14"/>
                <w:u w:color="000000"/>
              </w:rPr>
              <w:t>2</w:t>
            </w:r>
          </w:p>
        </w:tc>
        <w:tc>
          <w:tcPr>
            <w:tcW w:w="1586" w:type="pct"/>
            <w:tcBorders>
              <w:top w:val="single" w:sz="12" w:space="0" w:color="auto"/>
              <w:bottom w:val="single" w:sz="12" w:space="0" w:color="auto"/>
            </w:tcBorders>
            <w:shd w:val="clear" w:color="auto" w:fill="FFD200"/>
          </w:tcPr>
          <w:p>
            <w:pPr>
              <w:jc w:val="center"/>
              <w:rPr>
                <w:rFonts w:ascii="Arial" w:hAnsi="Arial" w:cs="Arial"/>
                <w:b/>
                <w:bCs/>
                <w:caps/>
                <w:sz w:val="16"/>
                <w:szCs w:val="14"/>
                <w:u w:color="000000"/>
              </w:rPr>
            </w:pPr>
            <w:r>
              <w:rPr>
                <w:rFonts w:ascii="Arial" w:hAnsi="Arial" w:cs="Arial"/>
                <w:b/>
                <w:bCs/>
                <w:caps/>
                <w:sz w:val="16"/>
                <w:szCs w:val="14"/>
                <w:u w:color="000000"/>
              </w:rPr>
              <w:t>3</w:t>
            </w:r>
          </w:p>
        </w:tc>
        <w:tc>
          <w:tcPr>
            <w:tcW w:w="1205" w:type="pct"/>
            <w:tcBorders>
              <w:top w:val="single" w:sz="12" w:space="0" w:color="auto"/>
              <w:bottom w:val="single" w:sz="12" w:space="0" w:color="auto"/>
            </w:tcBorders>
            <w:shd w:val="clear" w:color="auto" w:fill="FFD200"/>
            <w:vAlign w:val="center"/>
          </w:tcPr>
          <w:p>
            <w:pPr>
              <w:jc w:val="center"/>
              <w:rPr>
                <w:rFonts w:ascii="Arial" w:hAnsi="Arial" w:cs="Arial"/>
                <w:b/>
                <w:bCs/>
                <w:caps/>
                <w:sz w:val="16"/>
                <w:szCs w:val="14"/>
                <w:u w:color="000000"/>
              </w:rPr>
            </w:pPr>
            <w:r>
              <w:rPr>
                <w:rFonts w:ascii="Arial" w:hAnsi="Arial" w:cs="Arial"/>
                <w:b/>
                <w:bCs/>
                <w:caps/>
                <w:sz w:val="16"/>
                <w:szCs w:val="14"/>
                <w:u w:color="000000"/>
              </w:rPr>
              <w:t>4</w:t>
            </w:r>
          </w:p>
        </w:tc>
      </w:tr>
      <w:tr>
        <w:trPr>
          <w:trHeight w:val="450"/>
        </w:trPr>
        <w:tc>
          <w:tcPr>
            <w:tcW w:w="249" w:type="pct"/>
            <w:tcBorders>
              <w:top w:val="single" w:sz="12" w:space="0" w:color="auto"/>
              <w:bottom w:val="single" w:sz="6" w:space="0" w:color="auto"/>
            </w:tcBorders>
            <w:shd w:val="clear" w:color="auto" w:fill="FFFFFF"/>
          </w:tcPr>
          <w:p>
            <w:pPr>
              <w:jc w:val="left"/>
              <w:rPr>
                <w:bCs/>
                <w:sz w:val="20"/>
                <w:szCs w:val="20"/>
              </w:rPr>
            </w:pPr>
            <w:r>
              <w:rPr>
                <w:bCs/>
                <w:sz w:val="20"/>
                <w:szCs w:val="20"/>
              </w:rPr>
              <w:t>1</w:t>
            </w:r>
          </w:p>
        </w:tc>
        <w:tc>
          <w:tcPr>
            <w:tcW w:w="1960" w:type="pct"/>
            <w:tcBorders>
              <w:top w:val="single" w:sz="12" w:space="0" w:color="auto"/>
              <w:bottom w:val="single" w:sz="6" w:space="0" w:color="auto"/>
            </w:tcBorders>
            <w:shd w:val="clear" w:color="auto" w:fill="FFFFFF"/>
          </w:tcPr>
          <w:p>
            <w:pPr>
              <w:jc w:val="left"/>
              <w:rPr>
                <w:bCs/>
                <w:sz w:val="20"/>
                <w:szCs w:val="20"/>
              </w:rPr>
            </w:pPr>
            <w:r>
              <w:rPr>
                <w:bCs/>
                <w:sz w:val="20"/>
                <w:szCs w:val="20"/>
              </w:rPr>
              <w:t>До 6,3 (63)</w:t>
            </w:r>
          </w:p>
          <w:p>
            <w:pPr>
              <w:jc w:val="left"/>
              <w:rPr>
                <w:bCs/>
                <w:i/>
                <w:sz w:val="20"/>
                <w:szCs w:val="20"/>
              </w:rPr>
            </w:pPr>
            <w:r>
              <w:rPr>
                <w:bCs/>
                <w:i/>
                <w:sz w:val="20"/>
                <w:szCs w:val="20"/>
              </w:rPr>
              <w:t>для всех сред в соответствии с Таблицей 4 настоящих Методических указаний</w:t>
            </w:r>
          </w:p>
        </w:tc>
        <w:tc>
          <w:tcPr>
            <w:tcW w:w="1586" w:type="pct"/>
            <w:tcBorders>
              <w:top w:val="single" w:sz="12" w:space="0" w:color="auto"/>
              <w:bottom w:val="single" w:sz="6" w:space="0" w:color="auto"/>
            </w:tcBorders>
            <w:shd w:val="clear" w:color="auto" w:fill="FFFFFF"/>
          </w:tcPr>
          <w:p>
            <w:pPr>
              <w:jc w:val="left"/>
              <w:rPr>
                <w:bCs/>
                <w:sz w:val="20"/>
                <w:szCs w:val="20"/>
              </w:rPr>
            </w:pPr>
            <w:r>
              <w:rPr>
                <w:bCs/>
                <w:sz w:val="20"/>
                <w:szCs w:val="20"/>
              </w:rPr>
              <w:t xml:space="preserve">Исполнение </w:t>
            </w:r>
            <w:r>
              <w:rPr>
                <w:bCs/>
                <w:sz w:val="20"/>
                <w:szCs w:val="20"/>
                <w:lang w:val="en-US"/>
              </w:rPr>
              <w:t>F</w:t>
            </w:r>
            <w:r>
              <w:rPr>
                <w:bCs/>
                <w:sz w:val="20"/>
                <w:szCs w:val="20"/>
              </w:rPr>
              <w:t xml:space="preserve"> (впадина) (</w:t>
            </w:r>
            <w:r>
              <w:rPr>
                <w:bCs/>
                <w:sz w:val="20"/>
                <w:szCs w:val="14"/>
                <w:u w:color="000000"/>
              </w:rPr>
              <w:t>тип 21 по ГОСТ 33259)</w:t>
            </w:r>
          </w:p>
        </w:tc>
        <w:tc>
          <w:tcPr>
            <w:tcW w:w="1205" w:type="pct"/>
            <w:tcBorders>
              <w:top w:val="single" w:sz="12" w:space="0" w:color="auto"/>
              <w:bottom w:val="single" w:sz="6" w:space="0" w:color="auto"/>
            </w:tcBorders>
            <w:shd w:val="clear" w:color="auto" w:fill="FFFFFF"/>
          </w:tcPr>
          <w:p>
            <w:pPr>
              <w:jc w:val="left"/>
              <w:rPr>
                <w:bCs/>
                <w:sz w:val="20"/>
                <w:szCs w:val="20"/>
              </w:rPr>
            </w:pPr>
            <w:r>
              <w:rPr>
                <w:bCs/>
                <w:sz w:val="20"/>
                <w:szCs w:val="20"/>
              </w:rPr>
              <w:t xml:space="preserve">Исполнение Е (выступ) </w:t>
            </w:r>
          </w:p>
          <w:p>
            <w:pPr>
              <w:jc w:val="left"/>
              <w:rPr>
                <w:bCs/>
                <w:sz w:val="20"/>
                <w:szCs w:val="20"/>
              </w:rPr>
            </w:pPr>
            <w:r>
              <w:rPr>
                <w:bCs/>
                <w:sz w:val="20"/>
                <w:szCs w:val="20"/>
              </w:rPr>
              <w:t>(</w:t>
            </w:r>
            <w:r>
              <w:rPr>
                <w:bCs/>
                <w:sz w:val="20"/>
                <w:szCs w:val="14"/>
                <w:u w:color="000000"/>
              </w:rPr>
              <w:t>тип 11 по ГОСТ 33259)</w:t>
            </w:r>
          </w:p>
        </w:tc>
      </w:tr>
      <w:tr>
        <w:trPr>
          <w:trHeight w:val="246"/>
        </w:trPr>
        <w:tc>
          <w:tcPr>
            <w:tcW w:w="249" w:type="pct"/>
            <w:shd w:val="clear" w:color="auto" w:fill="FFFFFF"/>
          </w:tcPr>
          <w:p>
            <w:pPr>
              <w:jc w:val="left"/>
              <w:rPr>
                <w:bCs/>
                <w:sz w:val="20"/>
                <w:szCs w:val="20"/>
              </w:rPr>
            </w:pPr>
            <w:r>
              <w:rPr>
                <w:bCs/>
                <w:sz w:val="20"/>
                <w:szCs w:val="20"/>
              </w:rPr>
              <w:t>2</w:t>
            </w:r>
          </w:p>
        </w:tc>
        <w:tc>
          <w:tcPr>
            <w:tcW w:w="1960" w:type="pct"/>
            <w:shd w:val="clear" w:color="auto" w:fill="FFFFFF"/>
          </w:tcPr>
          <w:p>
            <w:pPr>
              <w:jc w:val="left"/>
              <w:rPr>
                <w:bCs/>
                <w:sz w:val="20"/>
                <w:szCs w:val="20"/>
              </w:rPr>
            </w:pPr>
            <w:r>
              <w:rPr>
                <w:bCs/>
                <w:sz w:val="20"/>
                <w:szCs w:val="20"/>
              </w:rPr>
              <w:t>От 6,3 (63) до 20,0 (200) включительно</w:t>
            </w:r>
          </w:p>
          <w:p>
            <w:pPr>
              <w:jc w:val="left"/>
              <w:rPr>
                <w:bCs/>
                <w:i/>
                <w:sz w:val="20"/>
                <w:szCs w:val="20"/>
              </w:rPr>
            </w:pPr>
            <w:r>
              <w:rPr>
                <w:bCs/>
                <w:i/>
                <w:sz w:val="20"/>
                <w:szCs w:val="20"/>
              </w:rPr>
              <w:t xml:space="preserve">от </w:t>
            </w:r>
            <w:r>
              <w:rPr>
                <w:bCs/>
                <w:i/>
                <w:sz w:val="20"/>
                <w:szCs w:val="20"/>
                <w:lang w:val="en-US"/>
              </w:rPr>
              <w:t>DN</w:t>
            </w:r>
            <w:r>
              <w:rPr>
                <w:bCs/>
                <w:i/>
                <w:sz w:val="20"/>
                <w:szCs w:val="20"/>
              </w:rPr>
              <w:t xml:space="preserve"> 50 до </w:t>
            </w:r>
            <w:r>
              <w:rPr>
                <w:bCs/>
                <w:i/>
                <w:sz w:val="20"/>
                <w:szCs w:val="20"/>
                <w:lang w:val="en-US"/>
              </w:rPr>
              <w:t>DN</w:t>
            </w:r>
            <w:r>
              <w:rPr>
                <w:bCs/>
                <w:i/>
                <w:sz w:val="20"/>
                <w:szCs w:val="20"/>
              </w:rPr>
              <w:t xml:space="preserve"> 200 для всех сред в соответствии с Таблицей 4 настоящих Методических указаний</w:t>
            </w:r>
          </w:p>
        </w:tc>
        <w:tc>
          <w:tcPr>
            <w:tcW w:w="1586" w:type="pct"/>
            <w:vMerge w:val="restart"/>
            <w:shd w:val="clear" w:color="auto" w:fill="FFFFFF"/>
          </w:tcPr>
          <w:p>
            <w:pPr>
              <w:jc w:val="left"/>
              <w:rPr>
                <w:bCs/>
                <w:sz w:val="20"/>
                <w:szCs w:val="20"/>
              </w:rPr>
            </w:pPr>
            <w:r>
              <w:rPr>
                <w:bCs/>
                <w:sz w:val="20"/>
                <w:szCs w:val="20"/>
              </w:rPr>
              <w:t xml:space="preserve">Исполнение </w:t>
            </w:r>
            <w:r>
              <w:rPr>
                <w:bCs/>
                <w:sz w:val="20"/>
                <w:szCs w:val="20"/>
                <w:lang w:val="en-US"/>
              </w:rPr>
              <w:t>J</w:t>
            </w:r>
            <w:r>
              <w:rPr>
                <w:bCs/>
                <w:sz w:val="20"/>
                <w:szCs w:val="20"/>
              </w:rPr>
              <w:br/>
              <w:t xml:space="preserve">(под прокладку овального или </w:t>
            </w:r>
            <w:r>
              <w:rPr>
                <w:sz w:val="20"/>
                <w:szCs w:val="20"/>
              </w:rPr>
              <w:t>восьмиугольного</w:t>
            </w:r>
            <w:r>
              <w:rPr>
                <w:bCs/>
                <w:sz w:val="20"/>
                <w:szCs w:val="20"/>
              </w:rPr>
              <w:t xml:space="preserve"> сечения) </w:t>
            </w:r>
            <w:r>
              <w:rPr>
                <w:bCs/>
                <w:sz w:val="20"/>
                <w:szCs w:val="20"/>
              </w:rPr>
              <w:br/>
              <w:t>(</w:t>
            </w:r>
            <w:r>
              <w:rPr>
                <w:bCs/>
                <w:sz w:val="20"/>
                <w:szCs w:val="14"/>
                <w:u w:color="000000"/>
              </w:rPr>
              <w:t>тип 21 по ГОСТ 33259)</w:t>
            </w:r>
          </w:p>
        </w:tc>
        <w:tc>
          <w:tcPr>
            <w:tcW w:w="1205" w:type="pct"/>
            <w:vMerge w:val="restart"/>
            <w:shd w:val="clear" w:color="auto" w:fill="FFFFFF"/>
          </w:tcPr>
          <w:p>
            <w:pPr>
              <w:jc w:val="left"/>
              <w:rPr>
                <w:bCs/>
                <w:sz w:val="20"/>
                <w:szCs w:val="20"/>
              </w:rPr>
            </w:pPr>
            <w:r>
              <w:rPr>
                <w:bCs/>
                <w:sz w:val="20"/>
                <w:szCs w:val="20"/>
              </w:rPr>
              <w:t xml:space="preserve">Исполнение </w:t>
            </w:r>
            <w:r>
              <w:rPr>
                <w:bCs/>
                <w:sz w:val="20"/>
                <w:szCs w:val="20"/>
                <w:lang w:val="en-US"/>
              </w:rPr>
              <w:t>J</w:t>
            </w:r>
            <w:r>
              <w:rPr>
                <w:bCs/>
                <w:sz w:val="20"/>
                <w:szCs w:val="20"/>
              </w:rPr>
              <w:br/>
              <w:t xml:space="preserve">(под прокладку овального или </w:t>
            </w:r>
            <w:r>
              <w:rPr>
                <w:sz w:val="20"/>
                <w:szCs w:val="20"/>
              </w:rPr>
              <w:t>восьмиугольного</w:t>
            </w:r>
            <w:r>
              <w:rPr>
                <w:bCs/>
                <w:sz w:val="20"/>
                <w:szCs w:val="20"/>
              </w:rPr>
              <w:t xml:space="preserve"> сечения) (</w:t>
            </w:r>
            <w:r>
              <w:rPr>
                <w:bCs/>
                <w:sz w:val="20"/>
                <w:szCs w:val="14"/>
                <w:u w:color="000000"/>
              </w:rPr>
              <w:t>тип 11 по ГОСТ 33259)</w:t>
            </w:r>
          </w:p>
        </w:tc>
      </w:tr>
      <w:tr>
        <w:trPr>
          <w:trHeight w:val="246"/>
        </w:trPr>
        <w:tc>
          <w:tcPr>
            <w:tcW w:w="249" w:type="pct"/>
            <w:shd w:val="clear" w:color="auto" w:fill="FFFFFF"/>
          </w:tcPr>
          <w:p>
            <w:pPr>
              <w:jc w:val="left"/>
              <w:rPr>
                <w:bCs/>
                <w:sz w:val="20"/>
                <w:szCs w:val="20"/>
              </w:rPr>
            </w:pPr>
            <w:r>
              <w:rPr>
                <w:bCs/>
                <w:sz w:val="20"/>
                <w:szCs w:val="20"/>
              </w:rPr>
              <w:t>3</w:t>
            </w:r>
          </w:p>
        </w:tc>
        <w:tc>
          <w:tcPr>
            <w:tcW w:w="1960" w:type="pct"/>
            <w:shd w:val="clear" w:color="auto" w:fill="FFFFFF"/>
          </w:tcPr>
          <w:p>
            <w:pPr>
              <w:jc w:val="left"/>
              <w:rPr>
                <w:bCs/>
                <w:sz w:val="20"/>
                <w:szCs w:val="20"/>
              </w:rPr>
            </w:pPr>
            <w:r>
              <w:rPr>
                <w:bCs/>
                <w:sz w:val="20"/>
                <w:szCs w:val="20"/>
              </w:rPr>
              <w:t>От 6,3 (63) до 16,0 (160) включительно</w:t>
            </w:r>
          </w:p>
          <w:p>
            <w:pPr>
              <w:jc w:val="left"/>
              <w:rPr>
                <w:bCs/>
                <w:i/>
                <w:sz w:val="20"/>
                <w:szCs w:val="20"/>
              </w:rPr>
            </w:pPr>
            <w:r>
              <w:rPr>
                <w:bCs/>
                <w:i/>
                <w:sz w:val="20"/>
                <w:szCs w:val="20"/>
              </w:rPr>
              <w:t xml:space="preserve">от </w:t>
            </w:r>
            <w:r>
              <w:rPr>
                <w:bCs/>
                <w:i/>
                <w:sz w:val="20"/>
                <w:szCs w:val="20"/>
                <w:lang w:val="en-US"/>
              </w:rPr>
              <w:t>DN</w:t>
            </w:r>
            <w:r>
              <w:rPr>
                <w:bCs/>
                <w:i/>
                <w:sz w:val="20"/>
                <w:szCs w:val="20"/>
              </w:rPr>
              <w:t xml:space="preserve"> 250 до </w:t>
            </w:r>
            <w:r>
              <w:rPr>
                <w:bCs/>
                <w:i/>
                <w:sz w:val="20"/>
                <w:szCs w:val="20"/>
                <w:lang w:val="en-US"/>
              </w:rPr>
              <w:t>DN</w:t>
            </w:r>
            <w:r>
              <w:rPr>
                <w:bCs/>
                <w:i/>
                <w:sz w:val="20"/>
                <w:szCs w:val="20"/>
              </w:rPr>
              <w:t xml:space="preserve"> 400 для всех сред в соответствии с Таблицей 4 настоящих Методических указаний</w:t>
            </w:r>
          </w:p>
        </w:tc>
        <w:tc>
          <w:tcPr>
            <w:tcW w:w="1586" w:type="pct"/>
            <w:vMerge/>
            <w:shd w:val="clear" w:color="auto" w:fill="FFFFFF"/>
          </w:tcPr>
          <w:p>
            <w:pPr>
              <w:jc w:val="left"/>
              <w:rPr>
                <w:bCs/>
                <w:sz w:val="20"/>
                <w:szCs w:val="20"/>
              </w:rPr>
            </w:pPr>
          </w:p>
        </w:tc>
        <w:tc>
          <w:tcPr>
            <w:tcW w:w="1205" w:type="pct"/>
            <w:vMerge/>
            <w:shd w:val="clear" w:color="auto" w:fill="FFFFFF"/>
          </w:tcPr>
          <w:p>
            <w:pPr>
              <w:jc w:val="left"/>
              <w:rPr>
                <w:bCs/>
                <w:sz w:val="20"/>
                <w:szCs w:val="20"/>
              </w:rPr>
            </w:pPr>
          </w:p>
        </w:tc>
      </w:tr>
      <w:tr>
        <w:trPr>
          <w:trHeight w:val="399"/>
        </w:trPr>
        <w:tc>
          <w:tcPr>
            <w:tcW w:w="249" w:type="pct"/>
            <w:shd w:val="clear" w:color="auto" w:fill="FFFFFF"/>
          </w:tcPr>
          <w:p>
            <w:pPr>
              <w:jc w:val="left"/>
              <w:rPr>
                <w:bCs/>
                <w:sz w:val="20"/>
                <w:szCs w:val="20"/>
              </w:rPr>
            </w:pPr>
            <w:r>
              <w:rPr>
                <w:bCs/>
                <w:sz w:val="20"/>
                <w:szCs w:val="20"/>
              </w:rPr>
              <w:t>4</w:t>
            </w:r>
          </w:p>
        </w:tc>
        <w:tc>
          <w:tcPr>
            <w:tcW w:w="1960" w:type="pct"/>
            <w:shd w:val="clear" w:color="auto" w:fill="FFFFFF"/>
          </w:tcPr>
          <w:p>
            <w:pPr>
              <w:jc w:val="left"/>
              <w:rPr>
                <w:bCs/>
                <w:sz w:val="20"/>
                <w:szCs w:val="20"/>
              </w:rPr>
            </w:pPr>
            <w:r>
              <w:rPr>
                <w:bCs/>
                <w:sz w:val="20"/>
                <w:szCs w:val="20"/>
              </w:rPr>
              <w:t>Для 6,3 (63)</w:t>
            </w:r>
          </w:p>
          <w:p>
            <w:pPr>
              <w:jc w:val="left"/>
              <w:rPr>
                <w:bCs/>
                <w:i/>
                <w:sz w:val="20"/>
                <w:szCs w:val="20"/>
              </w:rPr>
            </w:pPr>
            <w:r>
              <w:rPr>
                <w:bCs/>
                <w:i/>
                <w:sz w:val="20"/>
                <w:szCs w:val="20"/>
              </w:rPr>
              <w:t xml:space="preserve">от </w:t>
            </w:r>
            <w:r>
              <w:rPr>
                <w:bCs/>
                <w:i/>
                <w:sz w:val="20"/>
                <w:szCs w:val="20"/>
                <w:lang w:val="en-US"/>
              </w:rPr>
              <w:t>DN</w:t>
            </w:r>
            <w:r>
              <w:rPr>
                <w:bCs/>
                <w:i/>
                <w:sz w:val="20"/>
                <w:szCs w:val="20"/>
              </w:rPr>
              <w:t xml:space="preserve"> 450 до </w:t>
            </w:r>
            <w:r>
              <w:rPr>
                <w:bCs/>
                <w:i/>
                <w:sz w:val="20"/>
                <w:szCs w:val="20"/>
                <w:lang w:val="en-US"/>
              </w:rPr>
              <w:t>DN</w:t>
            </w:r>
            <w:r>
              <w:rPr>
                <w:bCs/>
                <w:i/>
                <w:sz w:val="20"/>
                <w:szCs w:val="20"/>
              </w:rPr>
              <w:t xml:space="preserve"> 1200 включительно для всех сред в соответствии с Таблицей 4 настоящих Методических указаний</w:t>
            </w:r>
          </w:p>
        </w:tc>
        <w:tc>
          <w:tcPr>
            <w:tcW w:w="1586" w:type="pct"/>
            <w:shd w:val="clear" w:color="auto" w:fill="FFFFFF"/>
          </w:tcPr>
          <w:p>
            <w:pPr>
              <w:jc w:val="left"/>
              <w:rPr>
                <w:bCs/>
                <w:sz w:val="20"/>
                <w:szCs w:val="20"/>
              </w:rPr>
            </w:pPr>
            <w:r>
              <w:rPr>
                <w:bCs/>
                <w:sz w:val="20"/>
                <w:szCs w:val="20"/>
              </w:rPr>
              <w:t xml:space="preserve">Исполнение </w:t>
            </w:r>
            <w:r>
              <w:rPr>
                <w:bCs/>
                <w:sz w:val="20"/>
                <w:szCs w:val="20"/>
                <w:lang w:val="en-US"/>
              </w:rPr>
              <w:t>F</w:t>
            </w:r>
            <w:r>
              <w:rPr>
                <w:bCs/>
                <w:sz w:val="20"/>
                <w:szCs w:val="20"/>
              </w:rPr>
              <w:t xml:space="preserve"> (впадина) </w:t>
            </w:r>
          </w:p>
          <w:p>
            <w:pPr>
              <w:jc w:val="left"/>
              <w:rPr>
                <w:bCs/>
                <w:sz w:val="20"/>
                <w:szCs w:val="20"/>
              </w:rPr>
            </w:pPr>
            <w:r>
              <w:rPr>
                <w:bCs/>
                <w:sz w:val="20"/>
                <w:szCs w:val="20"/>
              </w:rPr>
              <w:t>(</w:t>
            </w:r>
            <w:r>
              <w:rPr>
                <w:bCs/>
                <w:sz w:val="20"/>
                <w:szCs w:val="14"/>
                <w:u w:color="000000"/>
              </w:rPr>
              <w:t>тип 21 по ГОСТ 33259)</w:t>
            </w:r>
          </w:p>
        </w:tc>
        <w:tc>
          <w:tcPr>
            <w:tcW w:w="1205" w:type="pct"/>
            <w:shd w:val="clear" w:color="auto" w:fill="FFFFFF"/>
          </w:tcPr>
          <w:p>
            <w:pPr>
              <w:jc w:val="left"/>
              <w:rPr>
                <w:bCs/>
                <w:sz w:val="20"/>
                <w:szCs w:val="20"/>
              </w:rPr>
            </w:pPr>
            <w:r>
              <w:rPr>
                <w:bCs/>
                <w:sz w:val="20"/>
                <w:szCs w:val="20"/>
              </w:rPr>
              <w:t>Исполнение Е (выступ)</w:t>
            </w:r>
          </w:p>
          <w:p>
            <w:pPr>
              <w:jc w:val="left"/>
              <w:rPr>
                <w:bCs/>
                <w:sz w:val="20"/>
                <w:szCs w:val="20"/>
              </w:rPr>
            </w:pPr>
            <w:r>
              <w:rPr>
                <w:bCs/>
                <w:sz w:val="20"/>
                <w:szCs w:val="20"/>
              </w:rPr>
              <w:t>(</w:t>
            </w:r>
            <w:r>
              <w:rPr>
                <w:bCs/>
                <w:sz w:val="20"/>
                <w:szCs w:val="14"/>
                <w:u w:color="000000"/>
              </w:rPr>
              <w:t>тип 11 по ГОСТ 33259)</w:t>
            </w:r>
          </w:p>
        </w:tc>
      </w:tr>
      <w:tr>
        <w:trPr>
          <w:trHeight w:val="399"/>
        </w:trPr>
        <w:tc>
          <w:tcPr>
            <w:tcW w:w="249" w:type="pct"/>
            <w:shd w:val="clear" w:color="auto" w:fill="FFFFFF"/>
          </w:tcPr>
          <w:p>
            <w:pPr>
              <w:jc w:val="left"/>
              <w:rPr>
                <w:bCs/>
                <w:sz w:val="20"/>
                <w:szCs w:val="20"/>
              </w:rPr>
            </w:pPr>
            <w:r>
              <w:rPr>
                <w:bCs/>
                <w:sz w:val="20"/>
                <w:szCs w:val="20"/>
              </w:rPr>
              <w:t>5</w:t>
            </w:r>
          </w:p>
        </w:tc>
        <w:tc>
          <w:tcPr>
            <w:tcW w:w="1960" w:type="pct"/>
            <w:shd w:val="clear" w:color="auto" w:fill="FFFFFF"/>
          </w:tcPr>
          <w:p>
            <w:pPr>
              <w:jc w:val="left"/>
              <w:rPr>
                <w:bCs/>
                <w:sz w:val="20"/>
                <w:szCs w:val="20"/>
              </w:rPr>
            </w:pPr>
            <w:r>
              <w:rPr>
                <w:bCs/>
                <w:sz w:val="20"/>
                <w:szCs w:val="20"/>
              </w:rPr>
              <w:t xml:space="preserve">Для 25,0 (250); 32,0 (320) </w:t>
            </w:r>
            <w:r>
              <w:rPr>
                <w:bCs/>
                <w:i/>
                <w:sz w:val="20"/>
                <w:szCs w:val="20"/>
              </w:rPr>
              <w:t>для всех сред в соответствии с Таблицей 4 настоящих Методических указаний</w:t>
            </w:r>
          </w:p>
        </w:tc>
        <w:tc>
          <w:tcPr>
            <w:tcW w:w="2791" w:type="pct"/>
            <w:gridSpan w:val="2"/>
            <w:shd w:val="clear" w:color="auto" w:fill="FFFFFF"/>
          </w:tcPr>
          <w:p>
            <w:pPr>
              <w:pStyle w:val="FORMATTEXT0"/>
              <w:rPr>
                <w:bCs/>
                <w:sz w:val="20"/>
                <w:szCs w:val="20"/>
              </w:rPr>
            </w:pPr>
            <w:r>
              <w:rPr>
                <w:sz w:val="20"/>
                <w:szCs w:val="20"/>
              </w:rPr>
              <w:t xml:space="preserve">Исполнение уплотнительной поверхности под прокладку восьмиугольного сечения (исполнение 1 для фланцевого соединения типа 1 ГОСТ 28919 для рабочего давления </w:t>
            </w:r>
            <w:r>
              <w:rPr>
                <w:sz w:val="20"/>
                <w:szCs w:val="20"/>
              </w:rPr>
              <w:br/>
              <w:t>35 МПа (350 кгс/см²)</w:t>
            </w:r>
          </w:p>
        </w:tc>
      </w:tr>
    </w:tbl>
    <w:p>
      <w:pPr>
        <w:tabs>
          <w:tab w:val="left" w:pos="1701"/>
        </w:tabs>
        <w:autoSpaceDE w:val="0"/>
        <w:autoSpaceDN w:val="0"/>
        <w:adjustRightInd w:val="0"/>
        <w:contextualSpacing/>
        <w:rPr>
          <w:rFonts w:eastAsia="Times New Roman"/>
        </w:rPr>
      </w:pPr>
    </w:p>
    <w:p>
      <w:pPr>
        <w:pStyle w:val="19"/>
        <w:tabs>
          <w:tab w:val="left" w:pos="993"/>
        </w:tabs>
        <w:autoSpaceDE w:val="0"/>
        <w:autoSpaceDN w:val="0"/>
        <w:adjustRightInd w:val="0"/>
        <w:ind w:left="0" w:firstLine="0"/>
      </w:pPr>
      <w:r>
        <w:t>Краны шаровые с PN 25,0 МПа (250 кгс/см</w:t>
      </w:r>
      <w:r>
        <w:rPr>
          <w:vertAlign w:val="superscript"/>
        </w:rPr>
        <w:t>2</w:t>
      </w:r>
      <w:r>
        <w:t>), 32,0 МПа (320 кгс/см²) должны комплектоваться фланцами по ГОСТ</w:t>
      </w:r>
      <w:r>
        <w:rPr>
          <w:lang w:val="en-US"/>
        </w:rPr>
        <w:t> </w:t>
      </w:r>
      <w:r>
        <w:t xml:space="preserve">28919 типа 1 исполнения 1 для давления 35 МПа </w:t>
      </w:r>
      <w:r>
        <w:br/>
        <w:t>(350 кгс/см²).</w:t>
      </w:r>
    </w:p>
    <w:p>
      <w:pPr>
        <w:rPr>
          <w:rFonts w:eastAsia="PMingLiU"/>
          <w:szCs w:val="22"/>
          <w:lang w:eastAsia="en-US"/>
        </w:rPr>
      </w:pPr>
    </w:p>
    <w:p>
      <w:pPr>
        <w:rPr>
          <w:rFonts w:eastAsia="PMingLiU"/>
          <w:szCs w:val="22"/>
          <w:lang w:eastAsia="en-US"/>
        </w:rPr>
      </w:pPr>
    </w:p>
    <w:p>
      <w:pPr>
        <w:pStyle w:val="S30"/>
      </w:pPr>
      <w:bookmarkStart w:id="123" w:name="_Toc392752838"/>
      <w:bookmarkStart w:id="124" w:name="_Toc404615315"/>
      <w:bookmarkStart w:id="125" w:name="_Toc481662381"/>
      <w:bookmarkStart w:id="126" w:name="_Toc486233273"/>
      <w:bookmarkStart w:id="127" w:name="_Toc514169520"/>
      <w:r>
        <w:t>4.3.9.</w:t>
      </w:r>
      <w:r>
        <w:tab/>
        <w:t>ТРЕБОВАНИЯ К ОТВЕТНЫМ ФЛАНЦАМ</w:t>
      </w:r>
      <w:bookmarkEnd w:id="123"/>
      <w:bookmarkEnd w:id="124"/>
      <w:bookmarkEnd w:id="125"/>
      <w:bookmarkEnd w:id="126"/>
      <w:bookmarkEnd w:id="127"/>
    </w:p>
    <w:p>
      <w:pPr>
        <w:rPr>
          <w:rFonts w:eastAsia="PMingLiU"/>
          <w:szCs w:val="22"/>
          <w:lang w:eastAsia="en-US"/>
        </w:rPr>
      </w:pPr>
    </w:p>
    <w:p>
      <w:pPr>
        <w:pStyle w:val="19"/>
        <w:tabs>
          <w:tab w:val="left" w:pos="993"/>
        </w:tabs>
        <w:autoSpaceDE w:val="0"/>
        <w:autoSpaceDN w:val="0"/>
        <w:adjustRightInd w:val="0"/>
        <w:ind w:left="0" w:firstLine="0"/>
      </w:pPr>
      <w:r>
        <w:t xml:space="preserve">Материал ответных фланцев крана шарового выбирается с учетом условий эксплуатации: рабочего давления, температуры и характеристики рабочей и окружающей среды, коррозионных свойств, класса прочности присоединяемого трубопровода и оборудования. </w:t>
      </w:r>
    </w:p>
    <w:p>
      <w:pPr>
        <w:pStyle w:val="19"/>
        <w:tabs>
          <w:tab w:val="left" w:pos="993"/>
        </w:tabs>
        <w:autoSpaceDE w:val="0"/>
        <w:autoSpaceDN w:val="0"/>
        <w:adjustRightInd w:val="0"/>
        <w:ind w:left="0" w:firstLine="0"/>
      </w:pPr>
    </w:p>
    <w:p>
      <w:pPr>
        <w:pStyle w:val="19"/>
        <w:widowControl w:val="0"/>
        <w:tabs>
          <w:tab w:val="left" w:pos="539"/>
          <w:tab w:val="left" w:pos="993"/>
        </w:tabs>
        <w:autoSpaceDE w:val="0"/>
        <w:autoSpaceDN w:val="0"/>
        <w:adjustRightInd w:val="0"/>
        <w:spacing w:before="120"/>
        <w:ind w:left="0" w:firstLine="0"/>
        <w:rPr>
          <w:rFonts w:eastAsia="PMingLiU"/>
          <w:szCs w:val="22"/>
          <w:lang w:eastAsia="en-US"/>
        </w:rPr>
      </w:pPr>
      <w:r>
        <w:t>Материалы для изготовления ответных фланцев кранов шаровых должны соответствовать Таблице 11 ГОСТ</w:t>
      </w:r>
      <w:r>
        <w:rPr>
          <w:lang w:val="en-US"/>
        </w:rPr>
        <w:t> </w:t>
      </w:r>
      <w:r>
        <w:t>33259-2015, ГОСТ</w:t>
      </w:r>
      <w:r>
        <w:rPr>
          <w:lang w:val="en-US"/>
        </w:rPr>
        <w:t> </w:t>
      </w:r>
      <w:r>
        <w:t>33260.</w:t>
      </w:r>
    </w:p>
    <w:p>
      <w:pPr>
        <w:pStyle w:val="19"/>
        <w:widowControl w:val="0"/>
        <w:tabs>
          <w:tab w:val="left" w:pos="539"/>
          <w:tab w:val="left" w:pos="993"/>
        </w:tabs>
        <w:autoSpaceDE w:val="0"/>
        <w:autoSpaceDN w:val="0"/>
        <w:adjustRightInd w:val="0"/>
        <w:spacing w:before="120"/>
        <w:ind w:left="0" w:firstLine="0"/>
        <w:rPr>
          <w:rFonts w:eastAsia="PMingLiU"/>
          <w:szCs w:val="22"/>
          <w:lang w:eastAsia="en-US"/>
        </w:rPr>
      </w:pPr>
    </w:p>
    <w:p>
      <w:pPr>
        <w:pStyle w:val="M"/>
      </w:pPr>
      <w:r>
        <w:t>Химический состав металла ответных фланцев, в зависимости от группы прочности, должен соответствовать Таблице 19.</w:t>
      </w:r>
    </w:p>
    <w:p>
      <w:pPr>
        <w:pStyle w:val="M"/>
      </w:pPr>
    </w:p>
    <w:p>
      <w:pPr>
        <w:keepNext/>
        <w:widowControl w:val="0"/>
        <w:jc w:val="right"/>
        <w:rPr>
          <w:rFonts w:ascii="Arial" w:eastAsia="Times New Roman" w:hAnsi="Arial"/>
          <w:b/>
          <w:sz w:val="20"/>
        </w:rPr>
      </w:pPr>
      <w:r>
        <w:rPr>
          <w:rFonts w:ascii="Arial" w:eastAsia="Times New Roman" w:hAnsi="Arial"/>
          <w:b/>
          <w:sz w:val="20"/>
        </w:rPr>
        <w:lastRenderedPageBreak/>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19</w:t>
      </w:r>
      <w:r>
        <w:rPr>
          <w:rFonts w:ascii="Arial" w:eastAsia="Times New Roman" w:hAnsi="Arial"/>
          <w:b/>
          <w:sz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Химический состав металла ответных фланцев, в зависимости от группы прочности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0" w:type="dxa"/>
          <w:right w:w="90" w:type="dxa"/>
        </w:tblCellMar>
        <w:tblLook w:val="0000" w:firstRow="0" w:lastRow="0" w:firstColumn="0" w:lastColumn="0" w:noHBand="0" w:noVBand="0"/>
      </w:tblPr>
      <w:tblGrid>
        <w:gridCol w:w="1035"/>
        <w:gridCol w:w="1437"/>
        <w:gridCol w:w="571"/>
        <w:gridCol w:w="574"/>
        <w:gridCol w:w="576"/>
        <w:gridCol w:w="574"/>
        <w:gridCol w:w="576"/>
        <w:gridCol w:w="574"/>
        <w:gridCol w:w="576"/>
        <w:gridCol w:w="589"/>
        <w:gridCol w:w="1577"/>
        <w:gridCol w:w="1097"/>
      </w:tblGrid>
      <w:tr>
        <w:trPr>
          <w:trHeight w:val="20"/>
          <w:tblHeader/>
        </w:trPr>
        <w:tc>
          <w:tcPr>
            <w:tcW w:w="1267" w:type="pct"/>
            <w:gridSpan w:val="2"/>
            <w:tcBorders>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20"/>
              </w:rPr>
            </w:pPr>
            <w:r>
              <w:rPr>
                <w:rFonts w:ascii="Arial" w:eastAsia="Times New Roman" w:hAnsi="Arial" w:cs="Arial"/>
                <w:b/>
                <w:sz w:val="16"/>
                <w:szCs w:val="20"/>
              </w:rPr>
              <w:t>КЛАСС ПРОЧНОСТИ</w:t>
            </w:r>
          </w:p>
        </w:tc>
        <w:tc>
          <w:tcPr>
            <w:tcW w:w="2362" w:type="pct"/>
            <w:gridSpan w:val="8"/>
            <w:tcBorders>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20"/>
              </w:rPr>
            </w:pPr>
            <w:r>
              <w:rPr>
                <w:rFonts w:ascii="Arial" w:eastAsia="Times New Roman" w:hAnsi="Arial" w:cs="Arial"/>
                <w:b/>
                <w:sz w:val="16"/>
                <w:szCs w:val="20"/>
              </w:rPr>
              <w:t>МАССОВАЯ ДОЛЯ ЭЛЕМЕНТОВ ПО АНАЛИЗУ ПЛАВКИ И ИЗДЕЛИЯ, %, НЕ БОЛЕЕ</w:t>
            </w:r>
          </w:p>
        </w:tc>
        <w:tc>
          <w:tcPr>
            <w:tcW w:w="808" w:type="pct"/>
            <w:vMerge w:val="restart"/>
            <w:shd w:val="clear" w:color="auto" w:fill="FFD200"/>
          </w:tcPr>
          <w:p>
            <w:pPr>
              <w:widowControl w:val="0"/>
              <w:tabs>
                <w:tab w:val="left" w:pos="851"/>
              </w:tabs>
              <w:autoSpaceDE w:val="0"/>
              <w:autoSpaceDN w:val="0"/>
              <w:adjustRightInd w:val="0"/>
              <w:jc w:val="center"/>
              <w:rPr>
                <w:rFonts w:ascii="Arial" w:eastAsia="Times New Roman" w:hAnsi="Arial" w:cs="Arial"/>
                <w:b/>
                <w:sz w:val="16"/>
                <w:szCs w:val="20"/>
              </w:rPr>
            </w:pPr>
            <w:r>
              <w:rPr>
                <w:rFonts w:ascii="Arial" w:eastAsia="Times New Roman" w:hAnsi="Arial" w:cs="Arial"/>
                <w:b/>
                <w:sz w:val="16"/>
                <w:szCs w:val="20"/>
              </w:rPr>
              <w:t>ВРЕМЕННОЕ СОПРОТИВЛЕНИЕ РАЗРЫВУ, Н/ММ</w:t>
            </w:r>
            <w:r>
              <w:rPr>
                <w:rFonts w:ascii="Arial" w:eastAsia="Times New Roman" w:hAnsi="Arial" w:cs="Arial"/>
                <w:b/>
                <w:sz w:val="16"/>
                <w:szCs w:val="20"/>
                <w:vertAlign w:val="superscript"/>
              </w:rPr>
              <w:t xml:space="preserve">2 </w:t>
            </w:r>
            <w:r>
              <w:rPr>
                <w:rFonts w:ascii="Arial" w:eastAsia="Times New Roman" w:hAnsi="Arial" w:cs="Arial"/>
                <w:b/>
                <w:sz w:val="16"/>
                <w:szCs w:val="20"/>
              </w:rPr>
              <w:t>(КГС/ММ</w:t>
            </w:r>
            <w:r>
              <w:rPr>
                <w:rFonts w:ascii="Arial" w:eastAsia="Times New Roman" w:hAnsi="Arial" w:cs="Arial"/>
                <w:b/>
                <w:sz w:val="16"/>
                <w:szCs w:val="20"/>
                <w:vertAlign w:val="superscript"/>
              </w:rPr>
              <w:t>2</w:t>
            </w:r>
            <w:r>
              <w:rPr>
                <w:rFonts w:ascii="Arial" w:eastAsia="Times New Roman" w:hAnsi="Arial" w:cs="Arial"/>
                <w:b/>
                <w:sz w:val="16"/>
                <w:szCs w:val="20"/>
              </w:rPr>
              <w:t>)</w:t>
            </w:r>
          </w:p>
        </w:tc>
        <w:tc>
          <w:tcPr>
            <w:tcW w:w="563" w:type="pct"/>
            <w:vMerge w:val="restart"/>
            <w:shd w:val="clear" w:color="auto" w:fill="FFD200"/>
          </w:tcPr>
          <w:p>
            <w:pPr>
              <w:widowControl w:val="0"/>
              <w:tabs>
                <w:tab w:val="left" w:pos="851"/>
              </w:tabs>
              <w:autoSpaceDE w:val="0"/>
              <w:autoSpaceDN w:val="0"/>
              <w:adjustRightInd w:val="0"/>
              <w:jc w:val="center"/>
              <w:rPr>
                <w:rFonts w:ascii="Arial" w:eastAsia="Times New Roman" w:hAnsi="Arial" w:cs="Arial"/>
                <w:b/>
                <w:sz w:val="16"/>
                <w:szCs w:val="20"/>
              </w:rPr>
            </w:pPr>
            <w:r>
              <w:rPr>
                <w:rFonts w:ascii="Arial" w:eastAsia="Times New Roman" w:hAnsi="Arial" w:cs="Arial"/>
                <w:b/>
                <w:sz w:val="16"/>
                <w:szCs w:val="20"/>
              </w:rPr>
              <w:t>ПРЕДЕЛ ТЕКУЧЕСТИ, Н/ММ</w:t>
            </w:r>
            <w:r>
              <w:rPr>
                <w:rFonts w:ascii="Arial" w:eastAsia="Times New Roman" w:hAnsi="Arial" w:cs="Arial"/>
                <w:b/>
                <w:sz w:val="16"/>
                <w:szCs w:val="20"/>
                <w:vertAlign w:val="superscript"/>
              </w:rPr>
              <w:t>2</w:t>
            </w:r>
            <w:r>
              <w:rPr>
                <w:rFonts w:ascii="Arial" w:eastAsia="Times New Roman" w:hAnsi="Arial" w:cs="Arial"/>
                <w:b/>
                <w:sz w:val="16"/>
                <w:szCs w:val="20"/>
              </w:rPr>
              <w:t xml:space="preserve"> (КГС/ММ</w:t>
            </w:r>
            <w:r>
              <w:rPr>
                <w:rFonts w:ascii="Arial" w:eastAsia="Times New Roman" w:hAnsi="Arial" w:cs="Arial"/>
                <w:b/>
                <w:sz w:val="16"/>
                <w:szCs w:val="20"/>
                <w:vertAlign w:val="superscript"/>
              </w:rPr>
              <w:t>2</w:t>
            </w:r>
            <w:r>
              <w:rPr>
                <w:rFonts w:ascii="Arial" w:eastAsia="Times New Roman" w:hAnsi="Arial" w:cs="Arial"/>
                <w:b/>
                <w:sz w:val="16"/>
                <w:szCs w:val="20"/>
              </w:rPr>
              <w:t xml:space="preserve"> )</w:t>
            </w:r>
          </w:p>
        </w:tc>
      </w:tr>
      <w:tr>
        <w:trPr>
          <w:trHeight w:val="113"/>
          <w:tblHeader/>
        </w:trPr>
        <w:tc>
          <w:tcPr>
            <w:tcW w:w="531"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jc w:val="center"/>
              <w:rPr>
                <w:rFonts w:ascii="Arial" w:eastAsia="Times New Roman" w:hAnsi="Arial"/>
                <w:b/>
                <w:sz w:val="14"/>
              </w:rPr>
            </w:pPr>
            <w:r>
              <w:rPr>
                <w:rFonts w:ascii="Arial" w:eastAsia="Times New Roman" w:hAnsi="Arial"/>
                <w:b/>
                <w:sz w:val="14"/>
              </w:rPr>
              <w:t>ГОСТ 20295</w:t>
            </w:r>
          </w:p>
        </w:tc>
        <w:tc>
          <w:tcPr>
            <w:tcW w:w="737" w:type="pct"/>
            <w:tcBorders>
              <w:top w:val="single" w:sz="6" w:space="0" w:color="auto"/>
              <w:bottom w:val="single" w:sz="6" w:space="0" w:color="auto"/>
            </w:tcBorders>
            <w:shd w:val="clear" w:color="auto" w:fill="FFD200"/>
            <w:vAlign w:val="center"/>
          </w:tcPr>
          <w:p>
            <w:pPr>
              <w:widowControl w:val="0"/>
              <w:jc w:val="center"/>
              <w:rPr>
                <w:rFonts w:ascii="Arial" w:eastAsia="Times New Roman" w:hAnsi="Arial"/>
                <w:b/>
                <w:sz w:val="14"/>
              </w:rPr>
            </w:pPr>
            <w:r>
              <w:rPr>
                <w:rFonts w:ascii="Arial" w:eastAsia="Times New Roman" w:hAnsi="Arial"/>
                <w:b/>
                <w:sz w:val="14"/>
              </w:rPr>
              <w:t xml:space="preserve">ГОСТ </w:t>
            </w:r>
            <w:r>
              <w:rPr>
                <w:rFonts w:ascii="Arial" w:eastAsia="Times New Roman" w:hAnsi="Arial"/>
                <w:b/>
                <w:sz w:val="14"/>
                <w:lang w:val="en-US"/>
              </w:rPr>
              <w:t>ISO</w:t>
            </w:r>
            <w:r>
              <w:rPr>
                <w:rFonts w:ascii="Arial" w:eastAsia="Times New Roman" w:hAnsi="Arial"/>
                <w:b/>
                <w:sz w:val="14"/>
              </w:rPr>
              <w:t xml:space="preserve"> 3183</w:t>
            </w:r>
          </w:p>
        </w:tc>
        <w:tc>
          <w:tcPr>
            <w:tcW w:w="293"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С</w:t>
            </w:r>
          </w:p>
        </w:tc>
        <w:tc>
          <w:tcPr>
            <w:tcW w:w="294"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Si</w:t>
            </w:r>
          </w:p>
        </w:tc>
        <w:tc>
          <w:tcPr>
            <w:tcW w:w="295"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Mn</w:t>
            </w:r>
          </w:p>
        </w:tc>
        <w:tc>
          <w:tcPr>
            <w:tcW w:w="294"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P</w:t>
            </w:r>
          </w:p>
        </w:tc>
        <w:tc>
          <w:tcPr>
            <w:tcW w:w="295"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S</w:t>
            </w:r>
          </w:p>
        </w:tc>
        <w:tc>
          <w:tcPr>
            <w:tcW w:w="294"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V</w:t>
            </w:r>
          </w:p>
        </w:tc>
        <w:tc>
          <w:tcPr>
            <w:tcW w:w="295"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Nb</w:t>
            </w:r>
          </w:p>
        </w:tc>
        <w:tc>
          <w:tcPr>
            <w:tcW w:w="301" w:type="pct"/>
            <w:tcBorders>
              <w:top w:val="single" w:sz="6" w:space="0" w:color="auto"/>
              <w:bottom w:val="single" w:sz="6"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4"/>
                <w:szCs w:val="20"/>
              </w:rPr>
            </w:pPr>
            <w:r>
              <w:rPr>
                <w:rFonts w:ascii="Arial" w:eastAsia="Times New Roman" w:hAnsi="Arial" w:cs="Arial"/>
                <w:b/>
                <w:sz w:val="14"/>
                <w:szCs w:val="20"/>
              </w:rPr>
              <w:t>Ti</w:t>
            </w:r>
          </w:p>
        </w:tc>
        <w:tc>
          <w:tcPr>
            <w:tcW w:w="808" w:type="pct"/>
            <w:vMerge/>
            <w:shd w:val="clear" w:color="auto" w:fill="FFD200"/>
          </w:tcPr>
          <w:p>
            <w:pPr>
              <w:widowControl w:val="0"/>
              <w:tabs>
                <w:tab w:val="left" w:pos="851"/>
              </w:tabs>
              <w:autoSpaceDE w:val="0"/>
              <w:autoSpaceDN w:val="0"/>
              <w:adjustRightInd w:val="0"/>
              <w:jc w:val="center"/>
              <w:rPr>
                <w:rFonts w:ascii="Arial" w:eastAsia="Times New Roman" w:hAnsi="Arial" w:cs="Arial"/>
                <w:b/>
                <w:sz w:val="16"/>
                <w:szCs w:val="20"/>
              </w:rPr>
            </w:pPr>
          </w:p>
        </w:tc>
        <w:tc>
          <w:tcPr>
            <w:tcW w:w="563" w:type="pct"/>
            <w:vMerge/>
            <w:shd w:val="clear" w:color="auto" w:fill="FFD200"/>
          </w:tcPr>
          <w:p>
            <w:pPr>
              <w:widowControl w:val="0"/>
              <w:tabs>
                <w:tab w:val="left" w:pos="851"/>
              </w:tabs>
              <w:autoSpaceDE w:val="0"/>
              <w:autoSpaceDN w:val="0"/>
              <w:adjustRightInd w:val="0"/>
              <w:jc w:val="center"/>
              <w:rPr>
                <w:rFonts w:ascii="Arial" w:eastAsia="Times New Roman" w:hAnsi="Arial" w:cs="Arial"/>
                <w:b/>
                <w:sz w:val="14"/>
                <w:szCs w:val="20"/>
              </w:rPr>
            </w:pPr>
          </w:p>
        </w:tc>
      </w:tr>
      <w:tr>
        <w:trPr>
          <w:trHeight w:val="26"/>
          <w:tblHeader/>
        </w:trPr>
        <w:tc>
          <w:tcPr>
            <w:tcW w:w="531"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keepNext/>
              <w:widowControl w:val="0"/>
              <w:jc w:val="center"/>
              <w:rPr>
                <w:rFonts w:ascii="Arial" w:eastAsia="Times New Roman" w:hAnsi="Arial"/>
                <w:b/>
                <w:caps/>
                <w:sz w:val="16"/>
                <w:szCs w:val="16"/>
              </w:rPr>
            </w:pPr>
            <w:r>
              <w:rPr>
                <w:rFonts w:ascii="Arial" w:eastAsia="Times New Roman" w:hAnsi="Arial"/>
                <w:b/>
                <w:caps/>
                <w:sz w:val="16"/>
                <w:szCs w:val="16"/>
              </w:rPr>
              <w:t>1</w:t>
            </w:r>
          </w:p>
        </w:tc>
        <w:tc>
          <w:tcPr>
            <w:tcW w:w="737" w:type="pct"/>
            <w:tcBorders>
              <w:top w:val="single" w:sz="12" w:space="0" w:color="auto"/>
              <w:bottom w:val="single" w:sz="12" w:space="0" w:color="auto"/>
            </w:tcBorders>
            <w:shd w:val="clear" w:color="auto" w:fill="FFD200"/>
            <w:vAlign w:val="center"/>
          </w:tcPr>
          <w:p>
            <w:pPr>
              <w:keepNext/>
              <w:widowControl w:val="0"/>
              <w:jc w:val="center"/>
              <w:rPr>
                <w:rFonts w:ascii="Arial" w:eastAsia="Times New Roman" w:hAnsi="Arial"/>
                <w:b/>
                <w:caps/>
                <w:sz w:val="16"/>
                <w:szCs w:val="16"/>
              </w:rPr>
            </w:pPr>
            <w:r>
              <w:rPr>
                <w:rFonts w:ascii="Arial" w:eastAsia="Times New Roman" w:hAnsi="Arial"/>
                <w:b/>
                <w:caps/>
                <w:sz w:val="16"/>
                <w:szCs w:val="16"/>
              </w:rPr>
              <w:t>2</w:t>
            </w:r>
          </w:p>
        </w:tc>
        <w:tc>
          <w:tcPr>
            <w:tcW w:w="293"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0"/>
              </w:tabs>
              <w:autoSpaceDE w:val="0"/>
              <w:autoSpaceDN w:val="0"/>
              <w:adjustRightInd w:val="0"/>
              <w:ind w:left="6"/>
              <w:jc w:val="center"/>
              <w:rPr>
                <w:rFonts w:ascii="Arial" w:eastAsia="Times New Roman" w:hAnsi="Arial" w:cs="Arial"/>
                <w:b/>
                <w:sz w:val="16"/>
                <w:szCs w:val="16"/>
              </w:rPr>
            </w:pPr>
            <w:r>
              <w:rPr>
                <w:rFonts w:ascii="Arial" w:eastAsia="Times New Roman" w:hAnsi="Arial" w:cs="Arial"/>
                <w:b/>
                <w:sz w:val="16"/>
                <w:szCs w:val="16"/>
              </w:rPr>
              <w:t>3</w:t>
            </w:r>
          </w:p>
        </w:tc>
        <w:tc>
          <w:tcPr>
            <w:tcW w:w="294"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16"/>
              </w:rPr>
            </w:pPr>
            <w:r>
              <w:rPr>
                <w:rFonts w:ascii="Arial" w:eastAsia="Times New Roman" w:hAnsi="Arial" w:cs="Arial"/>
                <w:b/>
                <w:sz w:val="16"/>
                <w:szCs w:val="16"/>
              </w:rPr>
              <w:t>4</w:t>
            </w:r>
          </w:p>
        </w:tc>
        <w:tc>
          <w:tcPr>
            <w:tcW w:w="295"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16"/>
              </w:rPr>
            </w:pPr>
            <w:r>
              <w:rPr>
                <w:rFonts w:ascii="Arial" w:eastAsia="Times New Roman" w:hAnsi="Arial" w:cs="Arial"/>
                <w:b/>
                <w:sz w:val="16"/>
                <w:szCs w:val="16"/>
              </w:rPr>
              <w:t>5</w:t>
            </w:r>
          </w:p>
        </w:tc>
        <w:tc>
          <w:tcPr>
            <w:tcW w:w="294"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16"/>
              </w:rPr>
            </w:pPr>
            <w:r>
              <w:rPr>
                <w:rFonts w:ascii="Arial" w:eastAsia="Times New Roman" w:hAnsi="Arial" w:cs="Arial"/>
                <w:b/>
                <w:sz w:val="16"/>
                <w:szCs w:val="16"/>
              </w:rPr>
              <w:t>6</w:t>
            </w:r>
          </w:p>
        </w:tc>
        <w:tc>
          <w:tcPr>
            <w:tcW w:w="295"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16"/>
              </w:rPr>
            </w:pPr>
            <w:r>
              <w:rPr>
                <w:rFonts w:ascii="Arial" w:eastAsia="Times New Roman" w:hAnsi="Arial" w:cs="Arial"/>
                <w:b/>
                <w:sz w:val="16"/>
                <w:szCs w:val="16"/>
              </w:rPr>
              <w:t>7</w:t>
            </w:r>
          </w:p>
        </w:tc>
        <w:tc>
          <w:tcPr>
            <w:tcW w:w="294"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jc w:val="center"/>
              <w:rPr>
                <w:rFonts w:ascii="Arial" w:eastAsia="Times New Roman" w:hAnsi="Arial" w:cs="Arial"/>
                <w:b/>
                <w:sz w:val="16"/>
                <w:szCs w:val="16"/>
              </w:rPr>
            </w:pPr>
            <w:r>
              <w:rPr>
                <w:rFonts w:ascii="Arial" w:eastAsia="Times New Roman" w:hAnsi="Arial" w:cs="Arial"/>
                <w:b/>
                <w:sz w:val="16"/>
                <w:szCs w:val="16"/>
              </w:rPr>
              <w:t>8</w:t>
            </w:r>
          </w:p>
        </w:tc>
        <w:tc>
          <w:tcPr>
            <w:tcW w:w="295"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ind w:left="28"/>
              <w:jc w:val="center"/>
              <w:rPr>
                <w:rFonts w:ascii="Arial" w:eastAsia="Times New Roman" w:hAnsi="Arial" w:cs="Arial"/>
                <w:b/>
                <w:sz w:val="16"/>
                <w:szCs w:val="16"/>
              </w:rPr>
            </w:pPr>
            <w:r>
              <w:rPr>
                <w:rFonts w:ascii="Arial" w:eastAsia="Times New Roman" w:hAnsi="Arial" w:cs="Arial"/>
                <w:b/>
                <w:sz w:val="16"/>
                <w:szCs w:val="16"/>
              </w:rPr>
              <w:t>9</w:t>
            </w:r>
          </w:p>
        </w:tc>
        <w:tc>
          <w:tcPr>
            <w:tcW w:w="301" w:type="pct"/>
            <w:tcBorders>
              <w:top w:val="single" w:sz="12" w:space="0" w:color="auto"/>
              <w:bottom w:val="single" w:sz="12" w:space="0" w:color="auto"/>
            </w:tcBorders>
            <w:shd w:val="clear" w:color="auto" w:fill="FFD200"/>
            <w:tcMar>
              <w:top w:w="114" w:type="dxa"/>
              <w:left w:w="28" w:type="dxa"/>
              <w:bottom w:w="114" w:type="dxa"/>
              <w:right w:w="28" w:type="dxa"/>
            </w:tcMar>
            <w:vAlign w:val="center"/>
          </w:tcPr>
          <w:p>
            <w:pPr>
              <w:widowControl w:val="0"/>
              <w:tabs>
                <w:tab w:val="left" w:pos="851"/>
              </w:tabs>
              <w:autoSpaceDE w:val="0"/>
              <w:autoSpaceDN w:val="0"/>
              <w:adjustRightInd w:val="0"/>
              <w:ind w:left="31"/>
              <w:jc w:val="center"/>
              <w:rPr>
                <w:rFonts w:ascii="Arial" w:eastAsia="Times New Roman" w:hAnsi="Arial" w:cs="Arial"/>
                <w:b/>
                <w:sz w:val="16"/>
                <w:szCs w:val="16"/>
              </w:rPr>
            </w:pPr>
            <w:r>
              <w:rPr>
                <w:rFonts w:ascii="Arial" w:eastAsia="Times New Roman" w:hAnsi="Arial" w:cs="Arial"/>
                <w:b/>
                <w:sz w:val="16"/>
                <w:szCs w:val="16"/>
              </w:rPr>
              <w:t>10</w:t>
            </w:r>
          </w:p>
        </w:tc>
        <w:tc>
          <w:tcPr>
            <w:tcW w:w="808" w:type="pct"/>
            <w:tcBorders>
              <w:top w:val="single" w:sz="12" w:space="0" w:color="auto"/>
              <w:bottom w:val="single" w:sz="12" w:space="0" w:color="auto"/>
            </w:tcBorders>
            <w:shd w:val="clear" w:color="auto" w:fill="FFD200"/>
          </w:tcPr>
          <w:p>
            <w:pPr>
              <w:widowControl w:val="0"/>
              <w:tabs>
                <w:tab w:val="left" w:pos="851"/>
              </w:tabs>
              <w:autoSpaceDE w:val="0"/>
              <w:autoSpaceDN w:val="0"/>
              <w:adjustRightInd w:val="0"/>
              <w:ind w:left="65"/>
              <w:jc w:val="center"/>
              <w:rPr>
                <w:rFonts w:ascii="Arial" w:eastAsia="Times New Roman" w:hAnsi="Arial" w:cs="Arial"/>
                <w:b/>
                <w:sz w:val="16"/>
                <w:szCs w:val="16"/>
              </w:rPr>
            </w:pPr>
            <w:r>
              <w:rPr>
                <w:rFonts w:ascii="Arial" w:eastAsia="Times New Roman" w:hAnsi="Arial" w:cs="Arial"/>
                <w:b/>
                <w:sz w:val="16"/>
                <w:szCs w:val="16"/>
              </w:rPr>
              <w:t>11</w:t>
            </w:r>
          </w:p>
        </w:tc>
        <w:tc>
          <w:tcPr>
            <w:tcW w:w="563" w:type="pct"/>
            <w:tcBorders>
              <w:top w:val="single" w:sz="12" w:space="0" w:color="auto"/>
              <w:bottom w:val="single" w:sz="12" w:space="0" w:color="auto"/>
            </w:tcBorders>
            <w:shd w:val="clear" w:color="auto" w:fill="FFD200"/>
          </w:tcPr>
          <w:p>
            <w:pPr>
              <w:widowControl w:val="0"/>
              <w:tabs>
                <w:tab w:val="left" w:pos="851"/>
              </w:tabs>
              <w:autoSpaceDE w:val="0"/>
              <w:autoSpaceDN w:val="0"/>
              <w:adjustRightInd w:val="0"/>
              <w:ind w:left="65"/>
              <w:jc w:val="center"/>
              <w:rPr>
                <w:rFonts w:ascii="Arial" w:eastAsia="Times New Roman" w:hAnsi="Arial" w:cs="Arial"/>
                <w:b/>
                <w:sz w:val="16"/>
                <w:szCs w:val="16"/>
              </w:rPr>
            </w:pPr>
            <w:r>
              <w:rPr>
                <w:rFonts w:ascii="Arial" w:eastAsia="Times New Roman" w:hAnsi="Arial" w:cs="Arial"/>
                <w:b/>
                <w:sz w:val="16"/>
                <w:szCs w:val="16"/>
              </w:rPr>
              <w:t>12</w:t>
            </w:r>
          </w:p>
        </w:tc>
      </w:tr>
      <w:tr>
        <w:tc>
          <w:tcPr>
            <w:tcW w:w="531" w:type="pct"/>
            <w:tcBorders>
              <w:top w:val="single" w:sz="6" w:space="0" w:color="auto"/>
              <w:bottom w:val="single" w:sz="6"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К42</w:t>
            </w:r>
          </w:p>
        </w:tc>
        <w:tc>
          <w:tcPr>
            <w:tcW w:w="737" w:type="pct"/>
            <w:tcBorders>
              <w:top w:val="single" w:sz="6" w:space="0" w:color="auto"/>
              <w:bottom w:val="single" w:sz="6" w:space="0" w:color="auto"/>
            </w:tcBorders>
            <w:vAlign w:val="center"/>
          </w:tcPr>
          <w:p>
            <w:pPr>
              <w:tabs>
                <w:tab w:val="left" w:pos="851"/>
              </w:tabs>
              <w:jc w:val="center"/>
              <w:rPr>
                <w:rFonts w:eastAsia="Times New Roman"/>
                <w:sz w:val="18"/>
                <w:szCs w:val="18"/>
              </w:rPr>
            </w:pPr>
            <w:r>
              <w:rPr>
                <w:rFonts w:eastAsia="Times New Roman"/>
                <w:sz w:val="18"/>
                <w:szCs w:val="18"/>
                <w:lang w:val="en-US"/>
              </w:rPr>
              <w:t>L</w:t>
            </w:r>
            <w:r>
              <w:rPr>
                <w:rFonts w:eastAsia="Times New Roman"/>
                <w:sz w:val="18"/>
                <w:szCs w:val="18"/>
              </w:rPr>
              <w:t xml:space="preserve"> 290</w:t>
            </w:r>
          </w:p>
        </w:tc>
        <w:tc>
          <w:tcPr>
            <w:tcW w:w="293"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0,24</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0,40</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1,20</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0,06</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412 (42)</w:t>
            </w:r>
          </w:p>
        </w:tc>
        <w:tc>
          <w:tcPr>
            <w:tcW w:w="563"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245 (25)</w:t>
            </w:r>
          </w:p>
        </w:tc>
      </w:tr>
      <w:tr>
        <w:tc>
          <w:tcPr>
            <w:tcW w:w="531" w:type="pct"/>
            <w:tcBorders>
              <w:top w:val="single" w:sz="6" w:space="0" w:color="auto"/>
              <w:bottom w:val="single" w:sz="6"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К48</w:t>
            </w:r>
          </w:p>
        </w:tc>
        <w:tc>
          <w:tcPr>
            <w:tcW w:w="737" w:type="pct"/>
            <w:tcBorders>
              <w:top w:val="single" w:sz="6" w:space="0" w:color="auto"/>
              <w:bottom w:val="single" w:sz="6" w:space="0" w:color="auto"/>
            </w:tcBorders>
            <w:vAlign w:val="center"/>
          </w:tcPr>
          <w:p>
            <w:pPr>
              <w:tabs>
                <w:tab w:val="left" w:pos="851"/>
              </w:tabs>
              <w:jc w:val="center"/>
              <w:rPr>
                <w:rFonts w:eastAsia="Times New Roman"/>
                <w:sz w:val="18"/>
                <w:szCs w:val="18"/>
              </w:rPr>
            </w:pPr>
            <w:r>
              <w:rPr>
                <w:rFonts w:eastAsia="Times New Roman"/>
                <w:sz w:val="18"/>
                <w:szCs w:val="18"/>
                <w:lang w:val="en-US"/>
              </w:rPr>
              <w:t>L 360</w:t>
            </w:r>
          </w:p>
        </w:tc>
        <w:tc>
          <w:tcPr>
            <w:tcW w:w="293"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0,24</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1,40</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0,10</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471 (48)</w:t>
            </w:r>
          </w:p>
        </w:tc>
        <w:tc>
          <w:tcPr>
            <w:tcW w:w="563"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295 (30)</w:t>
            </w:r>
          </w:p>
        </w:tc>
      </w:tr>
      <w:tr>
        <w:tc>
          <w:tcPr>
            <w:tcW w:w="531" w:type="pct"/>
            <w:tcBorders>
              <w:top w:val="single" w:sz="6" w:space="0" w:color="auto"/>
              <w:bottom w:val="single" w:sz="6"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К50</w:t>
            </w:r>
          </w:p>
        </w:tc>
        <w:tc>
          <w:tcPr>
            <w:tcW w:w="737" w:type="pct"/>
            <w:tcBorders>
              <w:top w:val="single" w:sz="6" w:space="0" w:color="auto"/>
              <w:bottom w:val="single" w:sz="6" w:space="0" w:color="auto"/>
            </w:tcBorders>
            <w:vAlign w:val="center"/>
          </w:tcPr>
          <w:p>
            <w:pPr>
              <w:tabs>
                <w:tab w:val="left" w:pos="851"/>
              </w:tabs>
              <w:jc w:val="center"/>
              <w:rPr>
                <w:rFonts w:eastAsia="Times New Roman"/>
                <w:sz w:val="18"/>
                <w:szCs w:val="18"/>
              </w:rPr>
            </w:pPr>
            <w:r>
              <w:rPr>
                <w:rFonts w:eastAsia="Times New Roman"/>
                <w:sz w:val="18"/>
                <w:szCs w:val="18"/>
                <w:lang w:val="en-US"/>
              </w:rPr>
              <w:t>L 390</w:t>
            </w:r>
          </w:p>
        </w:tc>
        <w:tc>
          <w:tcPr>
            <w:tcW w:w="293"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0,24</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1,40</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0,10</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485 (50)</w:t>
            </w:r>
          </w:p>
        </w:tc>
        <w:tc>
          <w:tcPr>
            <w:tcW w:w="563"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343 (35)</w:t>
            </w:r>
          </w:p>
        </w:tc>
      </w:tr>
      <w:tr>
        <w:tc>
          <w:tcPr>
            <w:tcW w:w="531" w:type="pct"/>
            <w:tcBorders>
              <w:top w:val="single" w:sz="6" w:space="0" w:color="auto"/>
              <w:bottom w:val="single" w:sz="6"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К52</w:t>
            </w:r>
          </w:p>
        </w:tc>
        <w:tc>
          <w:tcPr>
            <w:tcW w:w="737" w:type="pct"/>
            <w:tcBorders>
              <w:top w:val="single" w:sz="6" w:space="0" w:color="auto"/>
              <w:bottom w:val="single" w:sz="6" w:space="0" w:color="auto"/>
            </w:tcBorders>
            <w:vAlign w:val="center"/>
          </w:tcPr>
          <w:p>
            <w:pPr>
              <w:tabs>
                <w:tab w:val="left" w:pos="851"/>
              </w:tabs>
              <w:jc w:val="center"/>
              <w:rPr>
                <w:rFonts w:eastAsia="Times New Roman"/>
                <w:sz w:val="18"/>
                <w:szCs w:val="18"/>
              </w:rPr>
            </w:pPr>
            <w:r>
              <w:rPr>
                <w:rFonts w:eastAsia="Times New Roman"/>
                <w:sz w:val="18"/>
                <w:szCs w:val="18"/>
                <w:lang w:val="en-US"/>
              </w:rPr>
              <w:t>L 415</w:t>
            </w:r>
          </w:p>
        </w:tc>
        <w:tc>
          <w:tcPr>
            <w:tcW w:w="293"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0,24</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1,40</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0,10</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510 (52)</w:t>
            </w:r>
          </w:p>
        </w:tc>
        <w:tc>
          <w:tcPr>
            <w:tcW w:w="563"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353 (36)</w:t>
            </w:r>
          </w:p>
        </w:tc>
      </w:tr>
      <w:tr>
        <w:tc>
          <w:tcPr>
            <w:tcW w:w="531" w:type="pct"/>
            <w:tcBorders>
              <w:top w:val="single" w:sz="6" w:space="0" w:color="auto"/>
              <w:bottom w:val="single" w:sz="6"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К55, К56</w:t>
            </w:r>
          </w:p>
        </w:tc>
        <w:tc>
          <w:tcPr>
            <w:tcW w:w="737" w:type="pct"/>
            <w:tcBorders>
              <w:top w:val="single" w:sz="6" w:space="0" w:color="auto"/>
              <w:bottom w:val="single" w:sz="6" w:space="0" w:color="auto"/>
            </w:tcBorders>
            <w:vAlign w:val="center"/>
          </w:tcPr>
          <w:p>
            <w:pPr>
              <w:tabs>
                <w:tab w:val="left" w:pos="851"/>
              </w:tabs>
              <w:jc w:val="center"/>
              <w:rPr>
                <w:rFonts w:eastAsia="Times New Roman"/>
                <w:sz w:val="18"/>
                <w:szCs w:val="18"/>
              </w:rPr>
            </w:pPr>
            <w:r>
              <w:rPr>
                <w:rFonts w:eastAsia="Times New Roman"/>
                <w:sz w:val="18"/>
                <w:szCs w:val="18"/>
                <w:lang w:val="en-US"/>
              </w:rPr>
              <w:t>L 450</w:t>
            </w:r>
          </w:p>
        </w:tc>
        <w:tc>
          <w:tcPr>
            <w:tcW w:w="293"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0,18</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1,70</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0,10</w:t>
            </w:r>
          </w:p>
        </w:tc>
        <w:tc>
          <w:tcPr>
            <w:tcW w:w="295"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6"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539 (55)</w:t>
            </w:r>
          </w:p>
        </w:tc>
        <w:tc>
          <w:tcPr>
            <w:tcW w:w="563" w:type="pct"/>
            <w:tcBorders>
              <w:top w:val="single" w:sz="6" w:space="0" w:color="auto"/>
              <w:bottom w:val="single" w:sz="6" w:space="0" w:color="auto"/>
            </w:tcBorders>
            <w:shd w:val="clear" w:color="auto" w:fill="auto"/>
          </w:tcPr>
          <w:p>
            <w:pPr>
              <w:tabs>
                <w:tab w:val="left" w:pos="851"/>
              </w:tabs>
              <w:jc w:val="center"/>
              <w:rPr>
                <w:rFonts w:eastAsia="Times New Roman"/>
                <w:sz w:val="18"/>
                <w:szCs w:val="18"/>
              </w:rPr>
            </w:pPr>
            <w:r>
              <w:rPr>
                <w:rFonts w:eastAsia="Times New Roman"/>
                <w:sz w:val="18"/>
                <w:szCs w:val="18"/>
              </w:rPr>
              <w:t>372 (38)</w:t>
            </w:r>
          </w:p>
        </w:tc>
      </w:tr>
      <w:tr>
        <w:tc>
          <w:tcPr>
            <w:tcW w:w="531" w:type="pct"/>
            <w:tcBorders>
              <w:top w:val="single" w:sz="6" w:space="0" w:color="auto"/>
              <w:bottom w:val="single" w:sz="12" w:space="0" w:color="auto"/>
            </w:tcBorders>
            <w:tcMar>
              <w:top w:w="114" w:type="dxa"/>
              <w:left w:w="28" w:type="dxa"/>
              <w:bottom w:w="114" w:type="dxa"/>
              <w:right w:w="28" w:type="dxa"/>
            </w:tcMar>
            <w:vAlign w:val="center"/>
          </w:tcPr>
          <w:p>
            <w:pPr>
              <w:tabs>
                <w:tab w:val="left" w:pos="851"/>
              </w:tabs>
              <w:jc w:val="center"/>
              <w:rPr>
                <w:rFonts w:eastAsia="Times New Roman"/>
                <w:sz w:val="18"/>
                <w:szCs w:val="18"/>
              </w:rPr>
            </w:pPr>
            <w:r>
              <w:rPr>
                <w:rFonts w:eastAsia="Times New Roman"/>
                <w:sz w:val="18"/>
                <w:szCs w:val="18"/>
              </w:rPr>
              <w:t>К60</w:t>
            </w:r>
          </w:p>
        </w:tc>
        <w:tc>
          <w:tcPr>
            <w:tcW w:w="737" w:type="pct"/>
            <w:tcBorders>
              <w:top w:val="single" w:sz="6" w:space="0" w:color="auto"/>
              <w:bottom w:val="single" w:sz="12" w:space="0" w:color="auto"/>
            </w:tcBorders>
            <w:vAlign w:val="center"/>
          </w:tcPr>
          <w:p>
            <w:pPr>
              <w:tabs>
                <w:tab w:val="left" w:pos="851"/>
              </w:tabs>
              <w:jc w:val="center"/>
              <w:rPr>
                <w:rFonts w:eastAsia="Times New Roman"/>
                <w:sz w:val="18"/>
                <w:szCs w:val="18"/>
              </w:rPr>
            </w:pPr>
            <w:r>
              <w:rPr>
                <w:rFonts w:eastAsia="Times New Roman"/>
                <w:sz w:val="18"/>
                <w:szCs w:val="18"/>
                <w:lang w:val="en-US"/>
              </w:rPr>
              <w:t>L 485</w:t>
            </w:r>
          </w:p>
        </w:tc>
        <w:tc>
          <w:tcPr>
            <w:tcW w:w="293"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0,18</w:t>
            </w:r>
          </w:p>
        </w:tc>
        <w:tc>
          <w:tcPr>
            <w:tcW w:w="294"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0,45</w:t>
            </w:r>
          </w:p>
        </w:tc>
        <w:tc>
          <w:tcPr>
            <w:tcW w:w="295"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1,80</w:t>
            </w:r>
          </w:p>
        </w:tc>
        <w:tc>
          <w:tcPr>
            <w:tcW w:w="294"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0,025</w:t>
            </w:r>
          </w:p>
        </w:tc>
        <w:tc>
          <w:tcPr>
            <w:tcW w:w="295"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0,015</w:t>
            </w:r>
          </w:p>
        </w:tc>
        <w:tc>
          <w:tcPr>
            <w:tcW w:w="294"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0,10</w:t>
            </w:r>
          </w:p>
        </w:tc>
        <w:tc>
          <w:tcPr>
            <w:tcW w:w="295"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0,05</w:t>
            </w:r>
          </w:p>
        </w:tc>
        <w:tc>
          <w:tcPr>
            <w:tcW w:w="301" w:type="pct"/>
            <w:tcBorders>
              <w:top w:val="single" w:sz="6" w:space="0" w:color="auto"/>
              <w:bottom w:val="single" w:sz="12" w:space="0" w:color="auto"/>
            </w:tcBorders>
            <w:tcMar>
              <w:top w:w="114" w:type="dxa"/>
              <w:left w:w="28" w:type="dxa"/>
              <w:bottom w:w="114" w:type="dxa"/>
              <w:right w:w="28" w:type="dxa"/>
            </w:tcMar>
            <w:vAlign w:val="center"/>
          </w:tcPr>
          <w:p>
            <w:pPr>
              <w:widowControl w:val="0"/>
              <w:tabs>
                <w:tab w:val="left" w:pos="851"/>
              </w:tabs>
              <w:autoSpaceDE w:val="0"/>
              <w:autoSpaceDN w:val="0"/>
              <w:adjustRightInd w:val="0"/>
              <w:jc w:val="center"/>
              <w:rPr>
                <w:rFonts w:eastAsia="Times New Roman"/>
                <w:sz w:val="18"/>
                <w:szCs w:val="18"/>
              </w:rPr>
            </w:pPr>
            <w:r>
              <w:rPr>
                <w:rFonts w:eastAsia="Times New Roman"/>
                <w:sz w:val="18"/>
                <w:szCs w:val="18"/>
              </w:rPr>
              <w:t>0,04</w:t>
            </w:r>
          </w:p>
        </w:tc>
        <w:tc>
          <w:tcPr>
            <w:tcW w:w="808" w:type="pct"/>
            <w:tcBorders>
              <w:top w:val="single" w:sz="6" w:space="0" w:color="auto"/>
              <w:bottom w:val="single" w:sz="12" w:space="0" w:color="auto"/>
            </w:tcBorders>
            <w:shd w:val="clear" w:color="auto" w:fill="auto"/>
          </w:tcPr>
          <w:p>
            <w:pPr>
              <w:tabs>
                <w:tab w:val="left" w:pos="851"/>
              </w:tabs>
              <w:jc w:val="center"/>
              <w:rPr>
                <w:rFonts w:eastAsia="Times New Roman"/>
                <w:sz w:val="18"/>
                <w:szCs w:val="18"/>
              </w:rPr>
            </w:pPr>
            <w:r>
              <w:rPr>
                <w:rFonts w:eastAsia="Times New Roman"/>
                <w:sz w:val="18"/>
                <w:szCs w:val="18"/>
              </w:rPr>
              <w:t>588 (60)</w:t>
            </w:r>
          </w:p>
        </w:tc>
        <w:tc>
          <w:tcPr>
            <w:tcW w:w="563" w:type="pct"/>
            <w:tcBorders>
              <w:top w:val="single" w:sz="6" w:space="0" w:color="auto"/>
              <w:bottom w:val="single" w:sz="12" w:space="0" w:color="auto"/>
            </w:tcBorders>
            <w:shd w:val="clear" w:color="auto" w:fill="auto"/>
          </w:tcPr>
          <w:p>
            <w:pPr>
              <w:tabs>
                <w:tab w:val="left" w:pos="851"/>
              </w:tabs>
              <w:jc w:val="center"/>
              <w:rPr>
                <w:rFonts w:eastAsia="Times New Roman"/>
                <w:sz w:val="18"/>
                <w:szCs w:val="18"/>
              </w:rPr>
            </w:pPr>
            <w:r>
              <w:rPr>
                <w:rFonts w:eastAsia="Times New Roman"/>
                <w:sz w:val="18"/>
                <w:szCs w:val="18"/>
              </w:rPr>
              <w:t>412 (42)</w:t>
            </w:r>
          </w:p>
        </w:tc>
      </w:tr>
    </w:tbl>
    <w:p>
      <w:pPr>
        <w:tabs>
          <w:tab w:val="left" w:pos="851"/>
        </w:tabs>
        <w:rPr>
          <w:rFonts w:eastAsia="Times New Roman"/>
        </w:rPr>
      </w:pPr>
    </w:p>
    <w:p>
      <w:pPr>
        <w:tabs>
          <w:tab w:val="left" w:pos="851"/>
        </w:tabs>
        <w:rPr>
          <w:rFonts w:eastAsia="Times New Roman"/>
        </w:rPr>
      </w:pPr>
      <w:r>
        <w:rPr>
          <w:rFonts w:eastAsia="Times New Roman"/>
        </w:rPr>
        <w:t>Для труб групп прочности L290 (К42), L320 (К46), L360 (К48), L390 (К50) массовая доля меди должна быть не более 0,50 %, никеля не более 0,30 %, хрома не более 0,30 %, молибдена не более 0,15 %.</w:t>
      </w:r>
    </w:p>
    <w:p>
      <w:pPr>
        <w:tabs>
          <w:tab w:val="left" w:pos="851"/>
        </w:tabs>
        <w:rPr>
          <w:rFonts w:eastAsia="Times New Roman"/>
        </w:rPr>
      </w:pPr>
    </w:p>
    <w:p>
      <w:pPr>
        <w:tabs>
          <w:tab w:val="left" w:pos="851"/>
        </w:tabs>
        <w:rPr>
          <w:rFonts w:eastAsia="Times New Roman"/>
        </w:rPr>
      </w:pPr>
      <w:r>
        <w:rPr>
          <w:rFonts w:eastAsia="Times New Roman"/>
        </w:rPr>
        <w:t>Для труб групп прочности L415 (К52), L450 (К55, К56), L485 (К60) массовая доля меди должна быть не более 0,50 %, никеля не более 1,00 %, хрома не более 0,50 %, молибдена не более 0,50 %.</w:t>
      </w:r>
    </w:p>
    <w:p>
      <w:pPr>
        <w:tabs>
          <w:tab w:val="left" w:pos="851"/>
        </w:tabs>
        <w:rPr>
          <w:rFonts w:eastAsia="Times New Roman"/>
        </w:rPr>
      </w:pPr>
    </w:p>
    <w:p>
      <w:pPr>
        <w:tabs>
          <w:tab w:val="left" w:pos="851"/>
        </w:tabs>
        <w:rPr>
          <w:rFonts w:eastAsia="Times New Roman"/>
        </w:rPr>
      </w:pPr>
      <w:r>
        <w:rPr>
          <w:rFonts w:eastAsia="Times New Roman"/>
        </w:rPr>
        <w:t>Суммарное содержание ванадия, титана и ниобия должно быть не более 0,15 %.</w:t>
      </w:r>
    </w:p>
    <w:p>
      <w:pPr>
        <w:tabs>
          <w:tab w:val="left" w:pos="851"/>
        </w:tabs>
        <w:rPr>
          <w:rFonts w:eastAsia="Times New Roman"/>
        </w:rPr>
      </w:pPr>
    </w:p>
    <w:p>
      <w:pPr>
        <w:tabs>
          <w:tab w:val="left" w:pos="851"/>
        </w:tabs>
        <w:rPr>
          <w:rFonts w:eastAsia="Times New Roman"/>
        </w:rPr>
      </w:pPr>
      <w:r>
        <w:rPr>
          <w:rFonts w:eastAsia="Times New Roman"/>
        </w:rPr>
        <w:t>В случае использования в качестве модифицирующего элемента кальция, отношение содержания кальция к содержанию серы в стали должно быть не менее 1,0. Общее содержание кальция в стали не более 0,006  %. При использовании нескольких модифицирующих элементов соотношение содержания серы и модифицирующих элементов оговаривается отдельно.</w:t>
      </w:r>
    </w:p>
    <w:p>
      <w:pPr>
        <w:tabs>
          <w:tab w:val="left" w:pos="851"/>
        </w:tabs>
        <w:rPr>
          <w:rFonts w:eastAsia="Times New Roman"/>
        </w:rPr>
      </w:pPr>
    </w:p>
    <w:p>
      <w:pPr>
        <w:tabs>
          <w:tab w:val="left" w:pos="851"/>
        </w:tabs>
        <w:rPr>
          <w:rFonts w:eastAsia="Times New Roman"/>
        </w:rPr>
      </w:pPr>
      <w:r>
        <w:rPr>
          <w:rFonts w:eastAsia="Times New Roman"/>
        </w:rPr>
        <w:t>Эквивалент углерода (С</w:t>
      </w:r>
      <w:r>
        <w:rPr>
          <w:rFonts w:eastAsia="Times New Roman"/>
          <w:vertAlign w:val="subscript"/>
        </w:rPr>
        <w:t>экв</w:t>
      </w:r>
      <w:r>
        <w:rPr>
          <w:rFonts w:eastAsia="Times New Roman"/>
        </w:rPr>
        <w:t>) для труб с массовой долей углерода в стали по анализу изделия, превышающей 0,12 % (С</w:t>
      </w:r>
      <w:r>
        <w:rPr>
          <w:rFonts w:eastAsia="Times New Roman"/>
          <w:vertAlign w:val="subscript"/>
        </w:rPr>
        <w:t>экв</w:t>
      </w:r>
      <w:r>
        <w:rPr>
          <w:rFonts w:eastAsia="Times New Roman"/>
        </w:rPr>
        <w:t> &gt; 0,12 %), по ГОСТ</w:t>
      </w:r>
      <w:r>
        <w:rPr>
          <w:rFonts w:eastAsia="Times New Roman"/>
          <w:lang w:val="en-US"/>
        </w:rPr>
        <w:t> ISO </w:t>
      </w:r>
      <w:r>
        <w:rPr>
          <w:rFonts w:eastAsia="Times New Roman"/>
        </w:rPr>
        <w:t>3183 определяется по формуле:</w:t>
      </w:r>
    </w:p>
    <w:p>
      <w:pPr>
        <w:tabs>
          <w:tab w:val="left" w:pos="851"/>
        </w:tabs>
        <w:rPr>
          <w:rFonts w:eastAsia="Times New Roman"/>
        </w:rPr>
      </w:pPr>
    </w:p>
    <w:p>
      <w:pPr>
        <w:tabs>
          <w:tab w:val="left" w:pos="993"/>
        </w:tabs>
        <w:jc w:val="center"/>
        <w:rPr>
          <w:rFonts w:eastAsia="Times New Roman"/>
        </w:rPr>
      </w:pPr>
      <w:r>
        <w:rPr>
          <w:rFonts w:eastAsia="Times New Roman"/>
        </w:rPr>
        <w:tab/>
      </w:r>
      <w:r>
        <w:rPr>
          <w:rFonts w:eastAsia="Times New Roman"/>
          <w:position w:val="-24"/>
        </w:rPr>
        <w:object w:dxaOrig="3900" w:dyaOrig="620">
          <v:shape id="_x0000_i1027" type="#_x0000_t75" style="width:193.45pt;height:30.7pt" o:ole="">
            <v:imagedata r:id="rId39" o:title=""/>
          </v:shape>
          <o:OLEObject Type="Embed" ProgID="Equation.3" ShapeID="_x0000_i1027" DrawAspect="Content" ObjectID="_1601706640" r:id="rId40"/>
        </w:object>
      </w:r>
      <w:r>
        <w:rPr>
          <w:rFonts w:eastAsia="Times New Roman"/>
        </w:rPr>
        <w:tab/>
      </w:r>
      <w:r>
        <w:rPr>
          <w:rFonts w:eastAsia="Times New Roman"/>
        </w:rPr>
        <w:tab/>
      </w:r>
      <w:r>
        <w:rPr>
          <w:rFonts w:eastAsia="Times New Roman"/>
        </w:rPr>
        <w:tab/>
      </w:r>
      <w:r>
        <w:rPr>
          <w:rFonts w:eastAsia="Times New Roman"/>
        </w:rPr>
        <w:tab/>
      </w:r>
      <w:r>
        <w:rPr>
          <w:rFonts w:eastAsia="Times New Roman"/>
        </w:rPr>
        <w:tab/>
        <w:t>(4)</w:t>
      </w:r>
    </w:p>
    <w:p>
      <w:pPr>
        <w:tabs>
          <w:tab w:val="left" w:pos="851"/>
        </w:tabs>
        <w:rPr>
          <w:rFonts w:eastAsia="Times New Roman"/>
        </w:rPr>
      </w:pPr>
    </w:p>
    <w:p>
      <w:pPr>
        <w:tabs>
          <w:tab w:val="left" w:pos="851"/>
        </w:tabs>
        <w:rPr>
          <w:rFonts w:eastAsia="Times New Roman"/>
        </w:rPr>
      </w:pPr>
      <w:r>
        <w:rPr>
          <w:rFonts w:eastAsia="Times New Roman"/>
        </w:rPr>
        <w:t>Для труб с массовой долей углерода в стали по анализу изделия, не превышающей 0,12 %,</w:t>
      </w:r>
      <w:r>
        <w:t xml:space="preserve"> С</w:t>
      </w:r>
      <w:r>
        <w:rPr>
          <w:vertAlign w:val="subscript"/>
        </w:rPr>
        <w:t>экв</w:t>
      </w:r>
      <w:r>
        <w:rPr>
          <w:rFonts w:eastAsia="Times New Roman"/>
        </w:rPr>
        <w:t xml:space="preserve"> (Р</w:t>
      </w:r>
      <w:r>
        <w:rPr>
          <w:rFonts w:eastAsia="Times New Roman"/>
          <w:vertAlign w:val="subscript"/>
        </w:rPr>
        <w:t>см</w:t>
      </w:r>
      <w:r>
        <w:rPr>
          <w:rFonts w:eastAsia="Times New Roman"/>
        </w:rPr>
        <w:t> ≤ 0,12 %) должен быть рассчитан по следующей формуле:</w:t>
      </w:r>
    </w:p>
    <w:p>
      <w:pPr>
        <w:tabs>
          <w:tab w:val="left" w:pos="851"/>
        </w:tabs>
        <w:rPr>
          <w:rFonts w:eastAsia="Times New Roman"/>
        </w:rPr>
      </w:pPr>
    </w:p>
    <w:p>
      <w:pPr>
        <w:tabs>
          <w:tab w:val="left" w:pos="851"/>
        </w:tabs>
        <w:jc w:val="center"/>
        <w:rPr>
          <w:rFonts w:ascii="Arial" w:eastAsia="Times New Roman" w:hAnsi="Arial"/>
          <w:b/>
          <w:sz w:val="20"/>
        </w:rPr>
      </w:pPr>
      <w:r>
        <w:rPr>
          <w:rFonts w:eastAsia="Times New Roman"/>
        </w:rPr>
        <w:tab/>
      </w:r>
      <w:r>
        <w:rPr>
          <w:rFonts w:eastAsia="Times New Roman"/>
          <w:position w:val="-24"/>
        </w:rPr>
        <w:object w:dxaOrig="4980" w:dyaOrig="620">
          <v:shape id="_x0000_i1028" type="#_x0000_t75" style="width:249.2pt;height:30.7pt" o:ole="">
            <v:imagedata r:id="rId41" o:title=""/>
          </v:shape>
          <o:OLEObject Type="Embed" ProgID="Equation.3" ShapeID="_x0000_i1028" DrawAspect="Content" ObjectID="_1601706641" r:id="rId42"/>
        </w:object>
      </w:r>
      <w:r>
        <w:rPr>
          <w:rFonts w:eastAsia="Times New Roman"/>
        </w:rPr>
        <w:t>,</w:t>
      </w:r>
      <w:r>
        <w:rPr>
          <w:rFonts w:eastAsia="Times New Roman"/>
        </w:rPr>
        <w:tab/>
      </w:r>
      <w:r>
        <w:rPr>
          <w:rFonts w:eastAsia="Times New Roman"/>
        </w:rPr>
        <w:tab/>
      </w:r>
      <w:r>
        <w:rPr>
          <w:rFonts w:eastAsia="Times New Roman"/>
        </w:rPr>
        <w:tab/>
        <w:t>(5)</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Значение С</w:t>
      </w:r>
      <w:r>
        <w:rPr>
          <w:vertAlign w:val="subscript"/>
        </w:rPr>
        <w:t>экв</w:t>
      </w:r>
      <w:r>
        <w:t xml:space="preserve"> для присоединяемых фланцев трубопровода к фланцам крана шарового для климатического исполнения:</w:t>
      </w:r>
    </w:p>
    <w:p>
      <w:pPr>
        <w:pStyle w:val="19"/>
        <w:numPr>
          <w:ilvl w:val="0"/>
          <w:numId w:val="72"/>
        </w:numPr>
        <w:tabs>
          <w:tab w:val="left" w:pos="993"/>
        </w:tabs>
        <w:autoSpaceDE w:val="0"/>
        <w:autoSpaceDN w:val="0"/>
        <w:adjustRightInd w:val="0"/>
        <w:spacing w:before="120"/>
        <w:ind w:left="538" w:hanging="357"/>
        <w:contextualSpacing w:val="0"/>
      </w:pPr>
      <w:r>
        <w:t>У – не более 0,43 %;</w:t>
      </w:r>
    </w:p>
    <w:p>
      <w:pPr>
        <w:pStyle w:val="19"/>
        <w:numPr>
          <w:ilvl w:val="0"/>
          <w:numId w:val="72"/>
        </w:numPr>
        <w:tabs>
          <w:tab w:val="left" w:pos="993"/>
        </w:tabs>
        <w:autoSpaceDE w:val="0"/>
        <w:autoSpaceDN w:val="0"/>
        <w:adjustRightInd w:val="0"/>
        <w:spacing w:before="120"/>
        <w:ind w:left="538" w:hanging="357"/>
        <w:contextualSpacing w:val="0"/>
      </w:pPr>
      <w:r>
        <w:t>УХЛ – не более 0,4</w:t>
      </w:r>
      <w:r>
        <w:rPr>
          <w:lang w:val="en-US"/>
        </w:rPr>
        <w:t>1</w:t>
      </w:r>
      <w:r>
        <w:t> %.</w:t>
      </w:r>
    </w:p>
    <w:p/>
    <w:p>
      <w:pPr>
        <w:pStyle w:val="19"/>
        <w:tabs>
          <w:tab w:val="left" w:pos="993"/>
        </w:tabs>
        <w:autoSpaceDE w:val="0"/>
        <w:autoSpaceDN w:val="0"/>
        <w:adjustRightInd w:val="0"/>
        <w:ind w:left="0" w:firstLine="0"/>
      </w:pPr>
      <w:r>
        <w:t>Метод и технологию производства присоединяемых ответных фланцев к фланцам крана шарового определяет завод-изготовитель кранов. Рекомендуется изготавливать фланцы стальные приварные встык из поковок, штамповок или бандажных заготовок.</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Механические характеристики и химический состав материалов для присоединяемых ответных фланцев к фланцам крана шарового должны быть подтверждены сертификатами завода-изготовителя металла.</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Требования к испытаниям и значение ударной вязкости для фланцевых и крепежных деталей, температура испытаний, должны соответствовать разделу 7 ГОСТ</w:t>
      </w:r>
      <w:r>
        <w:rPr>
          <w:lang w:val="en-US"/>
        </w:rPr>
        <w:t> </w:t>
      </w:r>
      <w:r>
        <w:t>33259-2015.</w:t>
      </w:r>
    </w:p>
    <w:p>
      <w:pPr>
        <w:tabs>
          <w:tab w:val="left" w:pos="1276"/>
        </w:tabs>
      </w:pPr>
    </w:p>
    <w:p>
      <w:pPr>
        <w:pStyle w:val="19"/>
        <w:tabs>
          <w:tab w:val="left" w:pos="993"/>
        </w:tabs>
        <w:autoSpaceDE w:val="0"/>
        <w:autoSpaceDN w:val="0"/>
        <w:adjustRightInd w:val="0"/>
        <w:ind w:left="0" w:firstLine="0"/>
      </w:pPr>
      <w:r>
        <w:t>Испытания на ударный изгиб на образцах предлагаемого материала ответного фланца, присоединяемого к фланцам крана шарового следует проводить с концентратором вида V по ГОСТ</w:t>
      </w:r>
      <w:r>
        <w:rPr>
          <w:lang w:val="en-US"/>
        </w:rPr>
        <w:t> </w:t>
      </w:r>
      <w:r>
        <w:t>9454. Величина ударной вязкости должна быть не менее 24,5 Дж/см</w:t>
      </w:r>
      <w:r>
        <w:rPr>
          <w:vertAlign w:val="superscript"/>
        </w:rPr>
        <w:t>2</w:t>
      </w:r>
      <w:r>
        <w:t xml:space="preserve"> </w:t>
      </w:r>
      <w:r>
        <w:br/>
        <w:t xml:space="preserve">(2,5 кгс*м/см²) при температурах минус 40 °С (для климатического исполнения У) и </w:t>
      </w:r>
      <w:r>
        <w:br/>
        <w:t>минус 60 °С (для климатического исполнения УХЛ).</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Толщина стенки ответных фланцев крана шарового, должна быть не меньше толщины стенки трубы.</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Разделку кромок присоединительного конца ответного фланца крана шарового выполнять с учетом требований ГОСТ 16037, ГОСТ</w:t>
      </w:r>
      <w:r>
        <w:rPr>
          <w:lang w:val="en-US"/>
        </w:rPr>
        <w:t> </w:t>
      </w:r>
      <w:r>
        <w:t>33259 или требований КД завода-изготовителя кранов в зависимости от наружного диаметра и толщины стенки присоединяемого трубопровода.</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Наличие на уплотнительных поверхностях присоединяемых ответных фланцев к фланцам крана шарового вмятин, механических повреждений не допускается.</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Присоединяемые ответные фланцы крана шарового должны выдерживать испытание давлением на прочность в составе трубопровода или оборудования, присоединительным элементом которого они являются. Давление испытания (пробное давление) – должно соответствовать ГОСТ</w:t>
      </w:r>
      <w:r>
        <w:rPr>
          <w:lang w:val="en-US"/>
        </w:rPr>
        <w:t> </w:t>
      </w:r>
      <w:r>
        <w:t>356.</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 xml:space="preserve">Присоединяемые ответные фланцы к фланцам крана шарового должны изготавливаться методами, обеспечивающими соблюдение геометрических размеров и механических свойств, в соответствии с выбранными типами фланцев, группой контроля по Таблице 13 </w:t>
      </w:r>
      <w:r>
        <w:br/>
        <w:t>ГОСТ</w:t>
      </w:r>
      <w:r>
        <w:rPr>
          <w:lang w:val="en-US"/>
        </w:rPr>
        <w:t> </w:t>
      </w:r>
      <w:r>
        <w:t>33259-2015.</w:t>
      </w:r>
    </w:p>
    <w:p>
      <w:pPr>
        <w:pStyle w:val="19"/>
        <w:tabs>
          <w:tab w:val="left" w:pos="993"/>
        </w:tabs>
        <w:autoSpaceDE w:val="0"/>
        <w:autoSpaceDN w:val="0"/>
        <w:adjustRightInd w:val="0"/>
        <w:ind w:left="0" w:firstLine="0"/>
        <w:rPr>
          <w:rFonts w:ascii="Calibri" w:eastAsia="Calibri" w:hAnsi="Calibri"/>
          <w:sz w:val="22"/>
          <w:szCs w:val="22"/>
          <w:lang w:eastAsia="en-US"/>
        </w:rPr>
      </w:pPr>
    </w:p>
    <w:p>
      <w:pPr>
        <w:pStyle w:val="19"/>
        <w:widowControl w:val="0"/>
        <w:tabs>
          <w:tab w:val="left" w:pos="539"/>
          <w:tab w:val="left" w:pos="993"/>
        </w:tabs>
        <w:autoSpaceDE w:val="0"/>
        <w:autoSpaceDN w:val="0"/>
        <w:adjustRightInd w:val="0"/>
        <w:ind w:left="0" w:firstLine="0"/>
        <w:contextualSpacing w:val="0"/>
      </w:pPr>
      <w:r>
        <w:t>Материалы, применяемые для изготовления ответных фланцев крана шарового, а также покупные изделия должны иметь маркировку, в соответствии с ГОСТ</w:t>
      </w:r>
      <w:r>
        <w:rPr>
          <w:lang w:val="en-US"/>
        </w:rPr>
        <w:t> </w:t>
      </w:r>
      <w:r>
        <w:t>33259 и сертификат завода-изготовителя. При отсутствии сертификатов на материал ответных фланцев завод-изготовитель должен провести аттестацию материала в СМО лаборатория, которая аккредитована и соответствует требованиям ГОСТ</w:t>
      </w:r>
      <w:r>
        <w:rPr>
          <w:lang w:val="en-US"/>
        </w:rPr>
        <w:t> </w:t>
      </w:r>
      <w:r>
        <w:t>ИСО/МЭК</w:t>
      </w:r>
      <w:r>
        <w:rPr>
          <w:lang w:val="en-US"/>
        </w:rPr>
        <w:t> </w:t>
      </w:r>
      <w:r>
        <w:t>17025 и составить сертификат на них. Использование материалов, поступивших без сертификата, для изготовления ответных фланцев крана шарового не допускается.</w:t>
      </w:r>
    </w:p>
    <w:p>
      <w:pPr>
        <w:pStyle w:val="19"/>
        <w:widowControl w:val="0"/>
        <w:tabs>
          <w:tab w:val="left" w:pos="539"/>
          <w:tab w:val="left" w:pos="993"/>
        </w:tabs>
        <w:autoSpaceDE w:val="0"/>
        <w:autoSpaceDN w:val="0"/>
        <w:adjustRightInd w:val="0"/>
        <w:spacing w:before="120"/>
        <w:ind w:left="0" w:firstLine="0"/>
      </w:pPr>
    </w:p>
    <w:p>
      <w:pPr>
        <w:pStyle w:val="19"/>
        <w:tabs>
          <w:tab w:val="left" w:pos="0"/>
        </w:tabs>
        <w:autoSpaceDE w:val="0"/>
        <w:autoSpaceDN w:val="0"/>
        <w:adjustRightInd w:val="0"/>
        <w:ind w:left="0" w:firstLine="0"/>
      </w:pPr>
      <w:r>
        <w:t>Применение присоединяемых ответных фланцев крана шарового, изготовленных из других материалов, в том числе импортных марок материалов или полуфабрикатов зарубежных изготовителей, может рассматриваться только после предоставления согласования от СМО лаборатория, которая аккредитована и соответствует требованиям ГОСТ</w:t>
      </w:r>
      <w:r>
        <w:rPr>
          <w:lang w:val="en-US"/>
        </w:rPr>
        <w:t> </w:t>
      </w:r>
      <w:r>
        <w:t>ИСО/МЭК</w:t>
      </w:r>
      <w:r>
        <w:rPr>
          <w:lang w:val="en-US"/>
        </w:rPr>
        <w:t> </w:t>
      </w:r>
      <w:r>
        <w:t xml:space="preserve">17025. </w:t>
      </w:r>
      <w:r>
        <w:lastRenderedPageBreak/>
        <w:t>От СМО должны быть получены фактические исследования предлагаемых марок материала по химическому составу, по механическим и вязкопластическим свойствам, с подтверждением требований, установленных настоящими Методическими указаниями.</w:t>
      </w:r>
    </w:p>
    <w:p>
      <w:pPr>
        <w:pStyle w:val="19"/>
        <w:tabs>
          <w:tab w:val="left" w:pos="993"/>
        </w:tabs>
        <w:autoSpaceDE w:val="0"/>
        <w:autoSpaceDN w:val="0"/>
        <w:adjustRightInd w:val="0"/>
        <w:ind w:left="0" w:firstLine="0"/>
        <w:rPr>
          <w:rFonts w:eastAsia="Calibri"/>
          <w:lang w:eastAsia="en-US"/>
        </w:rPr>
      </w:pPr>
    </w:p>
    <w:p>
      <w:pPr>
        <w:pStyle w:val="19"/>
        <w:tabs>
          <w:tab w:val="left" w:pos="993"/>
        </w:tabs>
        <w:autoSpaceDE w:val="0"/>
        <w:autoSpaceDN w:val="0"/>
        <w:adjustRightInd w:val="0"/>
        <w:ind w:left="0" w:firstLine="0"/>
      </w:pPr>
      <w:r>
        <w:rPr>
          <w:rFonts w:eastAsia="Calibri"/>
          <w:lang w:eastAsia="en-US"/>
        </w:rPr>
        <w:t>Ответные фланцы с приварными катушками и внутренним заводским АКП должны поставляться только для установки на трубы с внутренним покрытием.</w:t>
      </w:r>
      <w:r>
        <w:t xml:space="preserve"> </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 xml:space="preserve">Длина катушки должна приниматься в зависимости от диаметра трубопровода: </w:t>
      </w:r>
    </w:p>
    <w:p>
      <w:pPr>
        <w:numPr>
          <w:ilvl w:val="0"/>
          <w:numId w:val="12"/>
        </w:numPr>
        <w:tabs>
          <w:tab w:val="left" w:pos="539"/>
        </w:tabs>
        <w:spacing w:before="120"/>
        <w:ind w:left="538" w:hanging="357"/>
      </w:pPr>
      <w:r>
        <w:t>до DN</w:t>
      </w:r>
      <w:r>
        <w:rPr>
          <w:rFonts w:eastAsia="Times New Roman"/>
        </w:rPr>
        <w:t> </w:t>
      </w:r>
      <w:r>
        <w:t>150 длина катушки 150 мм;</w:t>
      </w:r>
    </w:p>
    <w:p>
      <w:pPr>
        <w:numPr>
          <w:ilvl w:val="0"/>
          <w:numId w:val="12"/>
        </w:numPr>
        <w:tabs>
          <w:tab w:val="left" w:pos="539"/>
        </w:tabs>
        <w:spacing w:before="120"/>
        <w:ind w:left="538" w:hanging="357"/>
      </w:pPr>
      <w:r>
        <w:t>от DN</w:t>
      </w:r>
      <w:r>
        <w:rPr>
          <w:rFonts w:eastAsia="Times New Roman"/>
        </w:rPr>
        <w:t> </w:t>
      </w:r>
      <w:r>
        <w:t>200 до DN</w:t>
      </w:r>
      <w:r>
        <w:rPr>
          <w:rFonts w:eastAsia="Times New Roman"/>
        </w:rPr>
        <w:t> </w:t>
      </w:r>
      <w:r>
        <w:t>250 длина катушки 250 мм;</w:t>
      </w:r>
    </w:p>
    <w:p>
      <w:pPr>
        <w:numPr>
          <w:ilvl w:val="0"/>
          <w:numId w:val="12"/>
        </w:numPr>
        <w:tabs>
          <w:tab w:val="left" w:pos="539"/>
        </w:tabs>
        <w:spacing w:before="120"/>
        <w:ind w:left="538" w:hanging="357"/>
      </w:pPr>
      <w:r>
        <w:t>от DN</w:t>
      </w:r>
      <w:r>
        <w:rPr>
          <w:rFonts w:eastAsia="Times New Roman"/>
        </w:rPr>
        <w:t> </w:t>
      </w:r>
      <w:r>
        <w:t>300 длина катушки 300 мм.</w:t>
      </w:r>
    </w:p>
    <w:p>
      <w:pPr>
        <w:pStyle w:val="19"/>
        <w:widowControl w:val="0"/>
        <w:tabs>
          <w:tab w:val="left" w:pos="539"/>
          <w:tab w:val="left" w:pos="993"/>
        </w:tabs>
        <w:autoSpaceDE w:val="0"/>
        <w:autoSpaceDN w:val="0"/>
        <w:adjustRightInd w:val="0"/>
        <w:ind w:left="0" w:firstLine="0"/>
        <w:contextualSpacing w:val="0"/>
      </w:pPr>
    </w:p>
    <w:p>
      <w:pPr>
        <w:pStyle w:val="19"/>
        <w:widowControl w:val="0"/>
        <w:tabs>
          <w:tab w:val="left" w:pos="539"/>
          <w:tab w:val="left" w:pos="993"/>
        </w:tabs>
        <w:autoSpaceDE w:val="0"/>
        <w:autoSpaceDN w:val="0"/>
        <w:adjustRightInd w:val="0"/>
        <w:ind w:left="0" w:firstLine="0"/>
        <w:contextualSpacing w:val="0"/>
      </w:pPr>
      <w:r>
        <w:t>Приварные катушки должны соответствовать требованиям раздела. 4.8 ГОСТ 55020-2012.</w:t>
      </w:r>
    </w:p>
    <w:p>
      <w:pPr>
        <w:pStyle w:val="19"/>
        <w:widowControl w:val="0"/>
        <w:tabs>
          <w:tab w:val="left" w:pos="539"/>
          <w:tab w:val="left" w:pos="993"/>
        </w:tabs>
        <w:autoSpaceDE w:val="0"/>
        <w:autoSpaceDN w:val="0"/>
        <w:adjustRightInd w:val="0"/>
        <w:ind w:left="0" w:firstLine="0"/>
        <w:contextualSpacing w:val="0"/>
      </w:pPr>
    </w:p>
    <w:p>
      <w:pPr>
        <w:pStyle w:val="19"/>
        <w:widowControl w:val="0"/>
        <w:tabs>
          <w:tab w:val="left" w:pos="539"/>
          <w:tab w:val="left" w:pos="993"/>
        </w:tabs>
        <w:autoSpaceDE w:val="0"/>
        <w:autoSpaceDN w:val="0"/>
        <w:adjustRightInd w:val="0"/>
        <w:ind w:left="0" w:firstLine="0"/>
        <w:contextualSpacing w:val="0"/>
      </w:pPr>
      <w:r>
        <w:t xml:space="preserve">Требования к АКП, в соответствии с Таблицей 4 ГОСТ 31445-2012. </w:t>
      </w:r>
    </w:p>
    <w:p>
      <w:pPr>
        <w:pStyle w:val="M"/>
      </w:pPr>
    </w:p>
    <w:p>
      <w:pPr>
        <w:pStyle w:val="M"/>
      </w:pPr>
      <w:r>
        <w:t>Показатели качества покрытий при приемо-сдаточных испытаниях ответных фланцев с приварными катушками должны соответствовать одному из вариантов Таблицы 20.</w:t>
      </w:r>
    </w:p>
    <w:p>
      <w:pPr>
        <w:pStyle w:val="M"/>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20</w:t>
      </w:r>
      <w:r>
        <w:rPr>
          <w:rFonts w:ascii="Arial" w:eastAsia="Times New Roman" w:hAnsi="Arial"/>
          <w:b/>
          <w:sz w:val="20"/>
        </w:rPr>
        <w:fldChar w:fldCharType="end"/>
      </w:r>
    </w:p>
    <w:p>
      <w:pPr>
        <w:keepNext/>
        <w:widowControl w:val="0"/>
        <w:jc w:val="right"/>
        <w:rPr>
          <w:rFonts w:ascii="Arial" w:eastAsia="Times New Roman" w:hAnsi="Arial"/>
          <w:b/>
          <w:sz w:val="20"/>
        </w:rPr>
      </w:pPr>
      <w:r>
        <w:rPr>
          <w:rFonts w:ascii="Arial" w:eastAsia="Times New Roman" w:hAnsi="Arial"/>
          <w:b/>
          <w:sz w:val="20"/>
        </w:rPr>
        <w:t xml:space="preserve">Показатели качества покрытий при приемо-сдаточных </w:t>
      </w:r>
    </w:p>
    <w:p>
      <w:pPr>
        <w:keepNext/>
        <w:widowControl w:val="0"/>
        <w:spacing w:after="60"/>
        <w:jc w:val="right"/>
        <w:rPr>
          <w:rFonts w:ascii="Arial" w:eastAsia="Times New Roman" w:hAnsi="Arial"/>
          <w:b/>
          <w:sz w:val="20"/>
        </w:rPr>
      </w:pPr>
      <w:r>
        <w:rPr>
          <w:rFonts w:ascii="Arial" w:eastAsia="Times New Roman" w:hAnsi="Arial"/>
          <w:b/>
          <w:sz w:val="20"/>
        </w:rPr>
        <w:t>испытаниях ответных фланцев с приварной катушкой</w:t>
      </w:r>
    </w:p>
    <w:tbl>
      <w:tblPr>
        <w:tblStyle w:val="aff6"/>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30"/>
        <w:gridCol w:w="2706"/>
        <w:gridCol w:w="1626"/>
        <w:gridCol w:w="1640"/>
        <w:gridCol w:w="1622"/>
        <w:gridCol w:w="1630"/>
      </w:tblGrid>
      <w:tr>
        <w:trPr>
          <w:trHeight w:val="284"/>
        </w:trPr>
        <w:tc>
          <w:tcPr>
            <w:tcW w:w="320" w:type="pct"/>
            <w:vMerge w:val="restart"/>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 П/П</w:t>
            </w:r>
          </w:p>
        </w:tc>
        <w:tc>
          <w:tcPr>
            <w:tcW w:w="1373" w:type="pct"/>
            <w:vMerge w:val="restart"/>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ВИД ПОКРЫТИЯ</w:t>
            </w:r>
          </w:p>
        </w:tc>
        <w:tc>
          <w:tcPr>
            <w:tcW w:w="3307" w:type="pct"/>
            <w:gridSpan w:val="4"/>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ПАРАМЕТР ПОКРЫТИЯ</w:t>
            </w:r>
          </w:p>
        </w:tc>
      </w:tr>
      <w:tr>
        <w:tc>
          <w:tcPr>
            <w:tcW w:w="320" w:type="pct"/>
            <w:vMerge/>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p>
        </w:tc>
        <w:tc>
          <w:tcPr>
            <w:tcW w:w="1373" w:type="pct"/>
            <w:vMerge/>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p>
        </w:tc>
        <w:tc>
          <w:tcPr>
            <w:tcW w:w="825" w:type="pct"/>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4"/>
              </w:rPr>
            </w:pPr>
            <w:r>
              <w:rPr>
                <w:rFonts w:ascii="Arial" w:hAnsi="Arial" w:cs="Arial"/>
                <w:b/>
                <w:sz w:val="14"/>
              </w:rPr>
              <w:t>ТОЛЩИНА, ММ</w:t>
            </w:r>
          </w:p>
        </w:tc>
        <w:tc>
          <w:tcPr>
            <w:tcW w:w="832" w:type="pct"/>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4"/>
              </w:rPr>
            </w:pPr>
            <w:r>
              <w:rPr>
                <w:rFonts w:ascii="Arial" w:hAnsi="Arial" w:cs="Arial"/>
                <w:b/>
                <w:sz w:val="14"/>
              </w:rPr>
              <w:t>СПЛОШНОСТЬ, КВ/ММ</w:t>
            </w:r>
          </w:p>
        </w:tc>
        <w:tc>
          <w:tcPr>
            <w:tcW w:w="823" w:type="pct"/>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4"/>
              </w:rPr>
            </w:pPr>
            <w:r>
              <w:rPr>
                <w:rFonts w:ascii="Arial" w:hAnsi="Arial" w:cs="Arial"/>
                <w:b/>
                <w:sz w:val="14"/>
              </w:rPr>
              <w:t>АДГЕЗИЯ ПО 20</w:t>
            </w:r>
            <w:r>
              <w:rPr>
                <w:rFonts w:ascii="Arial" w:hAnsi="Arial" w:cs="Arial"/>
                <w:b/>
                <w:sz w:val="14"/>
                <w:vertAlign w:val="superscript"/>
              </w:rPr>
              <w:t>О</w:t>
            </w:r>
            <w:r>
              <w:rPr>
                <w:rFonts w:ascii="Arial" w:hAnsi="Arial" w:cs="Arial"/>
                <w:b/>
                <w:sz w:val="14"/>
              </w:rPr>
              <w:t>С</w:t>
            </w:r>
          </w:p>
        </w:tc>
        <w:tc>
          <w:tcPr>
            <w:tcW w:w="828" w:type="pct"/>
            <w:tcBorders>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4"/>
              </w:rPr>
            </w:pPr>
            <w:r>
              <w:rPr>
                <w:rFonts w:ascii="Arial" w:hAnsi="Arial" w:cs="Arial"/>
                <w:b/>
                <w:sz w:val="14"/>
              </w:rPr>
              <w:t>УДАРНАЯ ПРОЧНОСТЬ, ДЖ/ММ</w:t>
            </w:r>
          </w:p>
        </w:tc>
      </w:tr>
      <w:tr>
        <w:trPr>
          <w:trHeight w:val="255"/>
        </w:trPr>
        <w:tc>
          <w:tcPr>
            <w:tcW w:w="320"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1</w:t>
            </w:r>
          </w:p>
        </w:tc>
        <w:tc>
          <w:tcPr>
            <w:tcW w:w="1373"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2</w:t>
            </w:r>
          </w:p>
        </w:tc>
        <w:tc>
          <w:tcPr>
            <w:tcW w:w="825"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3</w:t>
            </w:r>
          </w:p>
        </w:tc>
        <w:tc>
          <w:tcPr>
            <w:tcW w:w="832"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4</w:t>
            </w:r>
          </w:p>
        </w:tc>
        <w:tc>
          <w:tcPr>
            <w:tcW w:w="823"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5</w:t>
            </w:r>
          </w:p>
        </w:tc>
        <w:tc>
          <w:tcPr>
            <w:tcW w:w="828" w:type="pct"/>
            <w:tcBorders>
              <w:top w:val="single" w:sz="12" w:space="0" w:color="auto"/>
              <w:bottom w:val="single" w:sz="12" w:space="0" w:color="auto"/>
            </w:tcBorders>
            <w:shd w:val="clear" w:color="auto" w:fill="FFD200"/>
            <w:vAlign w:val="center"/>
          </w:tcPr>
          <w:p>
            <w:pPr>
              <w:pStyle w:val="19"/>
              <w:widowControl w:val="0"/>
              <w:tabs>
                <w:tab w:val="left" w:pos="539"/>
                <w:tab w:val="left" w:pos="993"/>
              </w:tabs>
              <w:autoSpaceDE w:val="0"/>
              <w:autoSpaceDN w:val="0"/>
              <w:adjustRightInd w:val="0"/>
              <w:ind w:left="0" w:firstLine="0"/>
              <w:contextualSpacing w:val="0"/>
              <w:jc w:val="center"/>
              <w:rPr>
                <w:rFonts w:ascii="Arial" w:hAnsi="Arial" w:cs="Arial"/>
                <w:b/>
                <w:sz w:val="16"/>
              </w:rPr>
            </w:pPr>
            <w:r>
              <w:rPr>
                <w:rFonts w:ascii="Arial" w:hAnsi="Arial" w:cs="Arial"/>
                <w:b/>
                <w:sz w:val="16"/>
              </w:rPr>
              <w:t>6</w:t>
            </w:r>
          </w:p>
        </w:tc>
      </w:tr>
      <w:tr>
        <w:tc>
          <w:tcPr>
            <w:tcW w:w="320"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1</w:t>
            </w:r>
          </w:p>
        </w:tc>
        <w:tc>
          <w:tcPr>
            <w:tcW w:w="1373"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Полиуретановое жидкое</w:t>
            </w:r>
          </w:p>
        </w:tc>
        <w:tc>
          <w:tcPr>
            <w:tcW w:w="825"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1,50-2,00</w:t>
            </w:r>
          </w:p>
        </w:tc>
        <w:tc>
          <w:tcPr>
            <w:tcW w:w="832"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5,0</w:t>
            </w:r>
          </w:p>
        </w:tc>
        <w:tc>
          <w:tcPr>
            <w:tcW w:w="823"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35</w:t>
            </w:r>
          </w:p>
        </w:tc>
        <w:tc>
          <w:tcPr>
            <w:tcW w:w="828" w:type="pct"/>
            <w:tcBorders>
              <w:top w:val="single" w:sz="12" w:space="0" w:color="auto"/>
            </w:tcBorders>
          </w:tcPr>
          <w:p>
            <w:pPr>
              <w:pStyle w:val="19"/>
              <w:widowControl w:val="0"/>
              <w:tabs>
                <w:tab w:val="left" w:pos="539"/>
                <w:tab w:val="left" w:pos="993"/>
              </w:tabs>
              <w:autoSpaceDE w:val="0"/>
              <w:autoSpaceDN w:val="0"/>
              <w:adjustRightInd w:val="0"/>
              <w:ind w:left="0" w:firstLine="0"/>
              <w:contextualSpacing w:val="0"/>
              <w:rPr>
                <w:sz w:val="20"/>
              </w:rPr>
            </w:pPr>
            <w:r>
              <w:rPr>
                <w:sz w:val="20"/>
              </w:rPr>
              <w:t>12,5</w:t>
            </w:r>
          </w:p>
        </w:tc>
      </w:tr>
      <w:tr>
        <w:tc>
          <w:tcPr>
            <w:tcW w:w="320" w:type="pct"/>
          </w:tcPr>
          <w:p>
            <w:pPr>
              <w:pStyle w:val="19"/>
              <w:widowControl w:val="0"/>
              <w:tabs>
                <w:tab w:val="left" w:pos="539"/>
                <w:tab w:val="left" w:pos="993"/>
              </w:tabs>
              <w:autoSpaceDE w:val="0"/>
              <w:autoSpaceDN w:val="0"/>
              <w:adjustRightInd w:val="0"/>
              <w:ind w:left="0" w:firstLine="0"/>
              <w:contextualSpacing w:val="0"/>
              <w:rPr>
                <w:sz w:val="20"/>
              </w:rPr>
            </w:pPr>
            <w:r>
              <w:rPr>
                <w:sz w:val="20"/>
              </w:rPr>
              <w:t>2</w:t>
            </w:r>
          </w:p>
        </w:tc>
        <w:tc>
          <w:tcPr>
            <w:tcW w:w="1373" w:type="pct"/>
          </w:tcPr>
          <w:p>
            <w:pPr>
              <w:pStyle w:val="19"/>
              <w:widowControl w:val="0"/>
              <w:tabs>
                <w:tab w:val="left" w:pos="539"/>
                <w:tab w:val="left" w:pos="993"/>
              </w:tabs>
              <w:autoSpaceDE w:val="0"/>
              <w:autoSpaceDN w:val="0"/>
              <w:adjustRightInd w:val="0"/>
              <w:ind w:left="0" w:firstLine="0"/>
              <w:contextualSpacing w:val="0"/>
              <w:rPr>
                <w:sz w:val="20"/>
              </w:rPr>
            </w:pPr>
            <w:r>
              <w:rPr>
                <w:sz w:val="20"/>
              </w:rPr>
              <w:t>Эпоксидное порошковое</w:t>
            </w:r>
          </w:p>
        </w:tc>
        <w:tc>
          <w:tcPr>
            <w:tcW w:w="825" w:type="pct"/>
          </w:tcPr>
          <w:p>
            <w:pPr>
              <w:pStyle w:val="19"/>
              <w:widowControl w:val="0"/>
              <w:tabs>
                <w:tab w:val="left" w:pos="539"/>
                <w:tab w:val="left" w:pos="993"/>
              </w:tabs>
              <w:autoSpaceDE w:val="0"/>
              <w:autoSpaceDN w:val="0"/>
              <w:adjustRightInd w:val="0"/>
              <w:ind w:left="0" w:firstLine="0"/>
              <w:contextualSpacing w:val="0"/>
              <w:rPr>
                <w:sz w:val="20"/>
              </w:rPr>
            </w:pPr>
            <w:r>
              <w:rPr>
                <w:sz w:val="20"/>
              </w:rPr>
              <w:t>0,35</w:t>
            </w:r>
          </w:p>
        </w:tc>
        <w:tc>
          <w:tcPr>
            <w:tcW w:w="832" w:type="pct"/>
          </w:tcPr>
          <w:p>
            <w:pPr>
              <w:pStyle w:val="19"/>
              <w:widowControl w:val="0"/>
              <w:tabs>
                <w:tab w:val="left" w:pos="539"/>
                <w:tab w:val="left" w:pos="993"/>
              </w:tabs>
              <w:autoSpaceDE w:val="0"/>
              <w:autoSpaceDN w:val="0"/>
              <w:adjustRightInd w:val="0"/>
              <w:ind w:left="0" w:firstLine="0"/>
              <w:contextualSpacing w:val="0"/>
              <w:rPr>
                <w:sz w:val="20"/>
              </w:rPr>
            </w:pPr>
            <w:r>
              <w:rPr>
                <w:sz w:val="20"/>
              </w:rPr>
              <w:t>5,0</w:t>
            </w:r>
          </w:p>
        </w:tc>
        <w:tc>
          <w:tcPr>
            <w:tcW w:w="823" w:type="pct"/>
          </w:tcPr>
          <w:p>
            <w:pPr>
              <w:pStyle w:val="19"/>
              <w:widowControl w:val="0"/>
              <w:tabs>
                <w:tab w:val="left" w:pos="539"/>
                <w:tab w:val="left" w:pos="993"/>
              </w:tabs>
              <w:autoSpaceDE w:val="0"/>
              <w:autoSpaceDN w:val="0"/>
              <w:adjustRightInd w:val="0"/>
              <w:ind w:left="0" w:firstLine="0"/>
              <w:contextualSpacing w:val="0"/>
              <w:rPr>
                <w:sz w:val="20"/>
              </w:rPr>
            </w:pPr>
            <w:r>
              <w:rPr>
                <w:sz w:val="20"/>
              </w:rPr>
              <w:t>35</w:t>
            </w:r>
          </w:p>
        </w:tc>
        <w:tc>
          <w:tcPr>
            <w:tcW w:w="828" w:type="pct"/>
          </w:tcPr>
          <w:p>
            <w:pPr>
              <w:pStyle w:val="19"/>
              <w:widowControl w:val="0"/>
              <w:tabs>
                <w:tab w:val="left" w:pos="539"/>
                <w:tab w:val="left" w:pos="993"/>
              </w:tabs>
              <w:autoSpaceDE w:val="0"/>
              <w:autoSpaceDN w:val="0"/>
              <w:adjustRightInd w:val="0"/>
              <w:ind w:left="0" w:firstLine="0"/>
              <w:contextualSpacing w:val="0"/>
              <w:rPr>
                <w:sz w:val="20"/>
              </w:rPr>
            </w:pPr>
            <w:r>
              <w:rPr>
                <w:sz w:val="20"/>
              </w:rPr>
              <w:t>5,0</w:t>
            </w:r>
          </w:p>
        </w:tc>
      </w:tr>
      <w:tr>
        <w:tc>
          <w:tcPr>
            <w:tcW w:w="320" w:type="pct"/>
          </w:tcPr>
          <w:p>
            <w:pPr>
              <w:pStyle w:val="19"/>
              <w:widowControl w:val="0"/>
              <w:tabs>
                <w:tab w:val="left" w:pos="539"/>
                <w:tab w:val="left" w:pos="993"/>
              </w:tabs>
              <w:autoSpaceDE w:val="0"/>
              <w:autoSpaceDN w:val="0"/>
              <w:adjustRightInd w:val="0"/>
              <w:ind w:left="0" w:firstLine="0"/>
              <w:contextualSpacing w:val="0"/>
              <w:rPr>
                <w:sz w:val="20"/>
              </w:rPr>
            </w:pPr>
            <w:r>
              <w:rPr>
                <w:sz w:val="20"/>
              </w:rPr>
              <w:t>3</w:t>
            </w:r>
          </w:p>
        </w:tc>
        <w:tc>
          <w:tcPr>
            <w:tcW w:w="1373" w:type="pct"/>
          </w:tcPr>
          <w:p>
            <w:pPr>
              <w:pStyle w:val="19"/>
              <w:widowControl w:val="0"/>
              <w:tabs>
                <w:tab w:val="left" w:pos="539"/>
                <w:tab w:val="left" w:pos="993"/>
              </w:tabs>
              <w:autoSpaceDE w:val="0"/>
              <w:autoSpaceDN w:val="0"/>
              <w:adjustRightInd w:val="0"/>
              <w:ind w:left="0" w:firstLine="0"/>
              <w:contextualSpacing w:val="0"/>
              <w:rPr>
                <w:sz w:val="20"/>
              </w:rPr>
            </w:pPr>
            <w:r>
              <w:rPr>
                <w:sz w:val="20"/>
              </w:rPr>
              <w:t>Эпоксидное жидкое</w:t>
            </w:r>
          </w:p>
        </w:tc>
        <w:tc>
          <w:tcPr>
            <w:tcW w:w="825" w:type="pct"/>
          </w:tcPr>
          <w:p>
            <w:pPr>
              <w:pStyle w:val="19"/>
              <w:widowControl w:val="0"/>
              <w:tabs>
                <w:tab w:val="left" w:pos="539"/>
                <w:tab w:val="left" w:pos="993"/>
              </w:tabs>
              <w:autoSpaceDE w:val="0"/>
              <w:autoSpaceDN w:val="0"/>
              <w:adjustRightInd w:val="0"/>
              <w:ind w:left="0" w:firstLine="0"/>
              <w:contextualSpacing w:val="0"/>
              <w:rPr>
                <w:sz w:val="20"/>
              </w:rPr>
            </w:pPr>
            <w:r>
              <w:rPr>
                <w:sz w:val="20"/>
              </w:rPr>
              <w:t>0,35</w:t>
            </w:r>
          </w:p>
        </w:tc>
        <w:tc>
          <w:tcPr>
            <w:tcW w:w="832" w:type="pct"/>
          </w:tcPr>
          <w:p>
            <w:pPr>
              <w:pStyle w:val="19"/>
              <w:widowControl w:val="0"/>
              <w:tabs>
                <w:tab w:val="left" w:pos="539"/>
                <w:tab w:val="left" w:pos="993"/>
              </w:tabs>
              <w:autoSpaceDE w:val="0"/>
              <w:autoSpaceDN w:val="0"/>
              <w:adjustRightInd w:val="0"/>
              <w:ind w:left="0" w:firstLine="0"/>
              <w:contextualSpacing w:val="0"/>
              <w:rPr>
                <w:sz w:val="20"/>
              </w:rPr>
            </w:pPr>
            <w:r>
              <w:rPr>
                <w:sz w:val="20"/>
              </w:rPr>
              <w:t>5,0</w:t>
            </w:r>
          </w:p>
        </w:tc>
        <w:tc>
          <w:tcPr>
            <w:tcW w:w="823" w:type="pct"/>
          </w:tcPr>
          <w:p>
            <w:pPr>
              <w:pStyle w:val="19"/>
              <w:widowControl w:val="0"/>
              <w:tabs>
                <w:tab w:val="left" w:pos="539"/>
                <w:tab w:val="left" w:pos="993"/>
              </w:tabs>
              <w:autoSpaceDE w:val="0"/>
              <w:autoSpaceDN w:val="0"/>
              <w:adjustRightInd w:val="0"/>
              <w:ind w:left="0" w:firstLine="0"/>
              <w:contextualSpacing w:val="0"/>
              <w:rPr>
                <w:sz w:val="20"/>
              </w:rPr>
            </w:pPr>
            <w:r>
              <w:rPr>
                <w:sz w:val="20"/>
              </w:rPr>
              <w:t>5</w:t>
            </w:r>
          </w:p>
        </w:tc>
        <w:tc>
          <w:tcPr>
            <w:tcW w:w="828" w:type="pct"/>
          </w:tcPr>
          <w:p>
            <w:pPr>
              <w:pStyle w:val="19"/>
              <w:widowControl w:val="0"/>
              <w:tabs>
                <w:tab w:val="left" w:pos="539"/>
                <w:tab w:val="left" w:pos="993"/>
              </w:tabs>
              <w:autoSpaceDE w:val="0"/>
              <w:autoSpaceDN w:val="0"/>
              <w:adjustRightInd w:val="0"/>
              <w:ind w:left="0" w:firstLine="0"/>
              <w:contextualSpacing w:val="0"/>
              <w:rPr>
                <w:sz w:val="20"/>
              </w:rPr>
            </w:pPr>
            <w:r>
              <w:rPr>
                <w:sz w:val="20"/>
              </w:rPr>
              <w:t>5,0</w:t>
            </w:r>
          </w:p>
        </w:tc>
      </w:tr>
    </w:tbl>
    <w:p>
      <w:pPr>
        <w:pStyle w:val="19"/>
        <w:widowControl w:val="0"/>
        <w:tabs>
          <w:tab w:val="left" w:pos="539"/>
          <w:tab w:val="left" w:pos="993"/>
        </w:tabs>
        <w:autoSpaceDE w:val="0"/>
        <w:autoSpaceDN w:val="0"/>
        <w:adjustRightInd w:val="0"/>
        <w:ind w:left="0" w:firstLine="0"/>
        <w:contextualSpacing w:val="0"/>
      </w:pPr>
    </w:p>
    <w:p>
      <w:pPr>
        <w:pStyle w:val="19"/>
        <w:widowControl w:val="0"/>
        <w:tabs>
          <w:tab w:val="left" w:pos="539"/>
          <w:tab w:val="left" w:pos="993"/>
        </w:tabs>
        <w:autoSpaceDE w:val="0"/>
        <w:autoSpaceDN w:val="0"/>
        <w:adjustRightInd w:val="0"/>
        <w:ind w:left="0" w:firstLine="0"/>
        <w:contextualSpacing w:val="0"/>
      </w:pPr>
      <w:r>
        <w:t>Шероховатость покрытия не более 13 мкм.</w:t>
      </w:r>
    </w:p>
    <w:p>
      <w:pPr>
        <w:pStyle w:val="19"/>
        <w:widowControl w:val="0"/>
        <w:tabs>
          <w:tab w:val="left" w:pos="539"/>
          <w:tab w:val="left" w:pos="993"/>
        </w:tabs>
        <w:autoSpaceDE w:val="0"/>
        <w:autoSpaceDN w:val="0"/>
        <w:adjustRightInd w:val="0"/>
        <w:ind w:left="0" w:firstLine="0"/>
        <w:contextualSpacing w:val="0"/>
      </w:pPr>
    </w:p>
    <w:p>
      <w:pPr>
        <w:pStyle w:val="19"/>
        <w:widowControl w:val="0"/>
        <w:tabs>
          <w:tab w:val="left" w:pos="539"/>
          <w:tab w:val="left" w:pos="993"/>
        </w:tabs>
        <w:autoSpaceDE w:val="0"/>
        <w:autoSpaceDN w:val="0"/>
        <w:adjustRightInd w:val="0"/>
        <w:ind w:left="0" w:firstLine="0"/>
        <w:contextualSpacing w:val="0"/>
      </w:pPr>
      <w:r>
        <w:t>Конец приварной катушки ответного фланца с приварной катушкой для соединения с трубопроводом должен быть не изолирован. Длина неизолированного участка должна составлять (40 ± 10) мм.</w:t>
      </w:r>
    </w:p>
    <w:p>
      <w:pPr>
        <w:pStyle w:val="19"/>
        <w:widowControl w:val="0"/>
        <w:tabs>
          <w:tab w:val="left" w:pos="539"/>
          <w:tab w:val="left" w:pos="993"/>
        </w:tabs>
        <w:autoSpaceDE w:val="0"/>
        <w:autoSpaceDN w:val="0"/>
        <w:adjustRightInd w:val="0"/>
        <w:ind w:left="0" w:firstLine="0"/>
        <w:contextualSpacing w:val="0"/>
      </w:pPr>
    </w:p>
    <w:p>
      <w:pPr>
        <w:pStyle w:val="19"/>
        <w:widowControl w:val="0"/>
        <w:tabs>
          <w:tab w:val="left" w:pos="539"/>
          <w:tab w:val="left" w:pos="993"/>
        </w:tabs>
        <w:autoSpaceDE w:val="0"/>
        <w:autoSpaceDN w:val="0"/>
        <w:adjustRightInd w:val="0"/>
        <w:ind w:left="0" w:firstLine="0"/>
        <w:contextualSpacing w:val="0"/>
      </w:pPr>
    </w:p>
    <w:p>
      <w:pPr>
        <w:pStyle w:val="S30"/>
      </w:pPr>
      <w:bookmarkStart w:id="128" w:name="_Toc392752839"/>
      <w:bookmarkStart w:id="129" w:name="_Toc404615316"/>
      <w:bookmarkStart w:id="130" w:name="_Toc481662382"/>
      <w:bookmarkStart w:id="131" w:name="_Toc486233274"/>
      <w:bookmarkStart w:id="132" w:name="_Toc514169521"/>
      <w:r>
        <w:t>4.3.10.</w:t>
      </w:r>
      <w:r>
        <w:tab/>
        <w:t>ТРЕБОВАНИЯ К ПРОКЛАДОЧНЫМ МАТЕРИАЛАМ ДЛЯ УПЛОТНЕНИЯ ФЛАНЦЕВЫХ СОЕДИНЕНИЙ</w:t>
      </w:r>
      <w:bookmarkEnd w:id="128"/>
      <w:bookmarkEnd w:id="129"/>
      <w:bookmarkEnd w:id="130"/>
      <w:bookmarkEnd w:id="131"/>
      <w:bookmarkEnd w:id="132"/>
    </w:p>
    <w:p>
      <w:pPr>
        <w:rPr>
          <w:rFonts w:eastAsia="PMingLiU"/>
          <w:szCs w:val="22"/>
          <w:lang w:eastAsia="en-US"/>
        </w:rPr>
      </w:pPr>
    </w:p>
    <w:p>
      <w:pPr>
        <w:pStyle w:val="19"/>
        <w:tabs>
          <w:tab w:val="left" w:pos="993"/>
        </w:tabs>
        <w:autoSpaceDE w:val="0"/>
        <w:autoSpaceDN w:val="0"/>
        <w:adjustRightInd w:val="0"/>
        <w:ind w:left="0" w:firstLine="0"/>
      </w:pPr>
      <w:r>
        <w:t>Прокладки и прокладочные материалы для уплотнения фланцевых соединений крана шарового с фланцами присоединяемого трубопровода в целях безопасности выбирать в зависимости от транспортируемой среды и ее рабочих параметров, в соответствии с проектной документацией и НД РФ.</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Фланцевые соединения крана шарового с фланцами присоединяемого трубопровода комплектуются:</w:t>
      </w:r>
    </w:p>
    <w:p>
      <w:pPr>
        <w:numPr>
          <w:ilvl w:val="0"/>
          <w:numId w:val="12"/>
        </w:numPr>
        <w:tabs>
          <w:tab w:val="left" w:pos="539"/>
        </w:tabs>
        <w:spacing w:before="120"/>
        <w:ind w:left="538" w:hanging="357"/>
        <w:rPr>
          <w:rFonts w:eastAsia="Times New Roman"/>
        </w:rPr>
      </w:pPr>
      <w:r>
        <w:rPr>
          <w:rFonts w:eastAsia="Times New Roman"/>
        </w:rPr>
        <w:t>прокладками по ГОСТ</w:t>
      </w:r>
      <w:r>
        <w:rPr>
          <w:rFonts w:eastAsia="Times New Roman"/>
          <w:lang w:val="en-US"/>
        </w:rPr>
        <w:t> </w:t>
      </w:r>
      <w:r>
        <w:rPr>
          <w:rFonts w:eastAsia="Times New Roman"/>
        </w:rPr>
        <w:t>15180 для уплотнительной поверхности исполнения «E», «F» по ГОСТ</w:t>
      </w:r>
      <w:r>
        <w:rPr>
          <w:rFonts w:eastAsia="Times New Roman"/>
          <w:lang w:val="en-US"/>
        </w:rPr>
        <w:t> </w:t>
      </w:r>
      <w:r>
        <w:rPr>
          <w:rFonts w:eastAsia="Times New Roman"/>
        </w:rPr>
        <w:t>33259, в соответствии с Таблицей 18 настоящих Методических указаний;</w:t>
      </w:r>
    </w:p>
    <w:p>
      <w:pPr>
        <w:numPr>
          <w:ilvl w:val="0"/>
          <w:numId w:val="12"/>
        </w:numPr>
        <w:tabs>
          <w:tab w:val="left" w:pos="539"/>
        </w:tabs>
        <w:spacing w:before="120"/>
        <w:ind w:left="538" w:hanging="357"/>
        <w:rPr>
          <w:rFonts w:eastAsia="Times New Roman"/>
        </w:rPr>
      </w:pPr>
      <w:r>
        <w:rPr>
          <w:rFonts w:eastAsia="Times New Roman"/>
        </w:rPr>
        <w:lastRenderedPageBreak/>
        <w:t>прокладками овального или восьмиугольного сечения по ГОСТ</w:t>
      </w:r>
      <w:r>
        <w:rPr>
          <w:rFonts w:eastAsia="Times New Roman"/>
          <w:lang w:val="en-US"/>
        </w:rPr>
        <w:t> </w:t>
      </w:r>
      <w:r>
        <w:rPr>
          <w:rFonts w:eastAsia="Times New Roman"/>
        </w:rPr>
        <w:t>Р</w:t>
      </w:r>
      <w:r>
        <w:rPr>
          <w:rFonts w:eastAsia="Times New Roman"/>
          <w:lang w:val="en-US"/>
        </w:rPr>
        <w:t> </w:t>
      </w:r>
      <w:r>
        <w:rPr>
          <w:rFonts w:eastAsia="Times New Roman"/>
        </w:rPr>
        <w:t xml:space="preserve">53561 или </w:t>
      </w:r>
      <w:r>
        <w:rPr>
          <w:rFonts w:eastAsia="Times New Roman"/>
        </w:rPr>
        <w:br/>
        <w:t>ОСТ</w:t>
      </w:r>
      <w:r>
        <w:rPr>
          <w:rFonts w:eastAsia="Times New Roman"/>
          <w:lang w:val="en-US"/>
        </w:rPr>
        <w:t> </w:t>
      </w:r>
      <w:r>
        <w:rPr>
          <w:rFonts w:eastAsia="Times New Roman"/>
        </w:rPr>
        <w:t>26-01-42 для уплотнительных поверхностей исполнения «J» по ГОСТ</w:t>
      </w:r>
      <w:r>
        <w:rPr>
          <w:rFonts w:eastAsia="Times New Roman"/>
          <w:lang w:val="en-US"/>
        </w:rPr>
        <w:t> </w:t>
      </w:r>
      <w:r>
        <w:rPr>
          <w:rFonts w:eastAsia="Times New Roman"/>
        </w:rPr>
        <w:t>33259, ГОСТ</w:t>
      </w:r>
      <w:r>
        <w:rPr>
          <w:lang w:val="en-US"/>
        </w:rPr>
        <w:t> </w:t>
      </w:r>
      <w:r>
        <w:rPr>
          <w:rFonts w:eastAsia="Times New Roman"/>
        </w:rPr>
        <w:t>28919, в соответствии с Таблицей 18 настоящих Методических указаний.</w:t>
      </w:r>
    </w:p>
    <w:p>
      <w:pPr>
        <w:contextualSpacing/>
        <w:rPr>
          <w:rFonts w:eastAsia="Times New Roman"/>
          <w:szCs w:val="20"/>
        </w:rPr>
      </w:pPr>
    </w:p>
    <w:p>
      <w:pPr>
        <w:contextualSpacing/>
        <w:rPr>
          <w:rFonts w:eastAsia="Times New Roman"/>
          <w:szCs w:val="20"/>
        </w:rPr>
      </w:pPr>
    </w:p>
    <w:p>
      <w:pPr>
        <w:pStyle w:val="S30"/>
      </w:pPr>
      <w:bookmarkStart w:id="133" w:name="_Toc392752840"/>
      <w:bookmarkStart w:id="134" w:name="_Toc404615317"/>
      <w:bookmarkStart w:id="135" w:name="_Toc481662383"/>
      <w:bookmarkStart w:id="136" w:name="_Toc486233275"/>
      <w:bookmarkStart w:id="137" w:name="_Toc514169522"/>
      <w:r>
        <w:t>4.3.11.</w:t>
      </w:r>
      <w:r>
        <w:tab/>
        <w:t>ТРЕБОВАНИЯ К КРЕПЕЖНЫМ ДЕТАЛЯМ ДЛЯ ФЛАНЦЕВЫХ СОЕДИНЕНИЙ</w:t>
      </w:r>
      <w:bookmarkEnd w:id="133"/>
      <w:bookmarkEnd w:id="134"/>
      <w:bookmarkEnd w:id="135"/>
      <w:bookmarkEnd w:id="136"/>
      <w:bookmarkEnd w:id="137"/>
    </w:p>
    <w:p>
      <w:pPr>
        <w:keepNext/>
        <w:keepLines/>
        <w:tabs>
          <w:tab w:val="left" w:pos="993"/>
        </w:tabs>
        <w:autoSpaceDE w:val="0"/>
        <w:autoSpaceDN w:val="0"/>
        <w:adjustRightInd w:val="0"/>
        <w:rPr>
          <w:rFonts w:eastAsia="Times New Roman"/>
        </w:rPr>
      </w:pPr>
    </w:p>
    <w:p>
      <w:pPr>
        <w:pStyle w:val="19"/>
        <w:tabs>
          <w:tab w:val="left" w:pos="993"/>
        </w:tabs>
        <w:autoSpaceDE w:val="0"/>
        <w:autoSpaceDN w:val="0"/>
        <w:adjustRightInd w:val="0"/>
        <w:ind w:left="0" w:firstLine="0"/>
      </w:pPr>
      <w:r>
        <w:t>Для соединения фланцев крана шарового и фланцев присоединяемых трубопроводов независимо от величины давления и климатического исполнения, указанных в настоящих Методических указаниях, применять шпильки.</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Крепежные детали для соединений фланцев крана шарового и фланцев присоединяемых трубопроводов изготавливать с учетом требований ГОСТ</w:t>
      </w:r>
      <w:r>
        <w:rPr>
          <w:lang w:val="en-US"/>
        </w:rPr>
        <w:t> </w:t>
      </w:r>
      <w:r>
        <w:t>1759.0, ГОСТ 11447, ГОСТ</w:t>
      </w:r>
      <w:r>
        <w:rPr>
          <w:lang w:val="en-US"/>
        </w:rPr>
        <w:t> </w:t>
      </w:r>
      <w:r>
        <w:t>10494, ГОСТ</w:t>
      </w:r>
      <w:r>
        <w:rPr>
          <w:lang w:val="en-US"/>
        </w:rPr>
        <w:t> </w:t>
      </w:r>
      <w:r>
        <w:t>10495, ГОСТ</w:t>
      </w:r>
      <w:r>
        <w:rPr>
          <w:lang w:val="en-US"/>
        </w:rPr>
        <w:t> </w:t>
      </w:r>
      <w:r>
        <w:t>9.303, ОСТ</w:t>
      </w:r>
      <w:r>
        <w:rPr>
          <w:lang w:val="en-US"/>
        </w:rPr>
        <w:t> </w:t>
      </w:r>
      <w:r>
        <w:t>26-2043, СТ ЦКБА</w:t>
      </w:r>
      <w:r>
        <w:rPr>
          <w:lang w:val="en-US"/>
        </w:rPr>
        <w:t> </w:t>
      </w:r>
      <w:r>
        <w:t>012, возможно и по КД.</w:t>
      </w:r>
    </w:p>
    <w:p>
      <w:pPr>
        <w:pStyle w:val="19"/>
        <w:tabs>
          <w:tab w:val="left" w:pos="1701"/>
        </w:tabs>
        <w:autoSpaceDE w:val="0"/>
        <w:autoSpaceDN w:val="0"/>
        <w:adjustRightInd w:val="0"/>
        <w:ind w:left="0" w:firstLine="0"/>
      </w:pPr>
    </w:p>
    <w:p>
      <w:pPr>
        <w:pStyle w:val="19"/>
        <w:tabs>
          <w:tab w:val="left" w:pos="993"/>
        </w:tabs>
        <w:autoSpaceDE w:val="0"/>
        <w:autoSpaceDN w:val="0"/>
        <w:adjustRightInd w:val="0"/>
        <w:ind w:left="0" w:firstLine="0"/>
      </w:pPr>
      <w:r>
        <w:t>Технические требования к крепежным деталям по ГОСТ</w:t>
      </w:r>
      <w:r>
        <w:rPr>
          <w:lang w:val="en-US"/>
        </w:rPr>
        <w:t> </w:t>
      </w:r>
      <w:r>
        <w:t>20700.</w:t>
      </w:r>
    </w:p>
    <w:p>
      <w:pPr>
        <w:pStyle w:val="19"/>
        <w:tabs>
          <w:tab w:val="left" w:pos="1701"/>
        </w:tabs>
        <w:autoSpaceDE w:val="0"/>
        <w:autoSpaceDN w:val="0"/>
        <w:adjustRightInd w:val="0"/>
        <w:ind w:left="0" w:firstLine="0"/>
      </w:pPr>
    </w:p>
    <w:p>
      <w:pPr>
        <w:pStyle w:val="19"/>
        <w:tabs>
          <w:tab w:val="left" w:pos="993"/>
        </w:tabs>
        <w:autoSpaceDE w:val="0"/>
        <w:autoSpaceDN w:val="0"/>
        <w:adjustRightInd w:val="0"/>
        <w:ind w:left="0" w:firstLine="0"/>
      </w:pPr>
      <w:r>
        <w:t xml:space="preserve">Шпильки и гайки следует изготовлять из сортового проката и поковок. Заготовки для крепежных деталей подвергать термической обработке. Изготовление крепежных деталей из кипящей, полуспокойной и автоматной сталей запрещено. </w:t>
      </w:r>
    </w:p>
    <w:p>
      <w:pPr>
        <w:pStyle w:val="FORMATTEXT0"/>
        <w:jc w:val="both"/>
      </w:pPr>
    </w:p>
    <w:p>
      <w:pPr>
        <w:pStyle w:val="19"/>
        <w:widowControl w:val="0"/>
        <w:tabs>
          <w:tab w:val="left" w:pos="539"/>
          <w:tab w:val="left" w:pos="993"/>
        </w:tabs>
        <w:autoSpaceDE w:val="0"/>
        <w:autoSpaceDN w:val="0"/>
        <w:adjustRightInd w:val="0"/>
        <w:ind w:left="0" w:firstLine="0"/>
        <w:contextualSpacing w:val="0"/>
        <w:rPr>
          <w:rFonts w:eastAsia="PMingLiU"/>
          <w:szCs w:val="22"/>
          <w:lang w:eastAsia="en-US"/>
        </w:rPr>
      </w:pPr>
      <w:r>
        <w:t>Материалы для изготовления крепежных изделий должны соответствовать Таблице 12 ГОСТ 33259-2015, ГОСТ 33260, СТ ЦКБА 012.</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Материалы крепежных деталей должны выбираться с коэффициентом линейного расширения, близким по значению коэффициенту линейного расширения материала присоединительного фланца трубопровода. Разница в значениях коэффициентов линейного расширения не должна превышать 10 %.</w:t>
      </w:r>
    </w:p>
    <w:p>
      <w:pPr>
        <w:pStyle w:val="19"/>
        <w:tabs>
          <w:tab w:val="left" w:pos="1701"/>
        </w:tabs>
        <w:autoSpaceDE w:val="0"/>
        <w:autoSpaceDN w:val="0"/>
        <w:adjustRightInd w:val="0"/>
        <w:ind w:left="0" w:firstLine="0"/>
      </w:pPr>
    </w:p>
    <w:p>
      <w:pPr>
        <w:pStyle w:val="19"/>
        <w:tabs>
          <w:tab w:val="left" w:pos="993"/>
        </w:tabs>
        <w:autoSpaceDE w:val="0"/>
        <w:autoSpaceDN w:val="0"/>
        <w:adjustRightInd w:val="0"/>
        <w:ind w:left="0" w:firstLine="0"/>
      </w:pPr>
      <w:r>
        <w:t>Изготовление резьбы накаткой не допускается в следующих случаях:</w:t>
      </w:r>
    </w:p>
    <w:p>
      <w:pPr>
        <w:numPr>
          <w:ilvl w:val="0"/>
          <w:numId w:val="12"/>
        </w:numPr>
        <w:tabs>
          <w:tab w:val="left" w:pos="539"/>
        </w:tabs>
        <w:spacing w:before="120"/>
        <w:ind w:left="538" w:hanging="357"/>
      </w:pPr>
      <w:r>
        <w:t>на крепеже крана в сероводородном исполнении с P</w:t>
      </w:r>
      <w:r>
        <w:rPr>
          <w:vertAlign w:val="subscript"/>
        </w:rPr>
        <w:t>H2S</w:t>
      </w:r>
      <w:r>
        <w:t> ≥ 0,3 кПа;</w:t>
      </w:r>
    </w:p>
    <w:p>
      <w:pPr>
        <w:numPr>
          <w:ilvl w:val="0"/>
          <w:numId w:val="12"/>
        </w:numPr>
        <w:tabs>
          <w:tab w:val="left" w:pos="539"/>
        </w:tabs>
        <w:spacing w:before="120"/>
        <w:ind w:left="538" w:hanging="357"/>
      </w:pPr>
      <w:r>
        <w:t>на крепеже, работающем в контакте с коррозионно-активной средой.</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Гайки и шпильки для соединений фланцев крана и присоединительных фланцев трубопроводов, работающих под давлением, необходимо изготавливать из сталей с разной твердостью. Твердость гаек должна быть ниже твердости шпилек не менее чем на 15 НВ.</w:t>
      </w:r>
    </w:p>
    <w:p>
      <w:pPr>
        <w:pStyle w:val="19"/>
        <w:tabs>
          <w:tab w:val="left" w:pos="993"/>
        </w:tabs>
        <w:autoSpaceDE w:val="0"/>
        <w:autoSpaceDN w:val="0"/>
        <w:adjustRightInd w:val="0"/>
        <w:ind w:left="0" w:firstLine="0"/>
      </w:pPr>
    </w:p>
    <w:p>
      <w:pPr>
        <w:pStyle w:val="19"/>
        <w:tabs>
          <w:tab w:val="left" w:pos="993"/>
        </w:tabs>
        <w:autoSpaceDE w:val="0"/>
        <w:autoSpaceDN w:val="0"/>
        <w:adjustRightInd w:val="0"/>
        <w:spacing w:after="120"/>
        <w:ind w:left="0" w:firstLine="0"/>
      </w:pPr>
      <w:r>
        <w:t>Проверка резьбы шпилек и гаек проводится внешним осмотром, измерением средствами измерений и резьбовыми шаблонами. Не допускается на резьбе крепежных изделий наличие острых выступов металла (заусенец) и забоин. Разрывы ниток резьбы на шпильках и гайках не допускаются.</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t>Материалы, применяемые для изготовления крепежных изделий для соединения фланцев, а также покупные изделия должны иметь маркировку в соответствии с НД РФ и сертификат завода-изготовителя. При отсутствии сертификатов на материал крепежных деталей завод-изготовитель кранов для соединения фланцев должен провести аттестацию материала в СМО лаборатория, которая аккредитована и соответствует требованиям ГОСТ</w:t>
      </w:r>
      <w:r>
        <w:rPr>
          <w:lang w:val="en-US"/>
        </w:rPr>
        <w:t> </w:t>
      </w:r>
      <w:r>
        <w:t>ИСО/МЭК</w:t>
      </w:r>
      <w:r>
        <w:rPr>
          <w:lang w:val="en-US"/>
        </w:rPr>
        <w:t> </w:t>
      </w:r>
      <w:r>
        <w:t>17025, и составить сертификат на них. Использование материалов, поступивших без сертификата, для изготовления крепежных изделий для соединения фланцев не допускается.</w:t>
      </w:r>
    </w:p>
    <w:p>
      <w:pPr>
        <w:pStyle w:val="19"/>
        <w:tabs>
          <w:tab w:val="left" w:pos="993"/>
        </w:tabs>
        <w:autoSpaceDE w:val="0"/>
        <w:autoSpaceDN w:val="0"/>
        <w:adjustRightInd w:val="0"/>
        <w:ind w:left="0" w:firstLine="0"/>
      </w:pPr>
    </w:p>
    <w:p>
      <w:pPr>
        <w:pStyle w:val="19"/>
        <w:tabs>
          <w:tab w:val="left" w:pos="993"/>
        </w:tabs>
        <w:autoSpaceDE w:val="0"/>
        <w:autoSpaceDN w:val="0"/>
        <w:adjustRightInd w:val="0"/>
        <w:ind w:left="0" w:firstLine="0"/>
      </w:pPr>
      <w:r>
        <w:lastRenderedPageBreak/>
        <w:t>Применение крепежных деталей, изготовленных из других материалов, в том числе импортных марок материалов или полуфабрикатов зарубежных заводов-изготовителей, может рассматриваться только после предоставления согласования от СМО, лаборатория которой аккредитована и соответствует требованиям ГОСТ</w:t>
      </w:r>
      <w:r>
        <w:rPr>
          <w:lang w:val="en-US"/>
        </w:rPr>
        <w:t> </w:t>
      </w:r>
      <w:r>
        <w:t>ИСО/МЭК</w:t>
      </w:r>
      <w:r>
        <w:rPr>
          <w:lang w:val="en-US"/>
        </w:rPr>
        <w:t> </w:t>
      </w:r>
      <w:r>
        <w:t>17025. От СМО должны быть получены фактические исследования предлагаемых марок материала по химическому составу, по механическим и вязкопластическим свойствам, в том числе результаты инструментально-измерительного контроля, с подтверждением требований к крепежным деталям, установленных настоящими Методическими указаниями.</w:t>
      </w:r>
    </w:p>
    <w:p>
      <w:pPr>
        <w:pStyle w:val="a7"/>
        <w:widowControl w:val="0"/>
        <w:numPr>
          <w:ilvl w:val="2"/>
          <w:numId w:val="0"/>
        </w:numPr>
        <w:tabs>
          <w:tab w:val="left" w:pos="851"/>
        </w:tabs>
        <w:spacing w:after="0"/>
        <w:ind w:right="105"/>
      </w:pPr>
    </w:p>
    <w:p>
      <w:pPr>
        <w:pStyle w:val="a7"/>
        <w:widowControl w:val="0"/>
        <w:numPr>
          <w:ilvl w:val="2"/>
          <w:numId w:val="0"/>
        </w:numPr>
        <w:tabs>
          <w:tab w:val="left" w:pos="851"/>
        </w:tabs>
        <w:spacing w:after="0"/>
        <w:ind w:right="105"/>
      </w:pPr>
    </w:p>
    <w:p>
      <w:pPr>
        <w:pStyle w:val="S30"/>
      </w:pPr>
      <w:bookmarkStart w:id="138" w:name="_Toc392752842"/>
      <w:bookmarkStart w:id="139" w:name="_Toc404615319"/>
      <w:bookmarkStart w:id="140" w:name="_Toc481662384"/>
      <w:bookmarkStart w:id="141" w:name="_Toc486233276"/>
      <w:bookmarkStart w:id="142" w:name="_Toc514169523"/>
      <w:r>
        <w:t>4.3.12.</w:t>
      </w:r>
      <w:r>
        <w:tab/>
        <w:t>ТРЕБОВАНИЯ К КРАНАМ ШАРОВЫМ С КОНЦАМИ ПОД ПРИВАРКУ</w:t>
      </w:r>
      <w:bookmarkEnd w:id="138"/>
      <w:bookmarkEnd w:id="139"/>
      <w:bookmarkEnd w:id="140"/>
      <w:bookmarkEnd w:id="141"/>
      <w:bookmarkEnd w:id="142"/>
    </w:p>
    <w:p>
      <w:pPr>
        <w:tabs>
          <w:tab w:val="left" w:pos="1418"/>
        </w:tabs>
        <w:rPr>
          <w:rFonts w:eastAsia="PMingLiU"/>
          <w:lang w:eastAsia="en-US"/>
        </w:rPr>
      </w:pPr>
    </w:p>
    <w:p>
      <w:r>
        <w:t>Строительная длина крана шарового должна соответствовать ГОСТ</w:t>
      </w:r>
      <w:r>
        <w:rPr>
          <w:lang w:val="en-US"/>
        </w:rPr>
        <w:t> </w:t>
      </w:r>
      <w:r>
        <w:t>28908.</w:t>
      </w:r>
    </w:p>
    <w:p/>
    <w:p>
      <w:pPr>
        <w:tabs>
          <w:tab w:val="left" w:pos="993"/>
        </w:tabs>
        <w:rPr>
          <w:rFonts w:eastAsia="PMingLiU"/>
          <w:lang w:eastAsia="en-US"/>
        </w:rPr>
      </w:pPr>
      <w:r>
        <w:rPr>
          <w:rFonts w:eastAsia="PMingLiU"/>
          <w:lang w:eastAsia="en-US"/>
        </w:rPr>
        <w:t xml:space="preserve">Для проектирования строительства, строительные длины кранов шаровых </w:t>
      </w:r>
      <w:r>
        <w:rPr>
          <w:rFonts w:eastAsia="Times New Roman"/>
        </w:rPr>
        <w:t xml:space="preserve">с концами под приварку к трубопроводу </w:t>
      </w:r>
      <w:r>
        <w:rPr>
          <w:rFonts w:eastAsia="PMingLiU"/>
          <w:lang w:eastAsia="en-US"/>
        </w:rPr>
        <w:t xml:space="preserve">рекомендуется </w:t>
      </w:r>
      <w:r>
        <w:rPr>
          <w:rFonts w:eastAsia="Times New Roman"/>
        </w:rPr>
        <w:t>применять согласно</w:t>
      </w:r>
      <w:r>
        <w:rPr>
          <w:rFonts w:eastAsia="PMingLiU"/>
          <w:lang w:eastAsia="en-US"/>
        </w:rPr>
        <w:t xml:space="preserve"> Таблице 21.</w:t>
      </w:r>
    </w:p>
    <w:p>
      <w:pPr>
        <w:tabs>
          <w:tab w:val="left" w:pos="993"/>
        </w:tabs>
        <w:autoSpaceDE w:val="0"/>
        <w:autoSpaceDN w:val="0"/>
        <w:adjustRightInd w:val="0"/>
        <w:contextualSpacing/>
        <w:rPr>
          <w:rFonts w:eastAsia="PMingLiU"/>
          <w:lang w:eastAsia="en-US"/>
        </w:rPr>
      </w:pPr>
    </w:p>
    <w:p>
      <w:pPr>
        <w:keepNext/>
        <w:widowControl w:val="0"/>
        <w:jc w:val="right"/>
        <w:rPr>
          <w:rFonts w:ascii="Arial" w:eastAsia="Times New Roman" w:hAnsi="Arial"/>
          <w:b/>
          <w:noProof/>
          <w:sz w:val="20"/>
        </w:rPr>
      </w:pPr>
      <w:r>
        <w:rPr>
          <w:rFonts w:ascii="Arial" w:eastAsia="Times New Roman" w:hAnsi="Arial"/>
          <w:b/>
          <w:sz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21</w:t>
      </w:r>
      <w:r>
        <w:rPr>
          <w:rFonts w:ascii="Arial" w:eastAsia="Times New Roman" w:hAnsi="Arial" w:cs="Arial"/>
          <w:b/>
          <w:bCs/>
          <w:sz w:val="20"/>
          <w:szCs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Рекомендованные для условного обозначения строительные длины крана шарового с концами под приварку к трубопроводу</w:t>
      </w:r>
    </w:p>
    <w:tbl>
      <w:tblPr>
        <w:tblStyle w:val="aff6"/>
        <w:tblW w:w="5000" w:type="pct"/>
        <w:tblLook w:val="04A0" w:firstRow="1" w:lastRow="0" w:firstColumn="1" w:lastColumn="0" w:noHBand="0" w:noVBand="1"/>
      </w:tblPr>
      <w:tblGrid>
        <w:gridCol w:w="1408"/>
        <w:gridCol w:w="1408"/>
        <w:gridCol w:w="1408"/>
        <w:gridCol w:w="1407"/>
        <w:gridCol w:w="1407"/>
        <w:gridCol w:w="1407"/>
        <w:gridCol w:w="1409"/>
      </w:tblGrid>
      <w:tr>
        <w:trPr>
          <w:trHeight w:val="454"/>
          <w:tblHeader/>
        </w:trPr>
        <w:tc>
          <w:tcPr>
            <w:tcW w:w="714" w:type="pct"/>
            <w:vMerge w:val="restart"/>
            <w:tcBorders>
              <w:top w:val="single" w:sz="12" w:space="0" w:color="auto"/>
              <w:left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xml:space="preserve">№ </w:t>
            </w:r>
            <w:r>
              <w:rPr>
                <w:rFonts w:ascii="Arial" w:eastAsia="PMingLiU" w:hAnsi="Arial" w:cs="Arial"/>
                <w:b/>
                <w:bCs/>
                <w:caps/>
                <w:sz w:val="16"/>
                <w:szCs w:val="20"/>
                <w:u w:color="000000"/>
                <w:lang w:eastAsia="en-US"/>
              </w:rPr>
              <w:br/>
              <w:t>п/п</w:t>
            </w:r>
          </w:p>
        </w:tc>
        <w:tc>
          <w:tcPr>
            <w:tcW w:w="714" w:type="pct"/>
            <w:vMerge w:val="restart"/>
            <w:tcBorders>
              <w:top w:val="single" w:sz="12" w:space="0" w:color="auto"/>
              <w:left w:val="single" w:sz="6"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DN, ММ</w:t>
            </w:r>
          </w:p>
        </w:tc>
        <w:tc>
          <w:tcPr>
            <w:tcW w:w="3571" w:type="pct"/>
            <w:gridSpan w:val="5"/>
            <w:tcBorders>
              <w:top w:val="single" w:sz="12" w:space="0" w:color="auto"/>
              <w:left w:val="single" w:sz="6" w:space="0" w:color="auto"/>
              <w:bottom w:val="single" w:sz="6" w:space="0" w:color="auto"/>
              <w:right w:val="single" w:sz="12"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 xml:space="preserve">СТРОИТЕЛЬНАЯ ДЛИНА КРАНОВ ШАРОВЫХ С концами под приварку к трубопроводу L, ММ ДЛЯ РN, МПА </w:t>
            </w:r>
          </w:p>
        </w:tc>
      </w:tr>
      <w:tr>
        <w:trPr>
          <w:trHeight w:val="227"/>
          <w:tblHeader/>
        </w:trPr>
        <w:tc>
          <w:tcPr>
            <w:tcW w:w="714" w:type="pct"/>
            <w:vMerge/>
            <w:tcBorders>
              <w:left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714" w:type="pct"/>
            <w:vMerge/>
            <w:tcBorders>
              <w:left w:val="single" w:sz="6"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p>
        </w:tc>
        <w:tc>
          <w:tcPr>
            <w:tcW w:w="714" w:type="pct"/>
            <w:tcBorders>
              <w:top w:val="single" w:sz="6" w:space="0" w:color="auto"/>
              <w:left w:val="single" w:sz="6" w:space="0" w:color="auto"/>
              <w:bottom w:val="single" w:sz="6"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До 1,6</w:t>
            </w:r>
          </w:p>
        </w:tc>
        <w:tc>
          <w:tcPr>
            <w:tcW w:w="714" w:type="pct"/>
            <w:tcBorders>
              <w:top w:val="single" w:sz="6" w:space="0" w:color="auto"/>
              <w:left w:val="single" w:sz="6" w:space="0" w:color="auto"/>
              <w:bottom w:val="single" w:sz="6"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2,5</w:t>
            </w:r>
            <w:r>
              <w:rPr>
                <w:rFonts w:ascii="Arial" w:eastAsia="PMingLiU" w:hAnsi="Arial" w:cs="Arial"/>
                <w:b/>
                <w:bCs/>
                <w:caps/>
                <w:sz w:val="14"/>
                <w:szCs w:val="14"/>
                <w:u w:color="000000"/>
                <w:lang w:val="en-US" w:eastAsia="en-US"/>
              </w:rPr>
              <w:t> </w:t>
            </w:r>
            <w:r>
              <w:rPr>
                <w:rFonts w:ascii="Arial" w:eastAsia="PMingLiU" w:hAnsi="Arial" w:cs="Arial"/>
                <w:b/>
                <w:bCs/>
                <w:caps/>
                <w:sz w:val="14"/>
                <w:szCs w:val="14"/>
                <w:u w:color="000000"/>
                <w:lang w:eastAsia="en-US"/>
              </w:rPr>
              <w:t>–</w:t>
            </w:r>
            <w:r>
              <w:rPr>
                <w:rFonts w:ascii="Arial" w:eastAsia="PMingLiU" w:hAnsi="Arial" w:cs="Arial"/>
                <w:b/>
                <w:bCs/>
                <w:caps/>
                <w:sz w:val="14"/>
                <w:szCs w:val="14"/>
                <w:u w:color="000000"/>
                <w:lang w:val="en-US" w:eastAsia="en-US"/>
              </w:rPr>
              <w:t> </w:t>
            </w:r>
            <w:r>
              <w:rPr>
                <w:rFonts w:ascii="Arial" w:eastAsia="PMingLiU" w:hAnsi="Arial" w:cs="Arial"/>
                <w:b/>
                <w:bCs/>
                <w:caps/>
                <w:sz w:val="14"/>
                <w:szCs w:val="14"/>
                <w:u w:color="000000"/>
                <w:lang w:eastAsia="en-US"/>
              </w:rPr>
              <w:t>4,0</w:t>
            </w:r>
          </w:p>
        </w:tc>
        <w:tc>
          <w:tcPr>
            <w:tcW w:w="714" w:type="pct"/>
            <w:tcBorders>
              <w:top w:val="single" w:sz="6" w:space="0" w:color="auto"/>
              <w:left w:val="single" w:sz="6"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6,3</w:t>
            </w:r>
            <w:r>
              <w:rPr>
                <w:rFonts w:ascii="Arial" w:eastAsia="PMingLiU" w:hAnsi="Arial" w:cs="Arial"/>
                <w:b/>
                <w:bCs/>
                <w:caps/>
                <w:sz w:val="14"/>
                <w:szCs w:val="14"/>
                <w:u w:color="000000"/>
                <w:lang w:val="en-US" w:eastAsia="en-US"/>
              </w:rPr>
              <w:t> – </w:t>
            </w:r>
            <w:r>
              <w:rPr>
                <w:rFonts w:ascii="Arial" w:eastAsia="PMingLiU" w:hAnsi="Arial" w:cs="Arial"/>
                <w:b/>
                <w:bCs/>
                <w:caps/>
                <w:sz w:val="14"/>
                <w:szCs w:val="14"/>
                <w:u w:color="000000"/>
                <w:lang w:eastAsia="en-US"/>
              </w:rPr>
              <w:t>10,0</w:t>
            </w:r>
          </w:p>
        </w:tc>
        <w:tc>
          <w:tcPr>
            <w:tcW w:w="714" w:type="pct"/>
            <w:tcBorders>
              <w:top w:val="single" w:sz="6" w:space="0" w:color="auto"/>
              <w:left w:val="single" w:sz="6" w:space="0" w:color="auto"/>
              <w:right w:val="single" w:sz="6"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12,5</w:t>
            </w:r>
            <w:r>
              <w:rPr>
                <w:rFonts w:ascii="Arial" w:eastAsia="PMingLiU" w:hAnsi="Arial" w:cs="Arial"/>
                <w:b/>
                <w:bCs/>
                <w:caps/>
                <w:sz w:val="14"/>
                <w:szCs w:val="14"/>
                <w:u w:color="000000"/>
                <w:lang w:val="en-US" w:eastAsia="en-US"/>
              </w:rPr>
              <w:t> – </w:t>
            </w:r>
            <w:r>
              <w:rPr>
                <w:rFonts w:ascii="Arial" w:eastAsia="PMingLiU" w:hAnsi="Arial" w:cs="Arial"/>
                <w:b/>
                <w:bCs/>
                <w:caps/>
                <w:sz w:val="14"/>
                <w:szCs w:val="14"/>
                <w:u w:color="000000"/>
                <w:lang w:eastAsia="en-US"/>
              </w:rPr>
              <w:t>16,0</w:t>
            </w:r>
          </w:p>
        </w:tc>
        <w:tc>
          <w:tcPr>
            <w:tcW w:w="715" w:type="pct"/>
            <w:tcBorders>
              <w:top w:val="single" w:sz="6" w:space="0" w:color="auto"/>
              <w:left w:val="single" w:sz="6" w:space="0" w:color="auto"/>
              <w:right w:val="single" w:sz="12" w:space="0" w:color="auto"/>
            </w:tcBorders>
            <w:shd w:val="clear" w:color="auto" w:fill="FFD200"/>
            <w:vAlign w:val="center"/>
          </w:tcPr>
          <w:p>
            <w:pPr>
              <w:jc w:val="center"/>
              <w:rPr>
                <w:rFonts w:ascii="Arial" w:eastAsia="PMingLiU" w:hAnsi="Arial" w:cs="Arial"/>
                <w:b/>
                <w:bCs/>
                <w:caps/>
                <w:sz w:val="14"/>
                <w:szCs w:val="14"/>
                <w:u w:color="000000"/>
                <w:lang w:eastAsia="en-US"/>
              </w:rPr>
            </w:pPr>
            <w:r>
              <w:rPr>
                <w:rFonts w:ascii="Arial" w:eastAsia="PMingLiU" w:hAnsi="Arial" w:cs="Arial"/>
                <w:b/>
                <w:bCs/>
                <w:caps/>
                <w:sz w:val="14"/>
                <w:szCs w:val="14"/>
                <w:u w:color="000000"/>
                <w:lang w:eastAsia="en-US"/>
              </w:rPr>
              <w:t>20,0</w:t>
            </w:r>
            <w:r>
              <w:rPr>
                <w:rFonts w:ascii="Arial" w:eastAsia="PMingLiU" w:hAnsi="Arial" w:cs="Arial"/>
                <w:b/>
                <w:bCs/>
                <w:caps/>
                <w:sz w:val="14"/>
                <w:szCs w:val="14"/>
                <w:u w:color="000000"/>
                <w:lang w:val="en-US" w:eastAsia="en-US"/>
              </w:rPr>
              <w:t> – </w:t>
            </w:r>
            <w:r>
              <w:rPr>
                <w:rFonts w:ascii="Arial" w:eastAsia="PMingLiU" w:hAnsi="Arial" w:cs="Arial"/>
                <w:b/>
                <w:bCs/>
                <w:caps/>
                <w:sz w:val="14"/>
                <w:szCs w:val="14"/>
                <w:u w:color="000000"/>
                <w:lang w:eastAsia="en-US"/>
              </w:rPr>
              <w:t>32,0</w:t>
            </w:r>
          </w:p>
        </w:tc>
      </w:tr>
      <w:tr>
        <w:trPr>
          <w:trHeight w:val="227"/>
          <w:tblHeader/>
        </w:trPr>
        <w:tc>
          <w:tcPr>
            <w:tcW w:w="714" w:type="pct"/>
            <w:tcBorders>
              <w:top w:val="single" w:sz="12" w:space="0" w:color="auto"/>
              <w:left w:val="single" w:sz="12"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1</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2</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3</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4</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5</w:t>
            </w:r>
          </w:p>
        </w:tc>
        <w:tc>
          <w:tcPr>
            <w:tcW w:w="714" w:type="pct"/>
            <w:tcBorders>
              <w:top w:val="single" w:sz="12" w:space="0" w:color="auto"/>
              <w:left w:val="single" w:sz="6" w:space="0" w:color="auto"/>
              <w:bottom w:val="single" w:sz="12" w:space="0" w:color="auto"/>
              <w:right w:val="single" w:sz="6"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6</w:t>
            </w:r>
          </w:p>
        </w:tc>
        <w:tc>
          <w:tcPr>
            <w:tcW w:w="715" w:type="pct"/>
            <w:tcBorders>
              <w:top w:val="single" w:sz="12" w:space="0" w:color="auto"/>
              <w:left w:val="single" w:sz="6" w:space="0" w:color="auto"/>
              <w:bottom w:val="single" w:sz="12" w:space="0" w:color="auto"/>
              <w:right w:val="single" w:sz="12" w:space="0" w:color="auto"/>
            </w:tcBorders>
            <w:shd w:val="clear" w:color="auto" w:fill="FFD200"/>
            <w:vAlign w:val="center"/>
          </w:tcPr>
          <w:p>
            <w:pPr>
              <w:jc w:val="center"/>
              <w:rPr>
                <w:rFonts w:ascii="Arial" w:eastAsia="PMingLiU" w:hAnsi="Arial" w:cs="Arial"/>
                <w:b/>
                <w:bCs/>
                <w:caps/>
                <w:sz w:val="16"/>
                <w:szCs w:val="20"/>
                <w:u w:color="000000"/>
                <w:lang w:eastAsia="en-US"/>
              </w:rPr>
            </w:pPr>
            <w:r>
              <w:rPr>
                <w:rFonts w:ascii="Arial" w:eastAsia="PMingLiU" w:hAnsi="Arial" w:cs="Arial"/>
                <w:b/>
                <w:bCs/>
                <w:caps/>
                <w:sz w:val="16"/>
                <w:szCs w:val="20"/>
                <w:u w:color="000000"/>
                <w:lang w:eastAsia="en-US"/>
              </w:rPr>
              <w:t>7</w:t>
            </w:r>
          </w:p>
        </w:tc>
      </w:tr>
      <w:tr>
        <w:tc>
          <w:tcPr>
            <w:tcW w:w="714" w:type="pct"/>
            <w:tcBorders>
              <w:top w:val="single" w:sz="12"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w:t>
            </w:r>
          </w:p>
        </w:tc>
        <w:tc>
          <w:tcPr>
            <w:tcW w:w="714" w:type="pct"/>
            <w:tcBorders>
              <w:top w:val="single" w:sz="12"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w:t>
            </w:r>
          </w:p>
        </w:tc>
        <w:tc>
          <w:tcPr>
            <w:tcW w:w="714" w:type="pct"/>
            <w:tcBorders>
              <w:top w:val="single" w:sz="12"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102</w:t>
            </w:r>
          </w:p>
        </w:tc>
        <w:tc>
          <w:tcPr>
            <w:tcW w:w="714" w:type="pct"/>
            <w:tcBorders>
              <w:top w:val="single" w:sz="12" w:space="0" w:color="auto"/>
              <w:left w:val="single" w:sz="6" w:space="0" w:color="auto"/>
              <w:bottom w:val="single" w:sz="6" w:space="0" w:color="auto"/>
              <w:right w:val="single" w:sz="6" w:space="0" w:color="auto"/>
            </w:tcBorders>
          </w:tcPr>
          <w:p>
            <w:pPr>
              <w:rPr>
                <w:rFonts w:eastAsia="Times New Roman"/>
                <w:sz w:val="20"/>
                <w:szCs w:val="20"/>
                <w:lang w:val="en-US"/>
              </w:rPr>
            </w:pPr>
            <w:r>
              <w:rPr>
                <w:rFonts w:eastAsia="Times New Roman"/>
                <w:sz w:val="20"/>
                <w:szCs w:val="20"/>
                <w:lang w:val="en-US"/>
              </w:rPr>
              <w:t>–</w:t>
            </w:r>
          </w:p>
        </w:tc>
        <w:tc>
          <w:tcPr>
            <w:tcW w:w="714" w:type="pct"/>
            <w:tcBorders>
              <w:top w:val="single" w:sz="12"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4" w:type="pct"/>
            <w:tcBorders>
              <w:top w:val="single" w:sz="12"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12"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230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260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127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260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178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229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300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241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300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178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292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350</w:t>
            </w:r>
          </w:p>
        </w:tc>
        <w:tc>
          <w:tcPr>
            <w:tcW w:w="715" w:type="pct"/>
            <w:tcBorders>
              <w:top w:val="single" w:sz="6" w:space="0" w:color="auto"/>
              <w:left w:val="single" w:sz="6" w:space="0" w:color="auto"/>
              <w:bottom w:val="single" w:sz="6" w:space="0" w:color="auto"/>
              <w:right w:val="single" w:sz="12" w:space="0" w:color="auto"/>
            </w:tcBorders>
          </w:tcPr>
          <w:p>
            <w:pPr>
              <w:rPr>
                <w:rFonts w:eastAsia="Times New Roman"/>
                <w:sz w:val="20"/>
                <w:szCs w:val="20"/>
              </w:rPr>
            </w:pPr>
            <w:r>
              <w:rPr>
                <w:rFonts w:eastAsia="Times New Roman"/>
                <w:sz w:val="20"/>
                <w:szCs w:val="20"/>
              </w:rPr>
              <w:t>350</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190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241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330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283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365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229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520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267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559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292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660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250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330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568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787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900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648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838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lang w:val="en-US"/>
              </w:rPr>
            </w:pPr>
            <w:r>
              <w:rPr>
                <w:rFonts w:eastAsia="Times New Roman"/>
                <w:sz w:val="20"/>
                <w:szCs w:val="20"/>
                <w:lang w:val="en-US"/>
              </w:rPr>
              <w:t>1050</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15</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381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762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889</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406</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838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991</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432</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914</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1092</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457</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991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1194</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19</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508</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1143</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1397</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700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610</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1549</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6" w:space="0" w:color="auto"/>
              <w:right w:val="single" w:sz="6" w:space="0" w:color="auto"/>
            </w:tcBorders>
          </w:tcPr>
          <w:p>
            <w:pPr>
              <w:rPr>
                <w:rFonts w:eastAsia="Times New Roman"/>
                <w:sz w:val="20"/>
                <w:szCs w:val="20"/>
              </w:rPr>
            </w:pPr>
            <w:r>
              <w:rPr>
                <w:rFonts w:eastAsia="Times New Roman"/>
                <w:sz w:val="20"/>
                <w:szCs w:val="20"/>
              </w:rPr>
              <w:t>21</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800</w:t>
            </w:r>
          </w:p>
        </w:tc>
        <w:tc>
          <w:tcPr>
            <w:tcW w:w="714" w:type="pct"/>
            <w:tcBorders>
              <w:top w:val="single" w:sz="6" w:space="0" w:color="auto"/>
              <w:left w:val="single" w:sz="6" w:space="0" w:color="auto"/>
              <w:bottom w:val="single" w:sz="6" w:space="0" w:color="auto"/>
              <w:right w:val="single" w:sz="6" w:space="0" w:color="auto"/>
            </w:tcBorders>
          </w:tcPr>
          <w:p>
            <w:pPr>
              <w:rPr>
                <w:rFonts w:eastAsia="Times New Roman"/>
                <w:sz w:val="20"/>
                <w:szCs w:val="20"/>
              </w:rPr>
            </w:pPr>
            <w:r>
              <w:rPr>
                <w:rFonts w:eastAsia="Times New Roman"/>
                <w:sz w:val="20"/>
                <w:szCs w:val="20"/>
              </w:rPr>
              <w:t>660</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4" w:type="pct"/>
            <w:tcBorders>
              <w:top w:val="single" w:sz="6" w:space="0" w:color="auto"/>
              <w:left w:val="single" w:sz="6" w:space="0" w:color="auto"/>
              <w:bottom w:val="single" w:sz="6"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6" w:space="0" w:color="auto"/>
              <w:right w:val="single" w:sz="12" w:space="0" w:color="auto"/>
            </w:tcBorders>
          </w:tcPr>
          <w:p>
            <w:r>
              <w:rPr>
                <w:rFonts w:eastAsia="Times New Roman"/>
                <w:sz w:val="20"/>
                <w:szCs w:val="20"/>
                <w:lang w:val="en-US"/>
              </w:rPr>
              <w:t>–</w:t>
            </w:r>
          </w:p>
        </w:tc>
      </w:tr>
      <w:tr>
        <w:tc>
          <w:tcPr>
            <w:tcW w:w="714" w:type="pct"/>
            <w:tcBorders>
              <w:top w:val="single" w:sz="6" w:space="0" w:color="auto"/>
              <w:left w:val="single" w:sz="12" w:space="0" w:color="auto"/>
              <w:bottom w:val="single" w:sz="12" w:space="0" w:color="auto"/>
              <w:right w:val="single" w:sz="6" w:space="0" w:color="auto"/>
            </w:tcBorders>
          </w:tcPr>
          <w:p>
            <w:pPr>
              <w:rPr>
                <w:rFonts w:eastAsia="Times New Roman"/>
                <w:sz w:val="20"/>
                <w:szCs w:val="20"/>
              </w:rPr>
            </w:pPr>
            <w:r>
              <w:rPr>
                <w:rFonts w:eastAsia="Times New Roman"/>
                <w:sz w:val="20"/>
                <w:szCs w:val="20"/>
              </w:rPr>
              <w:t>22</w:t>
            </w:r>
          </w:p>
        </w:tc>
        <w:tc>
          <w:tcPr>
            <w:tcW w:w="714" w:type="pct"/>
            <w:tcBorders>
              <w:top w:val="single" w:sz="6" w:space="0" w:color="auto"/>
              <w:left w:val="single" w:sz="6" w:space="0" w:color="auto"/>
              <w:bottom w:val="single" w:sz="12" w:space="0" w:color="auto"/>
              <w:right w:val="single" w:sz="6" w:space="0" w:color="auto"/>
            </w:tcBorders>
          </w:tcPr>
          <w:p>
            <w:pPr>
              <w:rPr>
                <w:rFonts w:eastAsia="Times New Roman"/>
                <w:sz w:val="20"/>
                <w:szCs w:val="20"/>
              </w:rPr>
            </w:pPr>
            <w:r>
              <w:rPr>
                <w:rFonts w:eastAsia="Times New Roman"/>
                <w:sz w:val="20"/>
                <w:szCs w:val="20"/>
              </w:rPr>
              <w:t>1000</w:t>
            </w:r>
          </w:p>
        </w:tc>
        <w:tc>
          <w:tcPr>
            <w:tcW w:w="714" w:type="pct"/>
            <w:tcBorders>
              <w:top w:val="single" w:sz="6" w:space="0" w:color="auto"/>
              <w:left w:val="single" w:sz="6" w:space="0" w:color="auto"/>
              <w:bottom w:val="single" w:sz="12" w:space="0" w:color="auto"/>
              <w:right w:val="single" w:sz="6" w:space="0" w:color="auto"/>
            </w:tcBorders>
          </w:tcPr>
          <w:p>
            <w:pPr>
              <w:rPr>
                <w:rFonts w:eastAsia="Times New Roman"/>
                <w:sz w:val="20"/>
                <w:szCs w:val="20"/>
              </w:rPr>
            </w:pPr>
            <w:r>
              <w:rPr>
                <w:rFonts w:eastAsia="Times New Roman"/>
                <w:sz w:val="20"/>
                <w:szCs w:val="20"/>
              </w:rPr>
              <w:t>813</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lang w:val="en-US"/>
              </w:rPr>
              <w:t>–</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lang w:val="en-US"/>
              </w:rPr>
              <w:t>–</w:t>
            </w:r>
          </w:p>
        </w:tc>
        <w:tc>
          <w:tcPr>
            <w:tcW w:w="714" w:type="pct"/>
            <w:tcBorders>
              <w:top w:val="single" w:sz="6" w:space="0" w:color="auto"/>
              <w:left w:val="single" w:sz="6" w:space="0" w:color="auto"/>
              <w:bottom w:val="single" w:sz="12" w:space="0" w:color="auto"/>
              <w:right w:val="single" w:sz="6" w:space="0" w:color="auto"/>
            </w:tcBorders>
          </w:tcPr>
          <w:p>
            <w:r>
              <w:rPr>
                <w:rFonts w:eastAsia="Times New Roman"/>
                <w:sz w:val="20"/>
                <w:szCs w:val="20"/>
                <w:lang w:val="en-US"/>
              </w:rPr>
              <w:t>–</w:t>
            </w:r>
          </w:p>
        </w:tc>
        <w:tc>
          <w:tcPr>
            <w:tcW w:w="715" w:type="pct"/>
            <w:tcBorders>
              <w:top w:val="single" w:sz="6" w:space="0" w:color="auto"/>
              <w:left w:val="single" w:sz="6" w:space="0" w:color="auto"/>
              <w:bottom w:val="single" w:sz="12" w:space="0" w:color="auto"/>
              <w:right w:val="single" w:sz="12" w:space="0" w:color="auto"/>
            </w:tcBorders>
          </w:tcPr>
          <w:p>
            <w:r>
              <w:rPr>
                <w:rFonts w:eastAsia="Times New Roman"/>
                <w:sz w:val="20"/>
                <w:szCs w:val="20"/>
                <w:lang w:val="en-US"/>
              </w:rPr>
              <w:t>–</w:t>
            </w:r>
          </w:p>
        </w:tc>
      </w:tr>
    </w:tbl>
    <w:p>
      <w:pPr>
        <w:rPr>
          <w:rFonts w:eastAsia="PMingLiU"/>
          <w:szCs w:val="22"/>
          <w:lang w:eastAsia="en-US"/>
        </w:rPr>
      </w:pPr>
    </w:p>
    <w:p>
      <w:pPr>
        <w:rPr>
          <w:rFonts w:eastAsia="PMingLiU"/>
          <w:szCs w:val="22"/>
          <w:lang w:eastAsia="en-US"/>
        </w:rPr>
      </w:pPr>
    </w:p>
    <w:p>
      <w:pPr>
        <w:pStyle w:val="S30"/>
      </w:pPr>
      <w:bookmarkStart w:id="143" w:name="_Toc392752843"/>
      <w:bookmarkStart w:id="144" w:name="_Toc404615320"/>
      <w:bookmarkStart w:id="145" w:name="_Toc481662385"/>
      <w:bookmarkStart w:id="146" w:name="_Toc486233277"/>
      <w:bookmarkStart w:id="147" w:name="_Toc514169524"/>
      <w:r>
        <w:rPr>
          <w:caps w:val="0"/>
        </w:rPr>
        <w:t>4.3.13.</w:t>
      </w:r>
      <w:r>
        <w:rPr>
          <w:caps w:val="0"/>
        </w:rPr>
        <w:tab/>
        <w:t>ТРЕБОВАНИЯ ПО ПРИСОЕДИНЕНИЮ КРАНА ШАРОВОГО С КОНЦАМИ ПОД ПРИВАРКУ К ТРУБОПРОВОДАМ</w:t>
      </w:r>
      <w:bookmarkEnd w:id="143"/>
      <w:bookmarkEnd w:id="144"/>
      <w:bookmarkEnd w:id="145"/>
      <w:bookmarkEnd w:id="146"/>
      <w:bookmarkEnd w:id="147"/>
    </w:p>
    <w:p>
      <w:pPr>
        <w:rPr>
          <w:rFonts w:eastAsia="PMingLiU"/>
          <w:szCs w:val="22"/>
          <w:lang w:eastAsia="en-US"/>
        </w:rPr>
      </w:pPr>
    </w:p>
    <w:p>
      <w:pPr>
        <w:widowControl w:val="0"/>
        <w:tabs>
          <w:tab w:val="left" w:pos="851"/>
        </w:tabs>
        <w:ind w:right="104"/>
        <w:rPr>
          <w:rFonts w:eastAsia="PMingLiU"/>
          <w:szCs w:val="22"/>
          <w:lang w:eastAsia="en-US"/>
        </w:rPr>
      </w:pPr>
      <w:r>
        <w:rPr>
          <w:rFonts w:eastAsia="PMingLiU"/>
          <w:spacing w:val="3"/>
          <w:szCs w:val="22"/>
          <w:lang w:eastAsia="en-US"/>
        </w:rPr>
        <w:t>Концы</w:t>
      </w:r>
      <w:r>
        <w:rPr>
          <w:rFonts w:eastAsia="PMingLiU"/>
          <w:spacing w:val="4"/>
          <w:szCs w:val="22"/>
          <w:lang w:eastAsia="en-US"/>
        </w:rPr>
        <w:t xml:space="preserve"> патрубков корпуса крана шарового,</w:t>
      </w:r>
      <w:r>
        <w:rPr>
          <w:rFonts w:eastAsia="PMingLiU"/>
          <w:spacing w:val="9"/>
          <w:szCs w:val="22"/>
          <w:lang w:eastAsia="en-US"/>
        </w:rPr>
        <w:t xml:space="preserve"> </w:t>
      </w:r>
      <w:r>
        <w:rPr>
          <w:rFonts w:eastAsia="PMingLiU"/>
          <w:spacing w:val="4"/>
          <w:szCs w:val="22"/>
          <w:lang w:eastAsia="en-US"/>
        </w:rPr>
        <w:t>предназн</w:t>
      </w:r>
      <w:r>
        <w:rPr>
          <w:rFonts w:eastAsia="PMingLiU"/>
          <w:spacing w:val="7"/>
          <w:szCs w:val="22"/>
          <w:lang w:eastAsia="en-US"/>
        </w:rPr>
        <w:t>а</w:t>
      </w:r>
      <w:r>
        <w:rPr>
          <w:rFonts w:eastAsia="PMingLiU"/>
          <w:spacing w:val="4"/>
          <w:szCs w:val="22"/>
          <w:lang w:eastAsia="en-US"/>
        </w:rPr>
        <w:t>ченные</w:t>
      </w:r>
      <w:r>
        <w:rPr>
          <w:rFonts w:eastAsia="PMingLiU"/>
          <w:spacing w:val="18"/>
          <w:szCs w:val="22"/>
          <w:lang w:eastAsia="en-US"/>
        </w:rPr>
        <w:t xml:space="preserve"> </w:t>
      </w:r>
      <w:r>
        <w:rPr>
          <w:rFonts w:eastAsia="PMingLiU"/>
          <w:spacing w:val="3"/>
          <w:szCs w:val="22"/>
          <w:lang w:eastAsia="en-US"/>
        </w:rPr>
        <w:t>для</w:t>
      </w:r>
      <w:r>
        <w:rPr>
          <w:rFonts w:eastAsia="PMingLiU"/>
          <w:spacing w:val="23"/>
          <w:szCs w:val="22"/>
          <w:lang w:eastAsia="en-US"/>
        </w:rPr>
        <w:t xml:space="preserve"> </w:t>
      </w:r>
      <w:r>
        <w:rPr>
          <w:rFonts w:eastAsia="PMingLiU"/>
          <w:spacing w:val="-1"/>
          <w:szCs w:val="22"/>
          <w:lang w:eastAsia="en-US"/>
        </w:rPr>
        <w:t>сварного</w:t>
      </w:r>
      <w:r>
        <w:rPr>
          <w:rFonts w:eastAsia="PMingLiU"/>
          <w:spacing w:val="7"/>
          <w:szCs w:val="22"/>
          <w:lang w:eastAsia="en-US"/>
        </w:rPr>
        <w:t xml:space="preserve"> </w:t>
      </w:r>
      <w:r>
        <w:rPr>
          <w:rFonts w:eastAsia="PMingLiU"/>
          <w:spacing w:val="-1"/>
          <w:szCs w:val="22"/>
          <w:lang w:eastAsia="en-US"/>
        </w:rPr>
        <w:t>соединения</w:t>
      </w:r>
      <w:r>
        <w:rPr>
          <w:rFonts w:eastAsia="PMingLiU"/>
          <w:spacing w:val="8"/>
          <w:szCs w:val="22"/>
          <w:lang w:eastAsia="en-US"/>
        </w:rPr>
        <w:t xml:space="preserve"> </w:t>
      </w:r>
      <w:r>
        <w:rPr>
          <w:rFonts w:eastAsia="PMingLiU"/>
          <w:szCs w:val="22"/>
          <w:lang w:eastAsia="en-US"/>
        </w:rPr>
        <w:t>с</w:t>
      </w:r>
      <w:r>
        <w:rPr>
          <w:rFonts w:eastAsia="PMingLiU"/>
          <w:spacing w:val="6"/>
          <w:szCs w:val="22"/>
          <w:lang w:eastAsia="en-US"/>
        </w:rPr>
        <w:t xml:space="preserve"> </w:t>
      </w:r>
      <w:r>
        <w:rPr>
          <w:rFonts w:eastAsia="PMingLiU"/>
          <w:spacing w:val="-1"/>
          <w:szCs w:val="22"/>
          <w:lang w:eastAsia="en-US"/>
        </w:rPr>
        <w:t>трубопроводами</w:t>
      </w:r>
      <w:r>
        <w:rPr>
          <w:rFonts w:eastAsia="PMingLiU"/>
          <w:spacing w:val="9"/>
          <w:szCs w:val="22"/>
          <w:lang w:eastAsia="en-US"/>
        </w:rPr>
        <w:t xml:space="preserve">, </w:t>
      </w:r>
      <w:r>
        <w:rPr>
          <w:rFonts w:eastAsia="PMingLiU"/>
          <w:spacing w:val="-1"/>
          <w:szCs w:val="22"/>
          <w:lang w:eastAsia="en-US"/>
        </w:rPr>
        <w:t>должны</w:t>
      </w:r>
      <w:r>
        <w:rPr>
          <w:rFonts w:eastAsia="PMingLiU"/>
          <w:spacing w:val="9"/>
          <w:szCs w:val="22"/>
          <w:lang w:eastAsia="en-US"/>
        </w:rPr>
        <w:t xml:space="preserve"> </w:t>
      </w:r>
      <w:r>
        <w:rPr>
          <w:rFonts w:eastAsia="PMingLiU"/>
          <w:spacing w:val="-2"/>
          <w:szCs w:val="22"/>
          <w:lang w:eastAsia="en-US"/>
        </w:rPr>
        <w:t>удовлетворять</w:t>
      </w:r>
      <w:r>
        <w:rPr>
          <w:rFonts w:eastAsia="PMingLiU"/>
          <w:spacing w:val="41"/>
          <w:szCs w:val="22"/>
          <w:lang w:eastAsia="en-US"/>
        </w:rPr>
        <w:t xml:space="preserve"> </w:t>
      </w:r>
      <w:r>
        <w:rPr>
          <w:rFonts w:eastAsia="PMingLiU"/>
          <w:spacing w:val="-1"/>
          <w:szCs w:val="22"/>
          <w:lang w:eastAsia="en-US"/>
        </w:rPr>
        <w:t>следующим</w:t>
      </w:r>
      <w:r>
        <w:rPr>
          <w:rFonts w:eastAsia="PMingLiU"/>
          <w:szCs w:val="22"/>
          <w:lang w:eastAsia="en-US"/>
        </w:rPr>
        <w:t xml:space="preserve"> </w:t>
      </w:r>
      <w:r>
        <w:rPr>
          <w:rFonts w:eastAsia="PMingLiU"/>
          <w:spacing w:val="-1"/>
          <w:szCs w:val="22"/>
          <w:lang w:eastAsia="en-US"/>
        </w:rPr>
        <w:t>требованиям:</w:t>
      </w:r>
    </w:p>
    <w:p>
      <w:pPr>
        <w:numPr>
          <w:ilvl w:val="0"/>
          <w:numId w:val="12"/>
        </w:numPr>
        <w:tabs>
          <w:tab w:val="left" w:pos="539"/>
        </w:tabs>
        <w:spacing w:before="120"/>
        <w:ind w:left="538" w:hanging="357"/>
        <w:rPr>
          <w:rFonts w:eastAsia="Times New Roman"/>
        </w:rPr>
      </w:pPr>
      <w:r>
        <w:rPr>
          <w:rFonts w:eastAsia="Times New Roman"/>
        </w:rPr>
        <w:lastRenderedPageBreak/>
        <w:t xml:space="preserve">толщина свариваемой кромки патрубков крана шарового не должна превышать </w:t>
      </w:r>
      <w:r>
        <w:rPr>
          <w:rFonts w:eastAsia="Times New Roman"/>
        </w:rPr>
        <w:br/>
        <w:t>1,5 толщины стенки стыкуемого с ней трубопровода;</w:t>
      </w:r>
    </w:p>
    <w:p>
      <w:pPr>
        <w:numPr>
          <w:ilvl w:val="0"/>
          <w:numId w:val="12"/>
        </w:numPr>
        <w:tabs>
          <w:tab w:val="left" w:pos="539"/>
        </w:tabs>
        <w:spacing w:before="120"/>
        <w:ind w:left="538" w:hanging="357"/>
        <w:rPr>
          <w:rFonts w:eastAsia="Times New Roman"/>
        </w:rPr>
      </w:pPr>
      <w:r>
        <w:rPr>
          <w:rFonts w:eastAsia="Times New Roman"/>
        </w:rPr>
        <w:t>кромки патрубков крана шарового под приварку должны быть подготовлены под размеры присоединяемого трубопровода в заводских условиях и соответствовать ГОСТ 16037;</w:t>
      </w:r>
    </w:p>
    <w:p>
      <w:pPr>
        <w:numPr>
          <w:ilvl w:val="0"/>
          <w:numId w:val="12"/>
        </w:numPr>
        <w:tabs>
          <w:tab w:val="left" w:pos="539"/>
        </w:tabs>
        <w:spacing w:before="120"/>
        <w:ind w:left="538" w:hanging="357"/>
        <w:rPr>
          <w:rFonts w:eastAsia="Times New Roman"/>
        </w:rPr>
      </w:pPr>
      <w:r>
        <w:rPr>
          <w:rFonts w:eastAsia="Times New Roman"/>
        </w:rPr>
        <w:t>отклонения от перпендикулярности, наружного диаметра, допуск на овальность, отклонение от прямолинейности концов патрубков крана шарового должны соответствовать  указанным значениям в Таблице 22.</w:t>
      </w:r>
    </w:p>
    <w:p>
      <w:pPr>
        <w:pStyle w:val="a7"/>
        <w:widowControl w:val="0"/>
        <w:numPr>
          <w:ilvl w:val="2"/>
          <w:numId w:val="0"/>
        </w:numPr>
        <w:tabs>
          <w:tab w:val="left" w:pos="851"/>
        </w:tabs>
        <w:spacing w:after="0"/>
        <w:ind w:right="105"/>
        <w:rPr>
          <w:rFonts w:eastAsia="Times New Roman"/>
        </w:rPr>
      </w:pPr>
    </w:p>
    <w:p>
      <w:pPr>
        <w:keepNext/>
        <w:widowControl w:val="0"/>
        <w:jc w:val="right"/>
        <w:rPr>
          <w:rFonts w:ascii="Arial" w:eastAsia="Times New Roman" w:hAnsi="Arial" w:cs="Arial"/>
          <w:b/>
          <w:sz w:val="20"/>
          <w:szCs w:val="20"/>
        </w:rPr>
      </w:pPr>
      <w:r>
        <w:rPr>
          <w:rFonts w:ascii="Arial" w:eastAsia="Times New Roman" w:hAnsi="Arial"/>
          <w:b/>
          <w:sz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22</w:t>
      </w:r>
      <w:r>
        <w:rPr>
          <w:rFonts w:ascii="Arial" w:eastAsia="Times New Roman" w:hAnsi="Arial" w:cs="Arial"/>
          <w:b/>
          <w:bCs/>
          <w:sz w:val="20"/>
          <w:szCs w:val="20"/>
        </w:rPr>
        <w:fldChar w:fldCharType="end"/>
      </w:r>
    </w:p>
    <w:p>
      <w:pPr>
        <w:keepNext/>
        <w:widowControl w:val="0"/>
        <w:spacing w:after="60"/>
        <w:jc w:val="right"/>
        <w:rPr>
          <w:rFonts w:ascii="Arial" w:eastAsia="Times New Roman" w:hAnsi="Arial" w:cs="Arial"/>
          <w:b/>
          <w:sz w:val="20"/>
          <w:szCs w:val="20"/>
        </w:rPr>
      </w:pPr>
      <w:r>
        <w:rPr>
          <w:rFonts w:ascii="Arial" w:eastAsia="Times New Roman" w:hAnsi="Arial" w:cs="Arial"/>
          <w:b/>
          <w:sz w:val="20"/>
          <w:szCs w:val="20"/>
        </w:rPr>
        <w:t>Значения отклонений концов патрубков крана шарового под приварку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Look w:val="04A0" w:firstRow="1" w:lastRow="0" w:firstColumn="1" w:lastColumn="0" w:noHBand="0" w:noVBand="1"/>
      </w:tblPr>
      <w:tblGrid>
        <w:gridCol w:w="2236"/>
        <w:gridCol w:w="1705"/>
        <w:gridCol w:w="2126"/>
        <w:gridCol w:w="2266"/>
        <w:gridCol w:w="1521"/>
      </w:tblGrid>
      <w:tr>
        <w:trPr>
          <w:cantSplit/>
          <w:trHeight w:val="282"/>
          <w:tblHeader/>
        </w:trPr>
        <w:tc>
          <w:tcPr>
            <w:tcW w:w="1134" w:type="pct"/>
            <w:vMerge w:val="restart"/>
            <w:tcBorders>
              <w:top w:val="single" w:sz="12" w:space="0" w:color="auto"/>
              <w:bottom w:val="single" w:sz="6"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caps/>
                <w:sz w:val="16"/>
                <w:szCs w:val="16"/>
                <w:lang w:val="en-US"/>
              </w:rPr>
              <w:t>DN</w:t>
            </w:r>
            <w:r>
              <w:rPr>
                <w:rFonts w:ascii="Arial" w:eastAsia="Times New Roman" w:hAnsi="Arial"/>
                <w:b/>
                <w:caps/>
                <w:sz w:val="16"/>
                <w:szCs w:val="16"/>
              </w:rPr>
              <w:t xml:space="preserve"> КРАНА ШАРОВОГО, ММ</w:t>
            </w:r>
          </w:p>
        </w:tc>
        <w:tc>
          <w:tcPr>
            <w:tcW w:w="3866" w:type="pct"/>
            <w:gridSpan w:val="4"/>
            <w:tcBorders>
              <w:top w:val="single" w:sz="12" w:space="0" w:color="auto"/>
              <w:bottom w:val="single" w:sz="6"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caps/>
                <w:sz w:val="16"/>
                <w:szCs w:val="16"/>
              </w:rPr>
              <w:t>ЗНАЧЕНИЯ ОТКЛОНЕНИЙ</w:t>
            </w:r>
          </w:p>
        </w:tc>
      </w:tr>
      <w:tr>
        <w:trPr>
          <w:cantSplit/>
          <w:trHeight w:val="712"/>
          <w:tblHeader/>
        </w:trPr>
        <w:tc>
          <w:tcPr>
            <w:tcW w:w="1134" w:type="pct"/>
            <w:vMerge/>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20"/>
                <w:u w:color="000000"/>
              </w:rPr>
            </w:pPr>
          </w:p>
        </w:tc>
        <w:tc>
          <w:tcPr>
            <w:tcW w:w="865"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bCs/>
                <w:caps/>
                <w:sz w:val="14"/>
                <w:szCs w:val="14"/>
              </w:rPr>
              <w:t>ОТКЛОНЕНИЕ ОТ ПЕРПЕНДИКУЛЯРНОСТИ ТОРЦА ОТНОСИТЕЛЬНО ОБРАЗУЮЩЕЙ, ММ</w:t>
            </w:r>
            <w:r>
              <w:rPr>
                <w:rFonts w:ascii="Arial" w:eastAsia="Times New Roman" w:hAnsi="Arial"/>
                <w:b/>
                <w:bCs/>
                <w:caps/>
                <w:sz w:val="16"/>
                <w:szCs w:val="16"/>
              </w:rPr>
              <w:t xml:space="preserve"> </w:t>
            </w:r>
          </w:p>
        </w:tc>
        <w:tc>
          <w:tcPr>
            <w:tcW w:w="1079"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bCs/>
                <w:caps/>
                <w:sz w:val="14"/>
                <w:szCs w:val="14"/>
              </w:rPr>
              <w:t>ДОПУСК НА ОВАЛЬНОСТЬ В ТОРЦЕВОМ СЕЧЕНИИ (РАЗДЕЛКА КРОМКИ ПОД ПРИВАРКУ), НЕ БОЛЕЕ, ММ</w:t>
            </w:r>
          </w:p>
        </w:tc>
        <w:tc>
          <w:tcPr>
            <w:tcW w:w="1150"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bCs/>
                <w:caps/>
                <w:sz w:val="14"/>
                <w:szCs w:val="14"/>
              </w:rPr>
              <w:t>ПРЕДЕЛЬНОЕ ОТКЛОНЕНИЕ ОТ НАРУЖНОГО ДИАМЕТРА В ТОРЦЕВОМ СЕЧЕНИИ (РАЗДЕЛКА КРОМКИ ПОД ПРИВАРКУ), ММ</w:t>
            </w:r>
          </w:p>
        </w:tc>
        <w:tc>
          <w:tcPr>
            <w:tcW w:w="773"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bCs/>
                <w:caps/>
                <w:sz w:val="14"/>
                <w:szCs w:val="14"/>
              </w:rPr>
              <w:t>ОТКЛОНЕНИЯ ОТ ПРЯМОЛИНЕЙНОСТИ КОНЦОВ НА ДЛИНЕ 500ММ, НЕ БОЛЕЕ, ММ</w:t>
            </w:r>
          </w:p>
        </w:tc>
      </w:tr>
      <w:tr>
        <w:trPr>
          <w:cantSplit/>
          <w:trHeight w:val="205"/>
          <w:tblHeader/>
        </w:trPr>
        <w:tc>
          <w:tcPr>
            <w:tcW w:w="1134"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u w:color="000000"/>
              </w:rPr>
            </w:pPr>
            <w:r>
              <w:rPr>
                <w:rFonts w:ascii="Arial" w:eastAsia="Times New Roman" w:hAnsi="Arial"/>
                <w:b/>
                <w:bCs/>
                <w:caps/>
                <w:sz w:val="16"/>
                <w:szCs w:val="16"/>
                <w:u w:color="000000"/>
              </w:rPr>
              <w:t>1</w:t>
            </w:r>
          </w:p>
        </w:tc>
        <w:tc>
          <w:tcPr>
            <w:tcW w:w="865"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rPr>
            </w:pPr>
            <w:r>
              <w:rPr>
                <w:rFonts w:ascii="Arial" w:eastAsia="Times New Roman" w:hAnsi="Arial"/>
                <w:b/>
                <w:bCs/>
                <w:caps/>
                <w:sz w:val="16"/>
                <w:szCs w:val="16"/>
              </w:rPr>
              <w:t>2</w:t>
            </w:r>
          </w:p>
        </w:tc>
        <w:tc>
          <w:tcPr>
            <w:tcW w:w="1079"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rPr>
            </w:pPr>
            <w:r>
              <w:rPr>
                <w:rFonts w:ascii="Arial" w:eastAsia="Times New Roman" w:hAnsi="Arial"/>
                <w:b/>
                <w:bCs/>
                <w:caps/>
                <w:sz w:val="16"/>
                <w:szCs w:val="16"/>
              </w:rPr>
              <w:t>3</w:t>
            </w:r>
          </w:p>
        </w:tc>
        <w:tc>
          <w:tcPr>
            <w:tcW w:w="1150"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rPr>
            </w:pPr>
            <w:r>
              <w:rPr>
                <w:rFonts w:ascii="Arial" w:eastAsia="Times New Roman" w:hAnsi="Arial"/>
                <w:b/>
                <w:bCs/>
                <w:caps/>
                <w:sz w:val="16"/>
                <w:szCs w:val="16"/>
              </w:rPr>
              <w:t>4</w:t>
            </w:r>
          </w:p>
        </w:tc>
        <w:tc>
          <w:tcPr>
            <w:tcW w:w="773"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bCs/>
                <w:caps/>
                <w:sz w:val="16"/>
                <w:szCs w:val="16"/>
              </w:rPr>
            </w:pPr>
            <w:r>
              <w:rPr>
                <w:rFonts w:ascii="Arial" w:eastAsia="Times New Roman" w:hAnsi="Arial"/>
                <w:b/>
                <w:bCs/>
                <w:caps/>
                <w:sz w:val="16"/>
                <w:szCs w:val="16"/>
              </w:rPr>
              <w:t>5</w:t>
            </w:r>
          </w:p>
        </w:tc>
      </w:tr>
      <w:tr>
        <w:trPr>
          <w:cantSplit/>
          <w:trHeight w:val="227"/>
          <w:tblHeader/>
        </w:trPr>
        <w:tc>
          <w:tcPr>
            <w:tcW w:w="1134" w:type="pct"/>
            <w:tcBorders>
              <w:top w:val="single" w:sz="12"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 xml:space="preserve">50, </w:t>
            </w: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 xml:space="preserve">80, </w:t>
            </w: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100</w:t>
            </w:r>
          </w:p>
        </w:tc>
        <w:tc>
          <w:tcPr>
            <w:tcW w:w="865" w:type="pct"/>
            <w:tcBorders>
              <w:top w:val="single" w:sz="12"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1,0</w:t>
            </w:r>
          </w:p>
        </w:tc>
        <w:tc>
          <w:tcPr>
            <w:tcW w:w="1079" w:type="pct"/>
            <w:tcBorders>
              <w:top w:val="single" w:sz="12"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1,5*</w:t>
            </w:r>
          </w:p>
        </w:tc>
        <w:tc>
          <w:tcPr>
            <w:tcW w:w="1150" w:type="pct"/>
            <w:vMerge w:val="restart"/>
            <w:tcBorders>
              <w:top w:val="single" w:sz="12"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±1,5</w:t>
            </w:r>
          </w:p>
        </w:tc>
        <w:tc>
          <w:tcPr>
            <w:tcW w:w="773" w:type="pct"/>
            <w:vMerge w:val="restart"/>
            <w:tcBorders>
              <w:top w:val="single" w:sz="12" w:space="0" w:color="auto"/>
              <w:bottom w:val="single" w:sz="6" w:space="0" w:color="auto"/>
            </w:tcBorders>
            <w:shd w:val="clear" w:color="auto" w:fill="auto"/>
          </w:tcPr>
          <w:p>
            <w:pPr>
              <w:spacing w:before="20" w:after="20"/>
              <w:ind w:firstLine="62"/>
              <w:jc w:val="left"/>
              <w:rPr>
                <w:rFonts w:eastAsia="PMingLiU"/>
                <w:bCs/>
                <w:sz w:val="20"/>
                <w:lang w:eastAsia="en-US"/>
              </w:rPr>
            </w:pPr>
            <w:r>
              <w:rPr>
                <w:rFonts w:eastAsia="PMingLiU"/>
                <w:bCs/>
                <w:sz w:val="20"/>
                <w:lang w:eastAsia="en-US"/>
              </w:rPr>
              <w:t>0,5</w:t>
            </w:r>
          </w:p>
        </w:tc>
      </w:tr>
      <w:tr>
        <w:trPr>
          <w:cantSplit/>
          <w:trHeight w:val="227"/>
        </w:trPr>
        <w:tc>
          <w:tcPr>
            <w:tcW w:w="1134" w:type="pct"/>
            <w:tcBorders>
              <w:top w:val="single" w:sz="6" w:space="0" w:color="auto"/>
              <w:bottom w:val="single" w:sz="6" w:space="0" w:color="auto"/>
            </w:tcBorders>
            <w:shd w:val="clear" w:color="auto" w:fill="FFFFFF"/>
          </w:tcPr>
          <w:p>
            <w:pPr>
              <w:spacing w:before="20" w:after="20"/>
              <w:jc w:val="left"/>
              <w:rPr>
                <w:rFonts w:eastAsia="PMingLiU"/>
                <w:bCs/>
                <w:sz w:val="20"/>
                <w:lang w:eastAsia="en-US"/>
              </w:rPr>
            </w:pP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 xml:space="preserve">150, </w:t>
            </w: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200</w:t>
            </w:r>
          </w:p>
        </w:tc>
        <w:tc>
          <w:tcPr>
            <w:tcW w:w="865" w:type="pct"/>
            <w:tcBorders>
              <w:top w:val="single" w:sz="6"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1,0</w:t>
            </w:r>
          </w:p>
        </w:tc>
        <w:tc>
          <w:tcPr>
            <w:tcW w:w="1079" w:type="pct"/>
            <w:vMerge w:val="restart"/>
            <w:tcBorders>
              <w:top w:val="single" w:sz="6"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2,0*</w:t>
            </w:r>
          </w:p>
        </w:tc>
        <w:tc>
          <w:tcPr>
            <w:tcW w:w="1150" w:type="pct"/>
            <w:vMerge/>
            <w:tcBorders>
              <w:top w:val="single" w:sz="6" w:space="0" w:color="auto"/>
              <w:bottom w:val="single" w:sz="6" w:space="0" w:color="auto"/>
            </w:tcBorders>
            <w:shd w:val="clear" w:color="auto" w:fill="auto"/>
            <w:vAlign w:val="center"/>
          </w:tcPr>
          <w:p>
            <w:pPr>
              <w:spacing w:before="20" w:after="20"/>
              <w:ind w:right="117" w:firstLine="623"/>
              <w:rPr>
                <w:rFonts w:eastAsia="PMingLiU"/>
                <w:sz w:val="20"/>
                <w:lang w:eastAsia="en-US"/>
              </w:rPr>
            </w:pPr>
          </w:p>
        </w:tc>
        <w:tc>
          <w:tcPr>
            <w:tcW w:w="773" w:type="pct"/>
            <w:vMerge/>
            <w:tcBorders>
              <w:top w:val="single" w:sz="6" w:space="0" w:color="auto"/>
              <w:bottom w:val="single" w:sz="6" w:space="0" w:color="auto"/>
            </w:tcBorders>
            <w:shd w:val="clear" w:color="auto" w:fill="auto"/>
            <w:vAlign w:val="center"/>
          </w:tcPr>
          <w:p>
            <w:pPr>
              <w:spacing w:before="20" w:after="20"/>
              <w:ind w:right="117" w:firstLine="623"/>
              <w:rPr>
                <w:rFonts w:eastAsia="PMingLiU"/>
                <w:sz w:val="20"/>
                <w:lang w:eastAsia="en-US"/>
              </w:rPr>
            </w:pPr>
          </w:p>
        </w:tc>
      </w:tr>
      <w:tr>
        <w:trPr>
          <w:cantSplit/>
          <w:trHeight w:val="227"/>
        </w:trPr>
        <w:tc>
          <w:tcPr>
            <w:tcW w:w="1134" w:type="pct"/>
            <w:tcBorders>
              <w:top w:val="single" w:sz="6" w:space="0" w:color="auto"/>
              <w:bottom w:val="single" w:sz="6" w:space="0" w:color="auto"/>
            </w:tcBorders>
            <w:shd w:val="clear" w:color="auto" w:fill="FFFFFF"/>
          </w:tcPr>
          <w:p>
            <w:pPr>
              <w:spacing w:before="20" w:after="20"/>
              <w:jc w:val="left"/>
              <w:rPr>
                <w:rFonts w:eastAsia="PMingLiU"/>
                <w:bCs/>
                <w:caps/>
                <w:sz w:val="20"/>
                <w:u w:color="000000"/>
                <w:lang w:eastAsia="en-US"/>
              </w:rPr>
            </w:pP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250,</w:t>
            </w:r>
            <w:r>
              <w:rPr>
                <w:rFonts w:eastAsia="PMingLiU"/>
                <w:bCs/>
                <w:caps/>
                <w:sz w:val="20"/>
                <w:u w:color="000000"/>
                <w:lang w:val="es-ES" w:eastAsia="en-US"/>
              </w:rPr>
              <w:t xml:space="preserve"> DN</w:t>
            </w:r>
            <w:r>
              <w:rPr>
                <w:rFonts w:eastAsia="Times New Roman"/>
                <w:sz w:val="20"/>
                <w:szCs w:val="20"/>
                <w:lang w:val="en-US"/>
              </w:rPr>
              <w:t> </w:t>
            </w:r>
            <w:r>
              <w:rPr>
                <w:rFonts w:eastAsia="PMingLiU"/>
                <w:bCs/>
                <w:caps/>
                <w:sz w:val="20"/>
                <w:u w:color="000000"/>
                <w:lang w:eastAsia="en-US"/>
              </w:rPr>
              <w:t>300,</w:t>
            </w:r>
            <w:r>
              <w:rPr>
                <w:rFonts w:eastAsia="PMingLiU"/>
                <w:bCs/>
                <w:caps/>
                <w:sz w:val="20"/>
                <w:u w:color="000000"/>
                <w:lang w:val="es-ES" w:eastAsia="en-US"/>
              </w:rPr>
              <w:t xml:space="preserve"> DN</w:t>
            </w:r>
            <w:r>
              <w:rPr>
                <w:rFonts w:eastAsia="Times New Roman"/>
                <w:sz w:val="20"/>
                <w:szCs w:val="20"/>
                <w:lang w:val="en-US"/>
              </w:rPr>
              <w:t> </w:t>
            </w:r>
            <w:r>
              <w:rPr>
                <w:rFonts w:eastAsia="PMingLiU"/>
                <w:bCs/>
                <w:caps/>
                <w:sz w:val="20"/>
                <w:u w:color="000000"/>
                <w:lang w:eastAsia="en-US"/>
              </w:rPr>
              <w:t>400</w:t>
            </w:r>
          </w:p>
        </w:tc>
        <w:tc>
          <w:tcPr>
            <w:tcW w:w="865" w:type="pct"/>
            <w:tcBorders>
              <w:top w:val="single" w:sz="6"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1,5</w:t>
            </w:r>
          </w:p>
        </w:tc>
        <w:tc>
          <w:tcPr>
            <w:tcW w:w="1079" w:type="pct"/>
            <w:vMerge/>
            <w:tcBorders>
              <w:top w:val="single" w:sz="6" w:space="0" w:color="auto"/>
              <w:bottom w:val="single" w:sz="6" w:space="0" w:color="auto"/>
            </w:tcBorders>
            <w:shd w:val="clear" w:color="auto" w:fill="auto"/>
          </w:tcPr>
          <w:p>
            <w:pPr>
              <w:spacing w:before="20" w:after="20"/>
              <w:jc w:val="left"/>
              <w:rPr>
                <w:rFonts w:eastAsia="PMingLiU"/>
                <w:bCs/>
                <w:sz w:val="20"/>
                <w:lang w:eastAsia="en-US"/>
              </w:rPr>
            </w:pPr>
          </w:p>
        </w:tc>
        <w:tc>
          <w:tcPr>
            <w:tcW w:w="1150" w:type="pct"/>
            <w:vMerge/>
            <w:tcBorders>
              <w:top w:val="single" w:sz="6" w:space="0" w:color="auto"/>
              <w:bottom w:val="single" w:sz="6" w:space="0" w:color="auto"/>
            </w:tcBorders>
            <w:shd w:val="clear" w:color="auto" w:fill="auto"/>
            <w:vAlign w:val="center"/>
          </w:tcPr>
          <w:p>
            <w:pPr>
              <w:spacing w:before="20" w:after="20"/>
              <w:ind w:right="117" w:firstLine="623"/>
              <w:rPr>
                <w:rFonts w:eastAsia="PMingLiU"/>
                <w:sz w:val="20"/>
                <w:lang w:eastAsia="en-US"/>
              </w:rPr>
            </w:pPr>
          </w:p>
        </w:tc>
        <w:tc>
          <w:tcPr>
            <w:tcW w:w="773" w:type="pct"/>
            <w:vMerge/>
            <w:tcBorders>
              <w:top w:val="single" w:sz="6" w:space="0" w:color="auto"/>
              <w:bottom w:val="single" w:sz="6" w:space="0" w:color="auto"/>
            </w:tcBorders>
            <w:shd w:val="clear" w:color="auto" w:fill="auto"/>
            <w:vAlign w:val="center"/>
          </w:tcPr>
          <w:p>
            <w:pPr>
              <w:spacing w:before="20" w:after="20"/>
              <w:ind w:right="117" w:firstLine="623"/>
              <w:rPr>
                <w:rFonts w:eastAsia="PMingLiU"/>
                <w:sz w:val="20"/>
                <w:lang w:eastAsia="en-US"/>
              </w:rPr>
            </w:pPr>
          </w:p>
        </w:tc>
      </w:tr>
      <w:tr>
        <w:trPr>
          <w:cantSplit/>
          <w:trHeight w:val="227"/>
        </w:trPr>
        <w:tc>
          <w:tcPr>
            <w:tcW w:w="1134" w:type="pct"/>
            <w:tcBorders>
              <w:top w:val="single" w:sz="6" w:space="0" w:color="auto"/>
              <w:bottom w:val="single" w:sz="6" w:space="0" w:color="auto"/>
            </w:tcBorders>
            <w:shd w:val="clear" w:color="auto" w:fill="FFFFFF"/>
          </w:tcPr>
          <w:p>
            <w:pPr>
              <w:spacing w:before="20" w:after="20"/>
              <w:jc w:val="left"/>
              <w:rPr>
                <w:rFonts w:eastAsia="PMingLiU"/>
                <w:bCs/>
                <w:caps/>
                <w:sz w:val="20"/>
                <w:u w:color="000000"/>
                <w:lang w:eastAsia="en-US"/>
              </w:rPr>
            </w:pPr>
            <w:r>
              <w:rPr>
                <w:rFonts w:eastAsia="PMingLiU"/>
                <w:bCs/>
                <w:caps/>
                <w:sz w:val="20"/>
                <w:u w:color="000000"/>
                <w:lang w:val="en-US" w:eastAsia="en-US"/>
              </w:rPr>
              <w:t>DN</w:t>
            </w:r>
            <w:r>
              <w:rPr>
                <w:rFonts w:eastAsia="Times New Roman"/>
                <w:sz w:val="20"/>
                <w:szCs w:val="20"/>
                <w:lang w:val="en-US"/>
              </w:rPr>
              <w:t> </w:t>
            </w:r>
            <w:r>
              <w:rPr>
                <w:rFonts w:eastAsia="PMingLiU"/>
                <w:bCs/>
                <w:caps/>
                <w:sz w:val="20"/>
                <w:u w:color="000000"/>
                <w:lang w:eastAsia="en-US"/>
              </w:rPr>
              <w:t>500</w:t>
            </w:r>
          </w:p>
        </w:tc>
        <w:tc>
          <w:tcPr>
            <w:tcW w:w="865" w:type="pct"/>
            <w:tcBorders>
              <w:top w:val="single" w:sz="6"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1,6</w:t>
            </w:r>
          </w:p>
        </w:tc>
        <w:tc>
          <w:tcPr>
            <w:tcW w:w="1079" w:type="pct"/>
            <w:tcBorders>
              <w:top w:val="single" w:sz="6" w:space="0" w:color="auto"/>
              <w:bottom w:val="single" w:sz="6" w:space="0" w:color="auto"/>
            </w:tcBorders>
            <w:shd w:val="clear" w:color="auto" w:fill="auto"/>
          </w:tcPr>
          <w:p>
            <w:pPr>
              <w:spacing w:before="20" w:after="20"/>
              <w:jc w:val="left"/>
              <w:rPr>
                <w:rFonts w:eastAsia="PMingLiU"/>
                <w:bCs/>
                <w:sz w:val="20"/>
                <w:lang w:eastAsia="en-US"/>
              </w:rPr>
            </w:pPr>
            <w:r>
              <w:rPr>
                <w:rFonts w:eastAsia="PMingLiU"/>
                <w:bCs/>
                <w:sz w:val="20"/>
                <w:lang w:eastAsia="en-US"/>
              </w:rPr>
              <w:t>2,5*</w:t>
            </w:r>
          </w:p>
        </w:tc>
        <w:tc>
          <w:tcPr>
            <w:tcW w:w="1150" w:type="pct"/>
            <w:vMerge w:val="restart"/>
            <w:tcBorders>
              <w:top w:val="single" w:sz="6" w:space="0" w:color="auto"/>
              <w:bottom w:val="single" w:sz="6" w:space="0" w:color="auto"/>
            </w:tcBorders>
            <w:shd w:val="clear" w:color="auto" w:fill="auto"/>
            <w:vAlign w:val="center"/>
          </w:tcPr>
          <w:p>
            <w:pPr>
              <w:spacing w:before="20" w:after="20"/>
              <w:ind w:right="117"/>
              <w:jc w:val="left"/>
              <w:rPr>
                <w:rFonts w:eastAsia="PMingLiU"/>
                <w:sz w:val="20"/>
                <w:lang w:eastAsia="en-US"/>
              </w:rPr>
            </w:pPr>
            <w:r>
              <w:rPr>
                <w:rFonts w:eastAsia="PMingLiU"/>
                <w:bCs/>
                <w:sz w:val="20"/>
                <w:lang w:eastAsia="en-US"/>
              </w:rPr>
              <w:t>±</w:t>
            </w:r>
            <w:r>
              <w:rPr>
                <w:rFonts w:eastAsia="PMingLiU"/>
                <w:sz w:val="20"/>
                <w:lang w:eastAsia="en-US"/>
              </w:rPr>
              <w:t>2,5</w:t>
            </w:r>
          </w:p>
        </w:tc>
        <w:tc>
          <w:tcPr>
            <w:tcW w:w="773" w:type="pct"/>
            <w:vMerge/>
            <w:tcBorders>
              <w:top w:val="single" w:sz="6" w:space="0" w:color="auto"/>
              <w:bottom w:val="single" w:sz="6" w:space="0" w:color="auto"/>
            </w:tcBorders>
            <w:shd w:val="clear" w:color="auto" w:fill="auto"/>
            <w:vAlign w:val="center"/>
          </w:tcPr>
          <w:p>
            <w:pPr>
              <w:spacing w:before="20" w:after="20"/>
              <w:ind w:right="117" w:firstLine="623"/>
              <w:rPr>
                <w:rFonts w:eastAsia="PMingLiU"/>
                <w:sz w:val="20"/>
                <w:lang w:eastAsia="en-US"/>
              </w:rPr>
            </w:pPr>
          </w:p>
        </w:tc>
      </w:tr>
      <w:tr>
        <w:trPr>
          <w:cantSplit/>
          <w:trHeight w:val="227"/>
        </w:trPr>
        <w:tc>
          <w:tcPr>
            <w:tcW w:w="1134" w:type="pct"/>
            <w:tcBorders>
              <w:top w:val="single" w:sz="6" w:space="0" w:color="auto"/>
              <w:bottom w:val="single" w:sz="12" w:space="0" w:color="auto"/>
            </w:tcBorders>
            <w:shd w:val="clear" w:color="auto" w:fill="FFFFFF"/>
          </w:tcPr>
          <w:p>
            <w:pPr>
              <w:spacing w:before="20" w:after="20"/>
              <w:jc w:val="left"/>
              <w:rPr>
                <w:rFonts w:eastAsia="PMingLiU"/>
                <w:bCs/>
                <w:caps/>
                <w:sz w:val="20"/>
                <w:u w:color="000000"/>
                <w:lang w:val="de-DE" w:eastAsia="en-US"/>
              </w:rPr>
            </w:pPr>
            <w:r>
              <w:rPr>
                <w:rFonts w:eastAsia="PMingLiU"/>
                <w:bCs/>
                <w:caps/>
                <w:sz w:val="20"/>
                <w:u w:color="000000"/>
                <w:lang w:val="de-DE" w:eastAsia="en-US"/>
              </w:rPr>
              <w:t>DN</w:t>
            </w:r>
            <w:r>
              <w:rPr>
                <w:rFonts w:eastAsia="Times New Roman"/>
                <w:sz w:val="20"/>
                <w:szCs w:val="20"/>
                <w:lang w:val="en-US"/>
              </w:rPr>
              <w:t> </w:t>
            </w:r>
            <w:r>
              <w:rPr>
                <w:rFonts w:eastAsia="PMingLiU"/>
                <w:bCs/>
                <w:caps/>
                <w:sz w:val="20"/>
                <w:u w:color="000000"/>
                <w:lang w:val="de-DE" w:eastAsia="en-US"/>
              </w:rPr>
              <w:t>600, DN</w:t>
            </w:r>
            <w:r>
              <w:rPr>
                <w:rFonts w:eastAsia="Times New Roman"/>
                <w:sz w:val="20"/>
                <w:szCs w:val="20"/>
                <w:lang w:val="en-US"/>
              </w:rPr>
              <w:t> </w:t>
            </w:r>
            <w:r>
              <w:rPr>
                <w:rFonts w:eastAsia="PMingLiU"/>
                <w:bCs/>
                <w:caps/>
                <w:sz w:val="20"/>
                <w:u w:color="000000"/>
                <w:lang w:val="de-DE" w:eastAsia="en-US"/>
              </w:rPr>
              <w:t>700, DN</w:t>
            </w:r>
            <w:r>
              <w:rPr>
                <w:rFonts w:eastAsia="Times New Roman"/>
                <w:sz w:val="20"/>
                <w:szCs w:val="20"/>
                <w:lang w:val="en-US"/>
              </w:rPr>
              <w:t> </w:t>
            </w:r>
            <w:r>
              <w:rPr>
                <w:rFonts w:eastAsia="PMingLiU"/>
                <w:bCs/>
                <w:caps/>
                <w:sz w:val="20"/>
                <w:u w:color="000000"/>
                <w:lang w:val="de-DE" w:eastAsia="en-US"/>
              </w:rPr>
              <w:t>800, DN</w:t>
            </w:r>
            <w:r>
              <w:rPr>
                <w:rFonts w:eastAsia="Times New Roman"/>
                <w:sz w:val="20"/>
                <w:szCs w:val="20"/>
                <w:lang w:val="en-US"/>
              </w:rPr>
              <w:t> </w:t>
            </w:r>
            <w:r>
              <w:rPr>
                <w:rFonts w:eastAsia="PMingLiU"/>
                <w:bCs/>
                <w:caps/>
                <w:sz w:val="20"/>
                <w:u w:color="000000"/>
                <w:lang w:val="de-DE" w:eastAsia="en-US"/>
              </w:rPr>
              <w:t>1000, DN</w:t>
            </w:r>
            <w:r>
              <w:rPr>
                <w:rFonts w:eastAsia="Times New Roman"/>
                <w:sz w:val="20"/>
                <w:szCs w:val="20"/>
                <w:lang w:val="en-US"/>
              </w:rPr>
              <w:t> </w:t>
            </w:r>
            <w:r>
              <w:rPr>
                <w:rFonts w:eastAsia="PMingLiU"/>
                <w:bCs/>
                <w:caps/>
                <w:sz w:val="20"/>
                <w:u w:color="000000"/>
                <w:lang w:val="de-DE" w:eastAsia="en-US"/>
              </w:rPr>
              <w:t>1200</w:t>
            </w:r>
          </w:p>
        </w:tc>
        <w:tc>
          <w:tcPr>
            <w:tcW w:w="865" w:type="pct"/>
            <w:tcBorders>
              <w:top w:val="single" w:sz="6" w:space="0" w:color="auto"/>
              <w:bottom w:val="single" w:sz="12" w:space="0" w:color="auto"/>
            </w:tcBorders>
            <w:shd w:val="clear" w:color="auto" w:fill="auto"/>
          </w:tcPr>
          <w:p>
            <w:pPr>
              <w:spacing w:before="20" w:after="20"/>
              <w:jc w:val="left"/>
              <w:rPr>
                <w:rFonts w:eastAsia="PMingLiU"/>
                <w:bCs/>
                <w:sz w:val="20"/>
                <w:lang w:eastAsia="en-US"/>
              </w:rPr>
            </w:pPr>
            <w:r>
              <w:rPr>
                <w:rFonts w:eastAsia="PMingLiU"/>
                <w:bCs/>
                <w:sz w:val="20"/>
                <w:lang w:eastAsia="en-US"/>
              </w:rPr>
              <w:t>1,6</w:t>
            </w:r>
          </w:p>
        </w:tc>
        <w:tc>
          <w:tcPr>
            <w:tcW w:w="1079" w:type="pct"/>
            <w:tcBorders>
              <w:top w:val="single" w:sz="6" w:space="0" w:color="auto"/>
              <w:bottom w:val="single" w:sz="12" w:space="0" w:color="auto"/>
            </w:tcBorders>
            <w:shd w:val="clear" w:color="auto" w:fill="auto"/>
          </w:tcPr>
          <w:p>
            <w:pPr>
              <w:pStyle w:val="S0"/>
              <w:numPr>
                <w:ilvl w:val="0"/>
                <w:numId w:val="38"/>
              </w:numPr>
              <w:tabs>
                <w:tab w:val="left" w:pos="312"/>
              </w:tabs>
              <w:spacing w:before="120"/>
              <w:ind w:left="312" w:right="-103" w:hanging="312"/>
              <w:jc w:val="left"/>
              <w:rPr>
                <w:rFonts w:eastAsia="PMingLiU"/>
                <w:sz w:val="20"/>
                <w:szCs w:val="20"/>
                <w:lang w:eastAsia="en-US"/>
              </w:rPr>
            </w:pPr>
            <w:r>
              <w:rPr>
                <w:rFonts w:eastAsia="PMingLiU"/>
                <w:sz w:val="20"/>
                <w:szCs w:val="20"/>
                <w:lang w:eastAsia="en-US"/>
              </w:rPr>
              <w:t>1</w:t>
            </w:r>
            <w:r>
              <w:rPr>
                <w:sz w:val="20"/>
                <w:szCs w:val="20"/>
              </w:rPr>
              <w:t> </w:t>
            </w:r>
            <w:r>
              <w:rPr>
                <w:rFonts w:eastAsia="PMingLiU"/>
                <w:sz w:val="20"/>
                <w:szCs w:val="20"/>
                <w:lang w:eastAsia="en-US"/>
              </w:rPr>
              <w:t>% – по концам с толщиной стенки менее 20 мм**</w:t>
            </w:r>
          </w:p>
          <w:p>
            <w:pPr>
              <w:pStyle w:val="S0"/>
              <w:numPr>
                <w:ilvl w:val="0"/>
                <w:numId w:val="38"/>
              </w:numPr>
              <w:tabs>
                <w:tab w:val="left" w:pos="312"/>
              </w:tabs>
              <w:spacing w:before="120"/>
              <w:ind w:left="312" w:right="-103" w:hanging="312"/>
              <w:jc w:val="left"/>
              <w:rPr>
                <w:rFonts w:eastAsia="PMingLiU"/>
                <w:sz w:val="20"/>
                <w:szCs w:val="20"/>
                <w:lang w:eastAsia="en-US"/>
              </w:rPr>
            </w:pPr>
            <w:r>
              <w:rPr>
                <w:rFonts w:eastAsia="PMingLiU"/>
                <w:sz w:val="20"/>
                <w:szCs w:val="20"/>
                <w:lang w:eastAsia="en-US"/>
              </w:rPr>
              <w:t>0,8</w:t>
            </w:r>
            <w:r>
              <w:rPr>
                <w:sz w:val="20"/>
                <w:szCs w:val="20"/>
              </w:rPr>
              <w:t> </w:t>
            </w:r>
            <w:r>
              <w:rPr>
                <w:rFonts w:eastAsia="PMingLiU"/>
                <w:sz w:val="20"/>
                <w:szCs w:val="20"/>
                <w:lang w:eastAsia="en-US"/>
              </w:rPr>
              <w:t>% – при толщине стенки от 20 мм до 25 мм**</w:t>
            </w:r>
          </w:p>
          <w:p>
            <w:pPr>
              <w:pStyle w:val="S0"/>
              <w:numPr>
                <w:ilvl w:val="0"/>
                <w:numId w:val="38"/>
              </w:numPr>
              <w:tabs>
                <w:tab w:val="left" w:pos="312"/>
              </w:tabs>
              <w:spacing w:before="120"/>
              <w:ind w:left="312" w:right="-103" w:hanging="312"/>
              <w:jc w:val="left"/>
              <w:rPr>
                <w:rFonts w:eastAsia="PMingLiU"/>
                <w:lang w:eastAsia="en-US"/>
              </w:rPr>
            </w:pPr>
            <w:r>
              <w:rPr>
                <w:rFonts w:eastAsia="PMingLiU"/>
                <w:sz w:val="20"/>
                <w:szCs w:val="20"/>
                <w:lang w:eastAsia="en-US"/>
              </w:rPr>
              <w:t>0,5</w:t>
            </w:r>
            <w:r>
              <w:rPr>
                <w:sz w:val="20"/>
                <w:szCs w:val="20"/>
              </w:rPr>
              <w:t> </w:t>
            </w:r>
            <w:r>
              <w:rPr>
                <w:rFonts w:eastAsia="PMingLiU"/>
                <w:sz w:val="20"/>
                <w:szCs w:val="20"/>
                <w:lang w:eastAsia="en-US"/>
              </w:rPr>
              <w:t>% – при толщине стенки более 25 мм**</w:t>
            </w:r>
          </w:p>
        </w:tc>
        <w:tc>
          <w:tcPr>
            <w:tcW w:w="1150" w:type="pct"/>
            <w:vMerge/>
            <w:tcBorders>
              <w:top w:val="single" w:sz="6" w:space="0" w:color="auto"/>
              <w:bottom w:val="single" w:sz="12" w:space="0" w:color="auto"/>
            </w:tcBorders>
            <w:shd w:val="clear" w:color="auto" w:fill="auto"/>
            <w:vAlign w:val="center"/>
          </w:tcPr>
          <w:p>
            <w:pPr>
              <w:spacing w:before="20" w:after="20"/>
              <w:ind w:right="117" w:firstLine="623"/>
              <w:rPr>
                <w:rFonts w:eastAsia="PMingLiU"/>
                <w:sz w:val="20"/>
                <w:lang w:eastAsia="en-US"/>
              </w:rPr>
            </w:pPr>
          </w:p>
        </w:tc>
        <w:tc>
          <w:tcPr>
            <w:tcW w:w="773" w:type="pct"/>
            <w:vMerge/>
            <w:tcBorders>
              <w:top w:val="single" w:sz="6" w:space="0" w:color="auto"/>
              <w:bottom w:val="single" w:sz="12" w:space="0" w:color="auto"/>
            </w:tcBorders>
            <w:shd w:val="clear" w:color="auto" w:fill="auto"/>
            <w:vAlign w:val="center"/>
          </w:tcPr>
          <w:p>
            <w:pPr>
              <w:spacing w:before="20" w:after="20"/>
              <w:ind w:right="117" w:firstLine="623"/>
              <w:rPr>
                <w:rFonts w:eastAsia="PMingLiU"/>
                <w:sz w:val="20"/>
                <w:lang w:eastAsia="en-US"/>
              </w:rPr>
            </w:pPr>
          </w:p>
        </w:tc>
      </w:tr>
    </w:tbl>
    <w:p>
      <w:pPr>
        <w:ind w:left="567"/>
        <w:rPr>
          <w:rFonts w:eastAsia="PMingLiU"/>
          <w:i/>
          <w:u w:val="single"/>
          <w:lang w:eastAsia="en-US"/>
        </w:rPr>
      </w:pPr>
    </w:p>
    <w:p>
      <w:pPr>
        <w:ind w:left="567"/>
        <w:rPr>
          <w:rFonts w:eastAsia="PMingLiU"/>
          <w:i/>
          <w:lang w:eastAsia="en-US"/>
        </w:rPr>
      </w:pPr>
      <w:r>
        <w:rPr>
          <w:rFonts w:eastAsia="PMingLiU"/>
          <w:i/>
          <w:u w:val="single"/>
          <w:lang w:eastAsia="en-US"/>
        </w:rPr>
        <w:t>Примечание:</w:t>
      </w:r>
      <w:r>
        <w:rPr>
          <w:rFonts w:eastAsia="PMingLiU"/>
          <w:i/>
          <w:lang w:eastAsia="en-US"/>
        </w:rPr>
        <w:t>* Разность наибольшего и наименьшего диаметров.</w:t>
      </w:r>
    </w:p>
    <w:p>
      <w:pPr>
        <w:tabs>
          <w:tab w:val="left" w:pos="851"/>
          <w:tab w:val="left" w:pos="900"/>
        </w:tabs>
        <w:spacing w:before="120"/>
        <w:ind w:left="567"/>
        <w:rPr>
          <w:rFonts w:eastAsia="PMingLiU"/>
          <w:lang w:eastAsia="en-US"/>
        </w:rPr>
      </w:pPr>
      <w:r>
        <w:rPr>
          <w:rFonts w:eastAsia="PMingLiU"/>
          <w:i/>
          <w:u w:val="single"/>
          <w:lang w:eastAsia="en-US"/>
        </w:rPr>
        <w:t>Примечание:</w:t>
      </w:r>
      <w:r>
        <w:rPr>
          <w:rFonts w:eastAsia="PMingLiU"/>
          <w:i/>
          <w:lang w:eastAsia="en-US"/>
        </w:rPr>
        <w:t>** Отношение разности между наибольшим и наименьшим диаметрами к номинальному наружному диаметру.</w:t>
      </w:r>
    </w:p>
    <w:p>
      <w:pPr>
        <w:rPr>
          <w:snapToGrid w:val="0"/>
        </w:rPr>
      </w:pPr>
    </w:p>
    <w:p>
      <w:pPr>
        <w:tabs>
          <w:tab w:val="left" w:pos="900"/>
          <w:tab w:val="left" w:pos="1304"/>
        </w:tabs>
        <w:rPr>
          <w:rFonts w:eastAsia="PMingLiU"/>
          <w:szCs w:val="22"/>
          <w:lang w:eastAsia="en-US"/>
        </w:rPr>
      </w:pPr>
    </w:p>
    <w:p>
      <w:pPr>
        <w:pStyle w:val="S30"/>
      </w:pPr>
      <w:bookmarkStart w:id="148" w:name="_Toc481662386"/>
      <w:bookmarkStart w:id="149" w:name="_Toc486233278"/>
      <w:bookmarkStart w:id="150" w:name="_Toc514169525"/>
      <w:bookmarkStart w:id="151" w:name="_Toc392752844"/>
      <w:bookmarkStart w:id="152" w:name="_Toc404615321"/>
      <w:r>
        <w:t>4.3.14.</w:t>
      </w:r>
      <w:r>
        <w:tab/>
        <w:t>ТРЕБОВАНИЯ К ТИПУ УПРАВЛЕНИЯ</w:t>
      </w:r>
      <w:bookmarkEnd w:id="148"/>
      <w:bookmarkEnd w:id="149"/>
      <w:bookmarkEnd w:id="150"/>
      <w:r>
        <w:t xml:space="preserve"> </w:t>
      </w:r>
      <w:bookmarkEnd w:id="151"/>
      <w:bookmarkEnd w:id="152"/>
    </w:p>
    <w:p>
      <w:pPr>
        <w:rPr>
          <w:rFonts w:eastAsia="PMingLiU"/>
          <w:szCs w:val="22"/>
          <w:lang w:eastAsia="en-US"/>
        </w:rPr>
      </w:pPr>
    </w:p>
    <w:p>
      <w:pPr>
        <w:widowControl w:val="0"/>
        <w:autoSpaceDE w:val="0"/>
        <w:autoSpaceDN w:val="0"/>
        <w:adjustRightInd w:val="0"/>
        <w:rPr>
          <w:rFonts w:eastAsia="PMingLiU"/>
          <w:spacing w:val="3"/>
          <w:szCs w:val="22"/>
          <w:lang w:eastAsia="en-US"/>
        </w:rPr>
      </w:pPr>
      <w:r>
        <w:rPr>
          <w:rFonts w:eastAsia="PMingLiU"/>
          <w:spacing w:val="3"/>
          <w:szCs w:val="22"/>
          <w:lang w:eastAsia="en-US"/>
        </w:rPr>
        <w:t>Для управления кранами шаровыми, в зависимости от типоразмера, применяются следующие типы приводных устройств:</w:t>
      </w:r>
    </w:p>
    <w:p>
      <w:pPr>
        <w:numPr>
          <w:ilvl w:val="0"/>
          <w:numId w:val="12"/>
        </w:numPr>
        <w:tabs>
          <w:tab w:val="left" w:pos="539"/>
        </w:tabs>
        <w:spacing w:before="120"/>
        <w:ind w:left="538" w:hanging="357"/>
        <w:rPr>
          <w:rFonts w:eastAsia="Times New Roman"/>
        </w:rPr>
      </w:pPr>
      <w:r>
        <w:rPr>
          <w:rFonts w:eastAsia="Times New Roman"/>
        </w:rPr>
        <w:t>ручные приводы без механического редуктора – управление рукояткой;</w:t>
      </w:r>
    </w:p>
    <w:p>
      <w:pPr>
        <w:numPr>
          <w:ilvl w:val="0"/>
          <w:numId w:val="12"/>
        </w:numPr>
        <w:tabs>
          <w:tab w:val="left" w:pos="539"/>
        </w:tabs>
        <w:spacing w:before="120"/>
        <w:ind w:left="538" w:hanging="357"/>
        <w:rPr>
          <w:rFonts w:eastAsia="Times New Roman"/>
        </w:rPr>
      </w:pPr>
      <w:r>
        <w:rPr>
          <w:rFonts w:eastAsia="Times New Roman"/>
        </w:rPr>
        <w:t xml:space="preserve">ручные приводы с механическим редуктором – </w:t>
      </w:r>
      <w:r>
        <w:rPr>
          <w:rFonts w:eastAsia="PMingLiU"/>
          <w:szCs w:val="22"/>
          <w:lang w:eastAsia="en-US"/>
        </w:rPr>
        <w:t>управление</w:t>
      </w:r>
      <w:r>
        <w:rPr>
          <w:rFonts w:eastAsia="Times New Roman"/>
        </w:rPr>
        <w:t xml:space="preserve"> маховиком;</w:t>
      </w:r>
    </w:p>
    <w:p>
      <w:pPr>
        <w:widowControl w:val="0"/>
        <w:numPr>
          <w:ilvl w:val="0"/>
          <w:numId w:val="17"/>
        </w:numPr>
        <w:tabs>
          <w:tab w:val="left" w:pos="539"/>
        </w:tabs>
        <w:spacing w:before="120"/>
        <w:ind w:left="538" w:hanging="357"/>
        <w:rPr>
          <w:rFonts w:eastAsia="Times New Roman"/>
        </w:rPr>
      </w:pPr>
      <w:r>
        <w:rPr>
          <w:rFonts w:eastAsia="Times New Roman"/>
        </w:rPr>
        <w:t>с ЭП;</w:t>
      </w:r>
    </w:p>
    <w:p>
      <w:pPr>
        <w:widowControl w:val="0"/>
        <w:numPr>
          <w:ilvl w:val="0"/>
          <w:numId w:val="17"/>
        </w:numPr>
        <w:tabs>
          <w:tab w:val="left" w:pos="539"/>
        </w:tabs>
        <w:spacing w:before="120"/>
        <w:ind w:left="538" w:hanging="357"/>
        <w:rPr>
          <w:rFonts w:eastAsia="Times New Roman"/>
        </w:rPr>
      </w:pPr>
      <w:r>
        <w:rPr>
          <w:rFonts w:eastAsia="Times New Roman"/>
        </w:rPr>
        <w:t>с ПП приводы с кулисным механизмом.</w:t>
      </w:r>
    </w:p>
    <w:p>
      <w:pPr>
        <w:widowControl w:val="0"/>
        <w:autoSpaceDE w:val="0"/>
        <w:autoSpaceDN w:val="0"/>
        <w:adjustRightInd w:val="0"/>
        <w:rPr>
          <w:rFonts w:eastAsia="PMingLiU"/>
          <w:spacing w:val="3"/>
          <w:szCs w:val="22"/>
          <w:lang w:eastAsia="en-US"/>
        </w:rPr>
      </w:pPr>
    </w:p>
    <w:p>
      <w:pPr>
        <w:widowControl w:val="0"/>
        <w:autoSpaceDE w:val="0"/>
        <w:autoSpaceDN w:val="0"/>
        <w:adjustRightInd w:val="0"/>
        <w:rPr>
          <w:rFonts w:eastAsia="PMingLiU"/>
          <w:spacing w:val="3"/>
          <w:szCs w:val="22"/>
          <w:lang w:eastAsia="en-US"/>
        </w:rPr>
      </w:pPr>
      <w:r>
        <w:rPr>
          <w:rFonts w:eastAsia="PMingLiU"/>
          <w:spacing w:val="3"/>
          <w:szCs w:val="22"/>
          <w:lang w:eastAsia="en-US"/>
        </w:rPr>
        <w:t>Необходимые параметры для управления крана шарового приводом типа ЭП должны выбираться из списка рядов модификаций ЭП (</w:t>
      </w:r>
      <w:hyperlink w:anchor="_ПРИЛОЖЕНИЕ_1._МОДИФИКАЦИОННЫЕ" w:history="1">
        <w:r>
          <w:rPr>
            <w:rStyle w:val="a6"/>
            <w:rFonts w:eastAsia="PMingLiU"/>
            <w:lang w:eastAsia="en-US"/>
          </w:rPr>
          <w:t xml:space="preserve">Приложение </w:t>
        </w:r>
        <w:r>
          <w:rPr>
            <w:rStyle w:val="a6"/>
            <w:rFonts w:eastAsia="PMingLiU"/>
            <w:spacing w:val="3"/>
            <w:szCs w:val="22"/>
            <w:lang w:eastAsia="en-US"/>
          </w:rPr>
          <w:t>1</w:t>
        </w:r>
      </w:hyperlink>
      <w:r>
        <w:rPr>
          <w:rFonts w:eastAsia="PMingLiU"/>
          <w:spacing w:val="3"/>
          <w:szCs w:val="22"/>
          <w:lang w:eastAsia="en-US"/>
        </w:rPr>
        <w:t xml:space="preserve"> настоящих Методических указаний), для управления  типа ПП, из списка рядов модификаций ПП (</w:t>
      </w:r>
      <w:hyperlink w:anchor="_ПРИЛОЖЕНИЕ_3_МОДЕЛЬНЫЕ" w:history="1">
        <w:r>
          <w:rPr>
            <w:rStyle w:val="a6"/>
            <w:rFonts w:eastAsia="PMingLiU"/>
            <w:spacing w:val="3"/>
            <w:szCs w:val="22"/>
            <w:lang w:eastAsia="en-US"/>
          </w:rPr>
          <w:t>Приложение 2</w:t>
        </w:r>
      </w:hyperlink>
      <w:r>
        <w:rPr>
          <w:rFonts w:eastAsia="PMingLiU"/>
          <w:spacing w:val="3"/>
          <w:szCs w:val="22"/>
          <w:lang w:eastAsia="en-US"/>
        </w:rPr>
        <w:t xml:space="preserve"> настоящих Методических указаний) с занесением обозначения модификации в условное </w:t>
      </w:r>
      <w:r>
        <w:rPr>
          <w:rFonts w:eastAsia="PMingLiU"/>
          <w:spacing w:val="3"/>
          <w:szCs w:val="22"/>
          <w:lang w:eastAsia="en-US"/>
        </w:rPr>
        <w:lastRenderedPageBreak/>
        <w:t>обозначение.</w:t>
      </w:r>
    </w:p>
    <w:p>
      <w:pPr>
        <w:widowControl w:val="0"/>
        <w:autoSpaceDE w:val="0"/>
        <w:autoSpaceDN w:val="0"/>
        <w:adjustRightInd w:val="0"/>
        <w:ind w:left="1509" w:hanging="1509"/>
        <w:rPr>
          <w:rFonts w:eastAsia="PMingLiU"/>
          <w:spacing w:val="3"/>
          <w:szCs w:val="22"/>
          <w:lang w:eastAsia="en-US"/>
        </w:rPr>
      </w:pPr>
    </w:p>
    <w:p>
      <w:pPr>
        <w:pStyle w:val="S0"/>
      </w:pPr>
      <w:r>
        <w:t>ЭП должны удовлетворять требованиям безопасной работы электрооборудования, в соответствии с требованиями ПУЭ, Правил технической эксплуатации электроустановок потребителей, утвержденными приказом Минэнерго России от 13.01.2003 № 6 и требованиям по взрывозащищенности электрооборудования, установленным в ТР ТС 012.</w:t>
      </w:r>
    </w:p>
    <w:p>
      <w:pPr>
        <w:widowControl w:val="0"/>
        <w:autoSpaceDE w:val="0"/>
        <w:autoSpaceDN w:val="0"/>
        <w:adjustRightInd w:val="0"/>
        <w:ind w:left="1509" w:hanging="1509"/>
        <w:rPr>
          <w:rFonts w:eastAsia="PMingLiU"/>
          <w:spacing w:val="3"/>
          <w:szCs w:val="22"/>
          <w:lang w:eastAsia="en-US"/>
        </w:rPr>
      </w:pPr>
    </w:p>
    <w:p>
      <w:pPr>
        <w:widowControl w:val="0"/>
        <w:autoSpaceDE w:val="0"/>
        <w:autoSpaceDN w:val="0"/>
        <w:adjustRightInd w:val="0"/>
        <w:ind w:left="1509" w:hanging="1509"/>
        <w:rPr>
          <w:rFonts w:eastAsia="PMingLiU"/>
          <w:spacing w:val="3"/>
          <w:szCs w:val="22"/>
          <w:lang w:eastAsia="en-US"/>
        </w:rPr>
      </w:pPr>
      <w:r>
        <w:rPr>
          <w:rFonts w:eastAsia="PMingLiU"/>
          <w:spacing w:val="3"/>
          <w:szCs w:val="22"/>
          <w:lang w:eastAsia="en-US"/>
        </w:rPr>
        <w:t>Приводы должны иметь следующие способы управления:</w:t>
      </w:r>
    </w:p>
    <w:p>
      <w:pPr>
        <w:numPr>
          <w:ilvl w:val="0"/>
          <w:numId w:val="12"/>
        </w:numPr>
        <w:tabs>
          <w:tab w:val="left" w:pos="539"/>
        </w:tabs>
        <w:spacing w:before="120"/>
        <w:ind w:left="538" w:hanging="357"/>
        <w:rPr>
          <w:rFonts w:eastAsia="PMingLiU"/>
          <w:spacing w:val="3"/>
        </w:rPr>
      </w:pPr>
      <w:r>
        <w:rPr>
          <w:rFonts w:eastAsia="PMingLiU"/>
          <w:spacing w:val="3"/>
        </w:rPr>
        <w:t>ЭП:</w:t>
      </w:r>
    </w:p>
    <w:p>
      <w:pPr>
        <w:pStyle w:val="affd"/>
        <w:widowControl w:val="0"/>
        <w:numPr>
          <w:ilvl w:val="0"/>
          <w:numId w:val="78"/>
        </w:numPr>
        <w:tabs>
          <w:tab w:val="left" w:pos="539"/>
        </w:tabs>
        <w:spacing w:before="120"/>
        <w:ind w:left="899"/>
        <w:rPr>
          <w:rFonts w:ascii="Times New Roman" w:eastAsia="Times New Roman" w:hAnsi="Times New Roman"/>
          <w:sz w:val="24"/>
        </w:rPr>
      </w:pPr>
      <w:r>
        <w:rPr>
          <w:rFonts w:ascii="Times New Roman" w:eastAsia="Times New Roman" w:hAnsi="Times New Roman"/>
          <w:sz w:val="24"/>
        </w:rPr>
        <w:t>дистанционный;</w:t>
      </w:r>
    </w:p>
    <w:p>
      <w:pPr>
        <w:pStyle w:val="affd"/>
        <w:widowControl w:val="0"/>
        <w:numPr>
          <w:ilvl w:val="0"/>
          <w:numId w:val="78"/>
        </w:numPr>
        <w:tabs>
          <w:tab w:val="left" w:pos="539"/>
        </w:tabs>
        <w:spacing w:before="120"/>
        <w:ind w:left="899"/>
        <w:rPr>
          <w:rFonts w:ascii="Times New Roman" w:eastAsia="Times New Roman" w:hAnsi="Times New Roman"/>
          <w:sz w:val="24"/>
        </w:rPr>
      </w:pPr>
      <w:r>
        <w:rPr>
          <w:rFonts w:ascii="Times New Roman" w:eastAsia="Times New Roman" w:hAnsi="Times New Roman"/>
          <w:sz w:val="24"/>
        </w:rPr>
        <w:t>местный;</w:t>
      </w:r>
    </w:p>
    <w:p>
      <w:pPr>
        <w:pStyle w:val="affd"/>
        <w:widowControl w:val="0"/>
        <w:numPr>
          <w:ilvl w:val="0"/>
          <w:numId w:val="78"/>
        </w:numPr>
        <w:tabs>
          <w:tab w:val="left" w:pos="539"/>
        </w:tabs>
        <w:spacing w:before="120"/>
        <w:ind w:left="899"/>
        <w:rPr>
          <w:rFonts w:ascii="Times New Roman" w:eastAsia="Times New Roman" w:hAnsi="Times New Roman"/>
          <w:sz w:val="24"/>
        </w:rPr>
      </w:pPr>
      <w:r>
        <w:rPr>
          <w:rFonts w:ascii="Times New Roman" w:eastAsia="Times New Roman" w:hAnsi="Times New Roman"/>
          <w:sz w:val="24"/>
        </w:rPr>
        <w:t>ручной дублер.</w:t>
      </w:r>
    </w:p>
    <w:p>
      <w:pPr>
        <w:pStyle w:val="affd"/>
        <w:widowControl w:val="0"/>
        <w:numPr>
          <w:ilvl w:val="0"/>
          <w:numId w:val="77"/>
        </w:numPr>
        <w:autoSpaceDE w:val="0"/>
        <w:autoSpaceDN w:val="0"/>
        <w:adjustRightInd w:val="0"/>
        <w:ind w:left="541"/>
        <w:rPr>
          <w:rFonts w:ascii="Times New Roman" w:eastAsia="PMingLiU" w:hAnsi="Times New Roman"/>
          <w:spacing w:val="3"/>
          <w:sz w:val="24"/>
        </w:rPr>
      </w:pPr>
      <w:r>
        <w:rPr>
          <w:rFonts w:ascii="Times New Roman" w:eastAsia="PMingLiU" w:hAnsi="Times New Roman"/>
          <w:spacing w:val="3"/>
          <w:sz w:val="24"/>
        </w:rPr>
        <w:t>ПП:</w:t>
      </w:r>
    </w:p>
    <w:p>
      <w:pPr>
        <w:pStyle w:val="affd"/>
        <w:widowControl w:val="0"/>
        <w:numPr>
          <w:ilvl w:val="0"/>
          <w:numId w:val="79"/>
        </w:numPr>
        <w:autoSpaceDE w:val="0"/>
        <w:autoSpaceDN w:val="0"/>
        <w:adjustRightInd w:val="0"/>
        <w:ind w:left="964" w:hanging="425"/>
        <w:rPr>
          <w:rFonts w:ascii="Times New Roman" w:eastAsia="PMingLiU" w:hAnsi="Times New Roman"/>
          <w:spacing w:val="3"/>
          <w:sz w:val="24"/>
        </w:rPr>
      </w:pPr>
      <w:r>
        <w:rPr>
          <w:rFonts w:ascii="Times New Roman" w:eastAsia="PMingLiU" w:hAnsi="Times New Roman"/>
          <w:spacing w:val="3"/>
          <w:sz w:val="24"/>
        </w:rPr>
        <w:t>дистанционный;</w:t>
      </w:r>
    </w:p>
    <w:p>
      <w:pPr>
        <w:pStyle w:val="affd"/>
        <w:widowControl w:val="0"/>
        <w:numPr>
          <w:ilvl w:val="0"/>
          <w:numId w:val="79"/>
        </w:numPr>
        <w:autoSpaceDE w:val="0"/>
        <w:autoSpaceDN w:val="0"/>
        <w:adjustRightInd w:val="0"/>
        <w:ind w:left="964" w:hanging="425"/>
        <w:rPr>
          <w:rFonts w:ascii="Times New Roman" w:eastAsia="PMingLiU" w:hAnsi="Times New Roman"/>
          <w:spacing w:val="3"/>
          <w:sz w:val="24"/>
        </w:rPr>
      </w:pPr>
      <w:r>
        <w:rPr>
          <w:rFonts w:ascii="Times New Roman" w:eastAsia="PMingLiU" w:hAnsi="Times New Roman"/>
          <w:spacing w:val="3"/>
          <w:sz w:val="24"/>
        </w:rPr>
        <w:t>ручной дублер.</w:t>
      </w:r>
    </w:p>
    <w:p>
      <w:pPr>
        <w:widowControl w:val="0"/>
        <w:autoSpaceDE w:val="0"/>
        <w:autoSpaceDN w:val="0"/>
        <w:adjustRightInd w:val="0"/>
        <w:ind w:left="1509" w:hanging="1509"/>
        <w:rPr>
          <w:rFonts w:eastAsia="PMingLiU"/>
          <w:spacing w:val="3"/>
          <w:szCs w:val="22"/>
          <w:lang w:eastAsia="en-US"/>
        </w:rPr>
      </w:pPr>
      <w:r>
        <w:rPr>
          <w:rFonts w:eastAsia="PMingLiU"/>
          <w:spacing w:val="3"/>
          <w:szCs w:val="22"/>
          <w:lang w:eastAsia="en-US"/>
        </w:rPr>
        <w:t>Конструкция приводов крана шарового должна обеспечивать:</w:t>
      </w:r>
    </w:p>
    <w:p>
      <w:pPr>
        <w:widowControl w:val="0"/>
        <w:numPr>
          <w:ilvl w:val="0"/>
          <w:numId w:val="17"/>
        </w:numPr>
        <w:tabs>
          <w:tab w:val="left" w:pos="539"/>
        </w:tabs>
        <w:spacing w:before="120"/>
        <w:ind w:left="538" w:hanging="357"/>
        <w:rPr>
          <w:rFonts w:eastAsia="Times New Roman"/>
        </w:rPr>
      </w:pPr>
      <w:r>
        <w:rPr>
          <w:rFonts w:eastAsia="Times New Roman"/>
        </w:rPr>
        <w:t>надежность функционирования и безопасность для персонала в рабочих условиях;</w:t>
      </w:r>
    </w:p>
    <w:p>
      <w:pPr>
        <w:widowControl w:val="0"/>
        <w:numPr>
          <w:ilvl w:val="0"/>
          <w:numId w:val="17"/>
        </w:numPr>
        <w:tabs>
          <w:tab w:val="left" w:pos="539"/>
        </w:tabs>
        <w:spacing w:before="120"/>
        <w:ind w:left="538" w:hanging="357"/>
        <w:rPr>
          <w:rFonts w:eastAsia="Times New Roman"/>
        </w:rPr>
      </w:pPr>
      <w:r>
        <w:rPr>
          <w:rFonts w:eastAsia="Times New Roman"/>
        </w:rPr>
        <w:t>работоспособность кранов, в том числе достаточное усилие или крутящий момент и удержание запирающего элемента в требуемом положении;</w:t>
      </w:r>
    </w:p>
    <w:p>
      <w:pPr>
        <w:numPr>
          <w:ilvl w:val="0"/>
          <w:numId w:val="12"/>
        </w:numPr>
        <w:tabs>
          <w:tab w:val="left" w:pos="539"/>
        </w:tabs>
        <w:spacing w:before="120"/>
        <w:ind w:left="538" w:hanging="357"/>
        <w:rPr>
          <w:rFonts w:eastAsia="Times New Roman"/>
        </w:rPr>
      </w:pPr>
      <w:r>
        <w:rPr>
          <w:rFonts w:eastAsia="Times New Roman"/>
        </w:rPr>
        <w:t>предотвращение чрезмерных усилий на кран шаровой;</w:t>
      </w:r>
    </w:p>
    <w:p>
      <w:pPr>
        <w:numPr>
          <w:ilvl w:val="0"/>
          <w:numId w:val="12"/>
        </w:numPr>
        <w:tabs>
          <w:tab w:val="left" w:pos="539"/>
        </w:tabs>
        <w:spacing w:before="120"/>
        <w:ind w:left="538" w:hanging="357"/>
        <w:rPr>
          <w:rFonts w:eastAsia="Times New Roman"/>
        </w:rPr>
      </w:pPr>
      <w:r>
        <w:rPr>
          <w:rFonts w:eastAsia="Times New Roman"/>
        </w:rPr>
        <w:t>электрическую (гальваническую) развязку с блоком управления для обеспечения требуемого показателя сопротивления растеканию постоянного тока арматуры подземного исполнения (для ЭП).</w:t>
      </w:r>
    </w:p>
    <w:p>
      <w:pPr>
        <w:widowControl w:val="0"/>
        <w:autoSpaceDE w:val="0"/>
        <w:autoSpaceDN w:val="0"/>
        <w:adjustRightInd w:val="0"/>
        <w:ind w:left="1509" w:hanging="1509"/>
        <w:rPr>
          <w:rFonts w:eastAsia="Times New Roman"/>
        </w:rPr>
      </w:pPr>
    </w:p>
    <w:p>
      <w:pPr>
        <w:numPr>
          <w:ilvl w:val="2"/>
          <w:numId w:val="0"/>
        </w:numPr>
        <w:tabs>
          <w:tab w:val="left" w:pos="1276"/>
        </w:tabs>
        <w:ind w:right="-1"/>
        <w:contextualSpacing/>
        <w:rPr>
          <w:rFonts w:eastAsia="PMingLiU"/>
          <w:lang w:eastAsia="en-US"/>
        </w:rPr>
      </w:pPr>
      <w:r>
        <w:rPr>
          <w:rFonts w:eastAsia="PMingLiU"/>
          <w:lang w:eastAsia="en-US"/>
        </w:rPr>
        <w:t>Приводы и редукторы должны иметь присоединительные размеры к кранам шаровым по ГОСТ Р 55510.</w:t>
      </w:r>
    </w:p>
    <w:p>
      <w:pPr>
        <w:rPr>
          <w:rFonts w:eastAsia="PMingLiU"/>
          <w:szCs w:val="22"/>
        </w:rPr>
      </w:pPr>
    </w:p>
    <w:p>
      <w:pPr>
        <w:widowControl w:val="0"/>
        <w:tabs>
          <w:tab w:val="left" w:pos="851"/>
        </w:tabs>
        <w:ind w:right="-1"/>
        <w:rPr>
          <w:rFonts w:eastAsia="Times New Roman"/>
        </w:rPr>
      </w:pPr>
      <w:r>
        <w:rPr>
          <w:rFonts w:eastAsia="Times New Roman"/>
        </w:rPr>
        <w:t>Привод крана шарового должен обеспечивать поворот затвора на 90° и иметь регулируемые механические упоры (ограничители) крайних положений затвора. Ограничители должны выполнять регулировку в пределах от минус 2,5° до плюс 2,5° и быть опломбированы.</w:t>
      </w:r>
    </w:p>
    <w:p>
      <w:pPr>
        <w:widowControl w:val="0"/>
        <w:tabs>
          <w:tab w:val="left" w:pos="851"/>
        </w:tabs>
        <w:ind w:right="104"/>
        <w:rPr>
          <w:rFonts w:eastAsia="Times New Roman"/>
        </w:rPr>
      </w:pPr>
    </w:p>
    <w:p>
      <w:pPr>
        <w:widowControl w:val="0"/>
        <w:tabs>
          <w:tab w:val="left" w:pos="851"/>
        </w:tabs>
        <w:ind w:right="-1"/>
        <w:rPr>
          <w:rFonts w:eastAsia="PMingLiU"/>
          <w:spacing w:val="3"/>
          <w:szCs w:val="22"/>
          <w:lang w:eastAsia="en-US"/>
        </w:rPr>
      </w:pPr>
      <w:r>
        <w:rPr>
          <w:rFonts w:eastAsia="PMingLiU"/>
          <w:spacing w:val="3"/>
          <w:szCs w:val="22"/>
          <w:lang w:eastAsia="en-US"/>
        </w:rPr>
        <w:t>Механические редукторы устанавливаются на краны шаровые с DN ≥ 100  PN ≥ 10,0 МПа и DN ≥ 150, PN ≥ 4,0 МПа.</w:t>
      </w:r>
    </w:p>
    <w:p>
      <w:pPr>
        <w:widowControl w:val="0"/>
        <w:tabs>
          <w:tab w:val="left" w:pos="851"/>
        </w:tabs>
        <w:ind w:right="104"/>
        <w:rPr>
          <w:rFonts w:eastAsia="PMingLiU"/>
          <w:spacing w:val="3"/>
          <w:szCs w:val="22"/>
          <w:lang w:eastAsia="en-US"/>
        </w:rPr>
      </w:pPr>
    </w:p>
    <w:p>
      <w:pPr>
        <w:widowControl w:val="0"/>
        <w:tabs>
          <w:tab w:val="left" w:pos="851"/>
          <w:tab w:val="left" w:pos="1276"/>
        </w:tabs>
        <w:ind w:right="-1"/>
        <w:rPr>
          <w:rFonts w:eastAsia="Times New Roman"/>
        </w:rPr>
      </w:pPr>
      <w:r>
        <w:rPr>
          <w:rFonts w:eastAsia="Times New Roman"/>
        </w:rPr>
        <w:t>Запрещается в качестве рукояток, маховиков для кранов шаровых использовать полипропилен, полиамид и другие аналогичные материалы.</w:t>
      </w:r>
    </w:p>
    <w:p>
      <w:pPr>
        <w:widowControl w:val="0"/>
        <w:tabs>
          <w:tab w:val="left" w:pos="851"/>
          <w:tab w:val="left" w:pos="1276"/>
        </w:tabs>
        <w:ind w:right="114"/>
        <w:rPr>
          <w:rFonts w:eastAsia="Times New Roman"/>
        </w:rPr>
      </w:pPr>
    </w:p>
    <w:p>
      <w:pPr>
        <w:widowControl w:val="0"/>
        <w:tabs>
          <w:tab w:val="left" w:pos="851"/>
          <w:tab w:val="left" w:pos="1276"/>
        </w:tabs>
        <w:ind w:right="114"/>
        <w:rPr>
          <w:rFonts w:eastAsia="PMingLiU"/>
          <w:spacing w:val="-2"/>
          <w:szCs w:val="22"/>
          <w:lang w:eastAsia="en-US"/>
        </w:rPr>
      </w:pPr>
      <w:r>
        <w:rPr>
          <w:rFonts w:eastAsia="PMingLiU"/>
          <w:spacing w:val="-1"/>
          <w:szCs w:val="22"/>
          <w:lang w:eastAsia="en-US"/>
        </w:rPr>
        <w:t>Размеры</w:t>
      </w:r>
      <w:r>
        <w:rPr>
          <w:rFonts w:eastAsia="PMingLiU"/>
          <w:szCs w:val="22"/>
          <w:lang w:eastAsia="en-US"/>
        </w:rPr>
        <w:t xml:space="preserve"> </w:t>
      </w:r>
      <w:r>
        <w:rPr>
          <w:rFonts w:eastAsia="Times New Roman"/>
        </w:rPr>
        <w:t xml:space="preserve">рукоятки или маховика </w:t>
      </w:r>
      <w:r>
        <w:rPr>
          <w:rFonts w:eastAsia="PMingLiU"/>
          <w:szCs w:val="22"/>
          <w:lang w:eastAsia="en-US"/>
        </w:rPr>
        <w:t>должны соответствовать ГОСТ</w:t>
      </w:r>
      <w:r>
        <w:rPr>
          <w:rFonts w:eastAsia="PMingLiU"/>
          <w:szCs w:val="22"/>
          <w:lang w:val="en-US" w:eastAsia="en-US"/>
        </w:rPr>
        <w:t> </w:t>
      </w:r>
      <w:r>
        <w:rPr>
          <w:rFonts w:eastAsia="PMingLiU"/>
          <w:szCs w:val="22"/>
          <w:lang w:eastAsia="en-US"/>
        </w:rPr>
        <w:t>21752.</w:t>
      </w:r>
    </w:p>
    <w:p>
      <w:pPr>
        <w:pStyle w:val="S0"/>
      </w:pPr>
    </w:p>
    <w:p>
      <w:pPr>
        <w:pStyle w:val="S0"/>
        <w:rPr>
          <w:lang w:eastAsia="en-US"/>
        </w:rPr>
      </w:pPr>
      <w:r>
        <w:t>Краны шаровые с ручным управлением или ручным дублером закрывают вращением рукоятки арматуры или маховика при ручном дублере по часовой стрелке.</w:t>
      </w:r>
    </w:p>
    <w:p>
      <w:pPr>
        <w:tabs>
          <w:tab w:val="left" w:pos="1276"/>
        </w:tabs>
        <w:rPr>
          <w:rFonts w:eastAsia="PMingLiU"/>
          <w:szCs w:val="22"/>
          <w:lang w:eastAsia="en-US"/>
        </w:rPr>
      </w:pPr>
    </w:p>
    <w:p>
      <w:pPr>
        <w:widowControl w:val="0"/>
        <w:tabs>
          <w:tab w:val="left" w:pos="851"/>
          <w:tab w:val="left" w:pos="1276"/>
        </w:tabs>
        <w:ind w:right="-1"/>
        <w:rPr>
          <w:rFonts w:eastAsia="Times New Roman"/>
        </w:rPr>
      </w:pPr>
      <w:r>
        <w:rPr>
          <w:rFonts w:eastAsia="Times New Roman"/>
        </w:rPr>
        <w:t>Рукоятка управления у ручных кранов и/или указатель положения у приводных кранов должна располагаться вдоль оси трубопровода, когда кран шаровой открыт и поперёк – когда кран закрыт.</w:t>
      </w:r>
    </w:p>
    <w:p>
      <w:pPr>
        <w:widowControl w:val="0"/>
        <w:tabs>
          <w:tab w:val="left" w:pos="993"/>
        </w:tabs>
        <w:ind w:right="-1"/>
        <w:rPr>
          <w:rFonts w:eastAsia="Times New Roman"/>
        </w:rPr>
      </w:pPr>
      <w:r>
        <w:rPr>
          <w:rFonts w:eastAsia="Times New Roman"/>
        </w:rPr>
        <w:t xml:space="preserve">Конструкция ручного привода должна исключать возможность самопроизвольного </w:t>
      </w:r>
      <w:r>
        <w:rPr>
          <w:rFonts w:eastAsia="Times New Roman"/>
        </w:rPr>
        <w:lastRenderedPageBreak/>
        <w:t>изменения положения затвора под воздействием давления рабочей среды.</w:t>
      </w:r>
    </w:p>
    <w:p>
      <w:pPr>
        <w:widowControl w:val="0"/>
        <w:tabs>
          <w:tab w:val="left" w:pos="993"/>
        </w:tabs>
        <w:ind w:right="107"/>
        <w:rPr>
          <w:rFonts w:eastAsia="Times New Roman"/>
        </w:rPr>
      </w:pPr>
    </w:p>
    <w:p>
      <w:pPr>
        <w:widowControl w:val="0"/>
        <w:tabs>
          <w:tab w:val="left" w:pos="993"/>
        </w:tabs>
        <w:ind w:right="-1"/>
        <w:rPr>
          <w:rFonts w:eastAsia="Times New Roman"/>
        </w:rPr>
      </w:pPr>
      <w:r>
        <w:rPr>
          <w:rFonts w:eastAsia="Times New Roman"/>
        </w:rPr>
        <w:t xml:space="preserve">Величина усилия на рукоятке (маховике) ручного привода, ручного дублера не должна превышать значения, указанного в Таблице 3 </w:t>
      </w:r>
      <w:r>
        <w:rPr>
          <w:bCs/>
        </w:rPr>
        <w:t>ГОСТ 12.2.063</w:t>
      </w:r>
      <w:r>
        <w:rPr>
          <w:rFonts w:eastAsia="Times New Roman"/>
        </w:rPr>
        <w:t>-2015.</w:t>
      </w:r>
    </w:p>
    <w:p>
      <w:pPr>
        <w:widowControl w:val="0"/>
        <w:tabs>
          <w:tab w:val="left" w:pos="993"/>
        </w:tabs>
        <w:ind w:right="107"/>
        <w:rPr>
          <w:rFonts w:eastAsia="PMingLiU"/>
          <w:spacing w:val="-1"/>
          <w:szCs w:val="22"/>
          <w:lang w:eastAsia="en-US"/>
        </w:rPr>
      </w:pPr>
    </w:p>
    <w:p>
      <w:pPr>
        <w:tabs>
          <w:tab w:val="left" w:pos="993"/>
          <w:tab w:val="left" w:pos="1276"/>
        </w:tabs>
        <w:autoSpaceDE w:val="0"/>
        <w:autoSpaceDN w:val="0"/>
        <w:adjustRightInd w:val="0"/>
        <w:contextualSpacing/>
        <w:rPr>
          <w:rFonts w:eastAsia="Times New Roman"/>
        </w:rPr>
      </w:pPr>
      <w:r>
        <w:rPr>
          <w:rFonts w:eastAsia="Times New Roman"/>
        </w:rPr>
        <w:t xml:space="preserve">На маховиках должны быть стрелки, указывающие направление вращения на открытие и закрытие </w:t>
      </w:r>
      <w:r>
        <w:rPr>
          <w:rFonts w:eastAsia="PMingLiU"/>
          <w:lang w:eastAsia="en-US"/>
        </w:rPr>
        <w:t>крана шарового</w:t>
      </w:r>
      <w:r>
        <w:rPr>
          <w:rFonts w:eastAsia="Times New Roman"/>
        </w:rPr>
        <w:t xml:space="preserve"> со следующими условными обозначениями к ним: буквы «О», «З» или «ОТКР», «ЗАКР», соответственно слова «открыто», «закрыто».</w:t>
      </w:r>
    </w:p>
    <w:p>
      <w:pPr>
        <w:tabs>
          <w:tab w:val="left" w:pos="993"/>
          <w:tab w:val="left" w:pos="1276"/>
        </w:tabs>
        <w:autoSpaceDE w:val="0"/>
        <w:autoSpaceDN w:val="0"/>
        <w:adjustRightInd w:val="0"/>
        <w:contextualSpacing/>
        <w:rPr>
          <w:rFonts w:eastAsia="Times New Roman"/>
        </w:rPr>
      </w:pPr>
    </w:p>
    <w:p>
      <w:pPr>
        <w:tabs>
          <w:tab w:val="left" w:pos="993"/>
          <w:tab w:val="left" w:pos="1276"/>
        </w:tabs>
        <w:autoSpaceDE w:val="0"/>
        <w:autoSpaceDN w:val="0"/>
        <w:adjustRightInd w:val="0"/>
        <w:contextualSpacing/>
        <w:rPr>
          <w:rFonts w:eastAsia="Times New Roman"/>
        </w:rPr>
      </w:pPr>
      <w:r>
        <w:rPr>
          <w:rFonts w:eastAsia="Times New Roman"/>
        </w:rPr>
        <w:t>На ЭП должна быть предусмотрена возможность отключения автоматического управления при переходе на местное или ручное управление.</w:t>
      </w:r>
    </w:p>
    <w:p>
      <w:pPr>
        <w:tabs>
          <w:tab w:val="left" w:pos="993"/>
          <w:tab w:val="left" w:pos="1276"/>
        </w:tabs>
        <w:autoSpaceDE w:val="0"/>
        <w:autoSpaceDN w:val="0"/>
        <w:adjustRightInd w:val="0"/>
        <w:contextualSpacing/>
        <w:rPr>
          <w:rFonts w:eastAsia="Times New Roman"/>
        </w:rPr>
      </w:pPr>
    </w:p>
    <w:p>
      <w:pPr>
        <w:widowControl w:val="0"/>
        <w:tabs>
          <w:tab w:val="left" w:pos="851"/>
          <w:tab w:val="left" w:pos="1276"/>
        </w:tabs>
        <w:ind w:right="114"/>
        <w:rPr>
          <w:rFonts w:eastAsia="Times New Roman"/>
        </w:rPr>
      </w:pPr>
      <w:r>
        <w:rPr>
          <w:rFonts w:eastAsia="Times New Roman"/>
        </w:rPr>
        <w:t>В комплект поставки приводов должен входить механический индикатор положения.</w:t>
      </w:r>
    </w:p>
    <w:p>
      <w:pPr>
        <w:tabs>
          <w:tab w:val="left" w:pos="993"/>
          <w:tab w:val="left" w:pos="1276"/>
        </w:tabs>
        <w:autoSpaceDE w:val="0"/>
        <w:autoSpaceDN w:val="0"/>
        <w:adjustRightInd w:val="0"/>
        <w:contextualSpacing/>
        <w:rPr>
          <w:rFonts w:eastAsia="Times New Roman"/>
        </w:rPr>
      </w:pPr>
    </w:p>
    <w:p>
      <w:pPr>
        <w:numPr>
          <w:ilvl w:val="2"/>
          <w:numId w:val="0"/>
        </w:numPr>
        <w:tabs>
          <w:tab w:val="left" w:pos="1276"/>
        </w:tabs>
        <w:ind w:right="-1"/>
        <w:contextualSpacing/>
        <w:rPr>
          <w:rFonts w:eastAsia="Times New Roman"/>
        </w:rPr>
      </w:pPr>
      <w:r>
        <w:rPr>
          <w:rFonts w:eastAsia="Times New Roman"/>
        </w:rPr>
        <w:t>Механический редуктор должен находиться в герметичном корпусе, внутренние детали должны быть смазаны консистентной смазкой или залиты маслом в зависимости от конструкции.</w:t>
      </w:r>
    </w:p>
    <w:p>
      <w:pPr>
        <w:numPr>
          <w:ilvl w:val="2"/>
          <w:numId w:val="0"/>
        </w:numPr>
        <w:tabs>
          <w:tab w:val="left" w:pos="1276"/>
        </w:tabs>
        <w:ind w:right="108"/>
        <w:contextualSpacing/>
        <w:rPr>
          <w:rFonts w:eastAsia="Times New Roman"/>
        </w:rPr>
      </w:pPr>
    </w:p>
    <w:p>
      <w:pPr>
        <w:numPr>
          <w:ilvl w:val="2"/>
          <w:numId w:val="0"/>
        </w:numPr>
        <w:tabs>
          <w:tab w:val="left" w:pos="1276"/>
        </w:tabs>
        <w:ind w:right="-1"/>
        <w:contextualSpacing/>
        <w:rPr>
          <w:rFonts w:eastAsia="PMingLiU"/>
          <w:lang w:eastAsia="en-US"/>
        </w:rPr>
      </w:pPr>
      <w:r>
        <w:rPr>
          <w:rFonts w:eastAsia="Times New Roman"/>
        </w:rPr>
        <w:t>ПП крана шарового должен работать от давления сжатого воздуха КИП.</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 xml:space="preserve">ПП должен обеспечивать открытие и закрытие, при давлении воздуха в диапазоне от </w:t>
      </w:r>
      <w:r>
        <w:rPr>
          <w:rFonts w:eastAsia="PMingLiU"/>
          <w:lang w:eastAsia="en-US"/>
        </w:rPr>
        <w:br/>
        <w:t>0,3-0,6 МПа.</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Все внутренние поверхности цилиндров штоков ПП должны быть износостойким.</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Сопряженные поверхности поршня с цилиндром и сопряженные поверхности втулки сальника со штоком должны быть выполнены из антифрикционного материала.</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Конструкция уплотнительных элементов на поршне и в сальнике должна соответствовать максимальному давлению воздуха.</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Трубная обвязка ПП должна выполняться и монтироваться на приводе в заводских условиях.</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Трубопроводы пневмосистемы должны быть изготовлены из нержавеющей стали. Соединение трубопроводов должно выполняться при помощи ниппельного соединения или соединения с врезающимся кольцом.</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Приводы с пневматической системой управления должны иметь устройства регулировки времени перестановки крана и устройства ограничения и регулировки конечных положений запирающего элемента.</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Газовые полости привода должны находиться под давлением воздуха только во время перестановки затвора, по окончании поворота затвора узел управления должен обеспечить автоматический сброс давления из газовой полости. Сброс давления «отработавшего» воздуха должен осуществляться через специальное устройство, обеспечивающее безопасность обслуживающего персонала при управлении приводом.</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08"/>
        <w:contextualSpacing/>
        <w:rPr>
          <w:rFonts w:eastAsia="PMingLiU"/>
          <w:lang w:eastAsia="en-US"/>
        </w:rPr>
      </w:pPr>
      <w:r>
        <w:rPr>
          <w:rFonts w:eastAsia="PMingLiU"/>
          <w:lang w:eastAsia="en-US"/>
        </w:rPr>
        <w:t>Пневмосистема пневмопривода должна включать:</w:t>
      </w:r>
    </w:p>
    <w:p>
      <w:pPr>
        <w:numPr>
          <w:ilvl w:val="0"/>
          <w:numId w:val="12"/>
        </w:numPr>
        <w:tabs>
          <w:tab w:val="left" w:pos="539"/>
        </w:tabs>
        <w:spacing w:before="120"/>
        <w:ind w:left="538" w:hanging="357"/>
        <w:rPr>
          <w:rFonts w:eastAsia="PMingLiU"/>
        </w:rPr>
      </w:pPr>
      <w:r>
        <w:rPr>
          <w:rFonts w:eastAsia="PMingLiU"/>
        </w:rPr>
        <w:t>фильтр – редуктор с манометром;</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электромагнитный клапан с напряжением питания 24 В;</w:t>
      </w:r>
    </w:p>
    <w:p>
      <w:pPr>
        <w:numPr>
          <w:ilvl w:val="0"/>
          <w:numId w:val="12"/>
        </w:numPr>
        <w:tabs>
          <w:tab w:val="left" w:pos="539"/>
        </w:tabs>
        <w:spacing w:before="120"/>
        <w:ind w:left="538" w:hanging="357"/>
        <w:rPr>
          <w:rFonts w:eastAsia="PMingLiU"/>
        </w:rPr>
      </w:pPr>
      <w:r>
        <w:rPr>
          <w:rFonts w:eastAsia="PMingLiU"/>
        </w:rPr>
        <w:lastRenderedPageBreak/>
        <w:t xml:space="preserve">обжимные фитинги. </w:t>
      </w:r>
    </w:p>
    <w:p>
      <w:pPr>
        <w:numPr>
          <w:ilvl w:val="2"/>
          <w:numId w:val="0"/>
        </w:numPr>
        <w:tabs>
          <w:tab w:val="left" w:pos="1276"/>
        </w:tabs>
        <w:ind w:right="108"/>
        <w:contextualSpacing/>
        <w:rPr>
          <w:rFonts w:eastAsia="Times New Roman"/>
        </w:rPr>
      </w:pPr>
    </w:p>
    <w:p>
      <w:pPr>
        <w:numPr>
          <w:ilvl w:val="2"/>
          <w:numId w:val="0"/>
        </w:numPr>
        <w:tabs>
          <w:tab w:val="left" w:pos="1276"/>
        </w:tabs>
        <w:ind w:right="108"/>
        <w:contextualSpacing/>
        <w:rPr>
          <w:rFonts w:eastAsia="Times New Roman"/>
        </w:rPr>
      </w:pPr>
      <w:r>
        <w:rPr>
          <w:rFonts w:eastAsia="Times New Roman"/>
        </w:rPr>
        <w:t xml:space="preserve">Электрооборудование поставляемое вместе с ПП должно иметь степень защиты не ниже </w:t>
      </w:r>
      <w:r>
        <w:rPr>
          <w:rFonts w:eastAsia="Times New Roman"/>
        </w:rPr>
        <w:br/>
      </w:r>
      <w:r>
        <w:rPr>
          <w:rFonts w:eastAsia="Times New Roman"/>
          <w:lang w:val="en-US"/>
        </w:rPr>
        <w:t>IP</w:t>
      </w:r>
      <w:r>
        <w:rPr>
          <w:rFonts w:eastAsia="Times New Roman"/>
        </w:rPr>
        <w:t xml:space="preserve"> 54.</w:t>
      </w:r>
    </w:p>
    <w:p>
      <w:pPr>
        <w:numPr>
          <w:ilvl w:val="2"/>
          <w:numId w:val="0"/>
        </w:numPr>
        <w:tabs>
          <w:tab w:val="left" w:pos="1276"/>
        </w:tabs>
        <w:ind w:right="-1"/>
        <w:contextualSpacing/>
      </w:pPr>
    </w:p>
    <w:p>
      <w:pPr>
        <w:numPr>
          <w:ilvl w:val="2"/>
          <w:numId w:val="0"/>
        </w:numPr>
        <w:tabs>
          <w:tab w:val="left" w:pos="1276"/>
        </w:tabs>
        <w:ind w:right="-1"/>
        <w:contextualSpacing/>
      </w:pPr>
      <w:r>
        <w:t>В случае применения шарового крана с заданным положением в технологической схеме (нормально-закрытая, нормально-открытая согласно ГОСТ</w:t>
      </w:r>
      <w:r>
        <w:rPr>
          <w:lang w:val="en-US"/>
        </w:rPr>
        <w:t> </w:t>
      </w:r>
      <w:r>
        <w:t>24856), если это предусмотрено проектом, пневмосистема может также включать пневматический аккумулятор емкостью, достаточной для автономного срабатывания пневмопривода в случаях исчезновения сигнала управления, снижения давления управляющей среды и других, предусмотренных проектом.</w:t>
      </w:r>
    </w:p>
    <w:p>
      <w:pPr>
        <w:numPr>
          <w:ilvl w:val="2"/>
          <w:numId w:val="0"/>
        </w:numPr>
        <w:tabs>
          <w:tab w:val="left" w:pos="1276"/>
        </w:tabs>
        <w:ind w:right="108"/>
        <w:contextualSpacing/>
        <w:rPr>
          <w:rFonts w:eastAsia="Times New Roman"/>
        </w:rPr>
      </w:pPr>
    </w:p>
    <w:p>
      <w:pPr>
        <w:numPr>
          <w:ilvl w:val="2"/>
          <w:numId w:val="0"/>
        </w:numPr>
        <w:tabs>
          <w:tab w:val="left" w:pos="1276"/>
        </w:tabs>
        <w:ind w:right="-1"/>
        <w:contextualSpacing/>
        <w:rPr>
          <w:rFonts w:eastAsia="Times New Roman"/>
        </w:rPr>
      </w:pPr>
      <w:r>
        <w:rPr>
          <w:rFonts w:eastAsia="Times New Roman"/>
        </w:rPr>
        <w:t>Электропневматическая система управления должна обеспечить перестановку пневмоприводом затвора крана шарового при дистанционном управлении, а также сигнализировать на пульт управления о положении затвора крана шарового.</w:t>
      </w:r>
    </w:p>
    <w:p>
      <w:pPr>
        <w:numPr>
          <w:ilvl w:val="2"/>
          <w:numId w:val="0"/>
        </w:numPr>
        <w:tabs>
          <w:tab w:val="left" w:pos="1276"/>
        </w:tabs>
        <w:ind w:right="-1"/>
        <w:contextualSpacing/>
        <w:rPr>
          <w:rFonts w:eastAsia="Times New Roman"/>
        </w:rPr>
      </w:pPr>
    </w:p>
    <w:p>
      <w:pPr>
        <w:numPr>
          <w:ilvl w:val="2"/>
          <w:numId w:val="0"/>
        </w:numPr>
        <w:tabs>
          <w:tab w:val="left" w:pos="1276"/>
        </w:tabs>
        <w:ind w:right="-1"/>
        <w:contextualSpacing/>
        <w:rPr>
          <w:rFonts w:eastAsia="Times New Roman"/>
        </w:rPr>
      </w:pPr>
      <w:r>
        <w:rPr>
          <w:rFonts w:eastAsia="Times New Roman"/>
        </w:rPr>
        <w:t>При дистанционном управлении электрический сигнал должен поступать на один из электропневмоклапанов, соленоид которого откроет клапан, и управляющий воздух поступает в цилиндр привода для перестановки затвора.</w:t>
      </w:r>
    </w:p>
    <w:p>
      <w:pPr>
        <w:numPr>
          <w:ilvl w:val="2"/>
          <w:numId w:val="0"/>
        </w:numPr>
        <w:tabs>
          <w:tab w:val="left" w:pos="1276"/>
        </w:tabs>
        <w:ind w:right="108"/>
        <w:contextualSpacing/>
        <w:rPr>
          <w:rFonts w:eastAsia="Times New Roman"/>
        </w:rPr>
      </w:pPr>
    </w:p>
    <w:p>
      <w:pPr>
        <w:numPr>
          <w:ilvl w:val="2"/>
          <w:numId w:val="0"/>
        </w:numPr>
        <w:tabs>
          <w:tab w:val="left" w:pos="1276"/>
        </w:tabs>
        <w:ind w:right="108"/>
        <w:contextualSpacing/>
        <w:rPr>
          <w:rFonts w:eastAsia="Times New Roman"/>
        </w:rPr>
      </w:pPr>
      <w:r>
        <w:rPr>
          <w:rFonts w:eastAsia="Times New Roman"/>
        </w:rPr>
        <w:t>Требования к электроприводам – по ГОСТ</w:t>
      </w:r>
      <w:r>
        <w:rPr>
          <w:rFonts w:eastAsia="Times New Roman"/>
          <w:lang w:val="en-US"/>
        </w:rPr>
        <w:t> </w:t>
      </w:r>
      <w:r>
        <w:rPr>
          <w:rFonts w:eastAsia="Times New Roman"/>
        </w:rPr>
        <w:t>Р</w:t>
      </w:r>
      <w:r>
        <w:rPr>
          <w:rFonts w:eastAsia="Times New Roman"/>
          <w:lang w:val="en-US"/>
        </w:rPr>
        <w:t> </w:t>
      </w:r>
      <w:r>
        <w:rPr>
          <w:rFonts w:eastAsia="Times New Roman"/>
        </w:rPr>
        <w:t>55511.</w:t>
      </w:r>
    </w:p>
    <w:p>
      <w:pPr>
        <w:rPr>
          <w:rFonts w:eastAsia="PMingLiU"/>
          <w:lang w:eastAsia="en-US"/>
        </w:rPr>
      </w:pPr>
    </w:p>
    <w:p>
      <w:pPr>
        <w:rPr>
          <w:rFonts w:eastAsia="PMingLiU"/>
          <w:lang w:eastAsia="en-US"/>
        </w:rPr>
      </w:pPr>
      <w:r>
        <w:rPr>
          <w:rFonts w:eastAsia="PMingLiU"/>
          <w:lang w:eastAsia="en-US"/>
        </w:rPr>
        <w:t>ЭП крана шарового могут состоять из единого четверть-оборотного ЭП или многооборотного ЭП и четверть-оборотного редуктора.</w:t>
      </w:r>
    </w:p>
    <w:p>
      <w:pPr>
        <w:numPr>
          <w:ilvl w:val="2"/>
          <w:numId w:val="0"/>
        </w:numPr>
        <w:tabs>
          <w:tab w:val="left" w:pos="1276"/>
        </w:tabs>
        <w:ind w:right="108"/>
        <w:contextualSpacing/>
        <w:rPr>
          <w:rFonts w:eastAsia="PMingLiU"/>
          <w:lang w:eastAsia="en-US"/>
        </w:rPr>
      </w:pPr>
    </w:p>
    <w:p>
      <w:pPr>
        <w:numPr>
          <w:ilvl w:val="2"/>
          <w:numId w:val="0"/>
        </w:numPr>
        <w:tabs>
          <w:tab w:val="left" w:pos="1276"/>
        </w:tabs>
        <w:ind w:right="-1"/>
        <w:contextualSpacing/>
        <w:rPr>
          <w:rFonts w:eastAsia="PMingLiU"/>
          <w:lang w:eastAsia="en-US"/>
        </w:rPr>
      </w:pPr>
      <w:r>
        <w:rPr>
          <w:rFonts w:eastAsia="PMingLiU"/>
          <w:lang w:eastAsia="en-US"/>
        </w:rPr>
        <w:t>Максимальный крутящий момент ЭП или исполнительного механизма должен быть не менее чем в 2 раза больше, чем расчетный крутящий момент для перемещения запирающего элемента крана шарового.</w:t>
      </w:r>
    </w:p>
    <w:p>
      <w:pPr>
        <w:numPr>
          <w:ilvl w:val="2"/>
          <w:numId w:val="0"/>
        </w:numPr>
        <w:tabs>
          <w:tab w:val="left" w:pos="1276"/>
        </w:tabs>
        <w:ind w:right="108"/>
        <w:contextualSpacing/>
        <w:rPr>
          <w:rFonts w:eastAsia="PMingLiU"/>
          <w:lang w:eastAsia="en-US"/>
        </w:rPr>
      </w:pPr>
    </w:p>
    <w:p>
      <w:pPr>
        <w:tabs>
          <w:tab w:val="left" w:pos="1276"/>
        </w:tabs>
        <w:rPr>
          <w:rFonts w:eastAsia="PMingLiU"/>
          <w:lang w:eastAsia="en-US"/>
        </w:rPr>
      </w:pPr>
      <w:r>
        <w:rPr>
          <w:rFonts w:eastAsia="PMingLiU"/>
          <w:lang w:eastAsia="en-US"/>
        </w:rPr>
        <w:t>Номинальные параметры питания ЭП от переменного тока (нейтраль – глухозаземленная):</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bookmarkStart w:id="153" w:name="_Toc388348780"/>
      <w:bookmarkStart w:id="154" w:name="_Toc388349857"/>
      <w:bookmarkStart w:id="155" w:name="_Toc388350594"/>
      <w:bookmarkStart w:id="156" w:name="_Toc388351793"/>
      <w:bookmarkStart w:id="157" w:name="_Toc389127255"/>
      <w:bookmarkStart w:id="158" w:name="_Toc389644303"/>
      <w:bookmarkStart w:id="159" w:name="_Toc389655521"/>
      <w:r>
        <w:rPr>
          <w:rFonts w:ascii="Times New Roman" w:eastAsia="PMingLiU" w:hAnsi="Times New Roman"/>
          <w:sz w:val="24"/>
        </w:rPr>
        <w:t>частота 50 Гц</w:t>
      </w:r>
      <w:bookmarkEnd w:id="153"/>
      <w:bookmarkEnd w:id="154"/>
      <w:bookmarkEnd w:id="155"/>
      <w:bookmarkEnd w:id="156"/>
      <w:bookmarkEnd w:id="157"/>
      <w:bookmarkEnd w:id="158"/>
      <w:bookmarkEnd w:id="159"/>
      <w:r>
        <w:rPr>
          <w:rFonts w:ascii="Times New Roman" w:eastAsia="PMingLiU" w:hAnsi="Times New Roman"/>
          <w:sz w:val="24"/>
        </w:rPr>
        <w:t>;</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bookmarkStart w:id="160" w:name="_Toc388348781"/>
      <w:bookmarkStart w:id="161" w:name="_Toc388349858"/>
      <w:bookmarkStart w:id="162" w:name="_Toc388350595"/>
      <w:bookmarkStart w:id="163" w:name="_Toc388351794"/>
      <w:bookmarkStart w:id="164" w:name="_Toc389127256"/>
      <w:bookmarkStart w:id="165" w:name="_Toc389644304"/>
      <w:bookmarkStart w:id="166" w:name="_Toc389655522"/>
      <w:r>
        <w:rPr>
          <w:rFonts w:ascii="Times New Roman" w:eastAsia="PMingLiU" w:hAnsi="Times New Roman"/>
          <w:sz w:val="24"/>
        </w:rPr>
        <w:t>напряжение: однофазной сети 220 В, трехфазной сети 380 В</w:t>
      </w:r>
      <w:bookmarkEnd w:id="160"/>
      <w:bookmarkEnd w:id="161"/>
      <w:bookmarkEnd w:id="162"/>
      <w:bookmarkEnd w:id="163"/>
      <w:bookmarkEnd w:id="164"/>
      <w:bookmarkEnd w:id="165"/>
      <w:bookmarkEnd w:id="166"/>
      <w:r>
        <w:rPr>
          <w:rFonts w:ascii="Times New Roman" w:eastAsia="PMingLiU" w:hAnsi="Times New Roman"/>
          <w:sz w:val="24"/>
        </w:rPr>
        <w:t>.</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Электрические части ЭП выполненные во взрывозащищенном исполнении не ниже класса 1ExdIIBT3 по ГОСТ</w:t>
      </w:r>
      <w:r>
        <w:rPr>
          <w:rFonts w:eastAsia="PMingLiU"/>
          <w:lang w:val="en-US" w:eastAsia="en-US"/>
        </w:rPr>
        <w:t> </w:t>
      </w:r>
      <w:r>
        <w:rPr>
          <w:rFonts w:eastAsia="PMingLiU"/>
          <w:lang w:eastAsia="en-US"/>
        </w:rPr>
        <w:t>Р</w:t>
      </w:r>
      <w:r>
        <w:rPr>
          <w:rFonts w:eastAsia="PMingLiU"/>
          <w:lang w:val="en-US" w:eastAsia="en-US"/>
        </w:rPr>
        <w:t> </w:t>
      </w:r>
      <w:r>
        <w:rPr>
          <w:rFonts w:eastAsia="PMingLiU"/>
          <w:lang w:eastAsia="en-US"/>
        </w:rPr>
        <w:t>30852.0 со степенью защиты оболочки не ниже IP 66 (не ниже IP 55 для приводов, помещенных в герметичном кожухе) по ГОСТ 14254.</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Для сборочных единиц и деталей ЭП, требующих в период эксплуатации смазку, предусмотреть устройства доступа для смазки и контроля привода без демонтажа.</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ЭП должен иметь кнопки местного управления («Открыть», «Закрыть», «Стоп»), местную световую индикацию состояния (закрыто, открыто, в движении, авария/ошибка) и механический индикатор положения.</w:t>
      </w:r>
    </w:p>
    <w:p>
      <w:pPr>
        <w:tabs>
          <w:tab w:val="left" w:pos="1701"/>
        </w:tabs>
        <w:autoSpaceDE w:val="0"/>
        <w:autoSpaceDN w:val="0"/>
        <w:adjustRightInd w:val="0"/>
        <w:contextualSpacing/>
        <w:rPr>
          <w:rFonts w:eastAsia="PMingLiU"/>
          <w:lang w:eastAsia="en-US"/>
        </w:rPr>
      </w:pPr>
    </w:p>
    <w:p>
      <w:r>
        <w:t xml:space="preserve">Дистанционное управление приводами из системы АСУ ТП или системы телемеханики должно осуществляться с использованием аналоговых сигналов (4-20 мА + </w:t>
      </w:r>
      <w:r>
        <w:rPr>
          <w:lang w:val="en-US"/>
        </w:rPr>
        <w:t>HART</w:t>
      </w:r>
      <w:r>
        <w:t>), дискретных сигналов (тип с.к. 24 В, 220 В, сигналы «Открыть», «Закрыть», «Стоп») и цифровых интерфейсов типа RS-485, IEC</w:t>
      </w:r>
      <w:r>
        <w:rPr>
          <w:lang w:val="en-US"/>
        </w:rPr>
        <w:t> </w:t>
      </w:r>
      <w:r>
        <w:t>61158-2 со стандартными протоколами обмена Modbus RTU или Foundation Fieldbus.</w:t>
      </w:r>
    </w:p>
    <w:p/>
    <w:p>
      <w:pPr>
        <w:numPr>
          <w:ilvl w:val="2"/>
          <w:numId w:val="0"/>
        </w:numPr>
        <w:tabs>
          <w:tab w:val="left" w:pos="1276"/>
        </w:tabs>
        <w:ind w:right="-1"/>
        <w:contextualSpacing/>
        <w:rPr>
          <w:rFonts w:eastAsia="PMingLiU"/>
          <w:lang w:eastAsia="en-US"/>
        </w:rPr>
      </w:pPr>
      <w:r>
        <w:lastRenderedPageBreak/>
        <w:t>Электроприводы, задействованные в СПАЗ, должны иметь  приоритетный, по отношению к другим сигналам управления,  сигнал для закрытия (открытия) электропривода, независимо от положения переключателя приводом (местный / дистанционный).</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pPr>
      <w:r>
        <w:t>ЭП должен быть оснащен внутренней резервной батареей питания для сохранения конфигурации, либо иметь энергонезависимую память.</w:t>
      </w:r>
    </w:p>
    <w:p>
      <w:pPr>
        <w:tabs>
          <w:tab w:val="left" w:pos="1701"/>
        </w:tabs>
        <w:autoSpaceDE w:val="0"/>
        <w:autoSpaceDN w:val="0"/>
        <w:adjustRightInd w:val="0"/>
        <w:contextualSpacing/>
      </w:pPr>
    </w:p>
    <w:p>
      <w:pPr>
        <w:tabs>
          <w:tab w:val="left" w:pos="1701"/>
        </w:tabs>
        <w:autoSpaceDE w:val="0"/>
        <w:autoSpaceDN w:val="0"/>
        <w:adjustRightInd w:val="0"/>
        <w:contextualSpacing/>
      </w:pPr>
      <w:r>
        <w:t>ЭП опционально укомплектованные ЖК-дисплеями, должны иметь возможность настройки, конфигурации с кнопок местного управления.</w:t>
      </w:r>
    </w:p>
    <w:p>
      <w:pPr>
        <w:tabs>
          <w:tab w:val="left" w:pos="1701"/>
        </w:tabs>
        <w:autoSpaceDE w:val="0"/>
        <w:autoSpaceDN w:val="0"/>
        <w:adjustRightInd w:val="0"/>
        <w:contextualSpacing/>
        <w:rPr>
          <w:rFonts w:eastAsia="PMingLiU"/>
          <w:lang w:eastAsia="en-US"/>
        </w:rPr>
      </w:pPr>
    </w:p>
    <w:p>
      <w:r>
        <w:t>Электроприводы должны иметь защиту двигателя от перегрева, от короткого замыкания и неправильного чередования фаз.</w:t>
      </w:r>
    </w:p>
    <w:p>
      <w:pPr>
        <w:tabs>
          <w:tab w:val="left" w:pos="1701"/>
        </w:tabs>
        <w:autoSpaceDE w:val="0"/>
        <w:autoSpaceDN w:val="0"/>
        <w:adjustRightInd w:val="0"/>
        <w:contextualSpacing/>
        <w:rPr>
          <w:rFonts w:eastAsia="PMingLiU"/>
          <w:lang w:eastAsia="en-US"/>
        </w:rPr>
      </w:pPr>
    </w:p>
    <w:p>
      <w:pPr>
        <w:pStyle w:val="a7"/>
        <w:widowControl w:val="0"/>
        <w:tabs>
          <w:tab w:val="left" w:pos="851"/>
        </w:tabs>
        <w:spacing w:after="0"/>
        <w:rPr>
          <w:spacing w:val="-1"/>
        </w:rPr>
      </w:pPr>
      <w:r>
        <w:rPr>
          <w:rFonts w:eastAsia="PMingLiU"/>
          <w:lang w:eastAsia="en-US"/>
        </w:rPr>
        <w:t xml:space="preserve">ЭП </w:t>
      </w:r>
      <w:r>
        <w:rPr>
          <w:spacing w:val="-1"/>
        </w:rPr>
        <w:t>должен иметь наружное АКП, выполненное на заводе-изготовителе.</w:t>
      </w:r>
    </w:p>
    <w:p>
      <w:pPr>
        <w:pStyle w:val="S0"/>
        <w:shd w:val="clear" w:color="auto" w:fill="FFFFFF" w:themeFill="background1"/>
      </w:pPr>
    </w:p>
    <w:p>
      <w:pPr>
        <w:pStyle w:val="S0"/>
        <w:shd w:val="clear" w:color="auto" w:fill="FFFFFF" w:themeFill="background1"/>
      </w:pPr>
      <w:r>
        <w:t>В случае, если для обеспечения бесперебойной работы ЭП в условиях низких температур окружающего воздуха необходимо применение встроенного электрообогрева, электропитание греющего элемента должно быть обеспечено без использования дополнительных кабелей и кабельных вводов.</w:t>
      </w:r>
    </w:p>
    <w:p>
      <w:pPr>
        <w:pStyle w:val="S0"/>
        <w:shd w:val="clear" w:color="auto" w:fill="FFFFFF" w:themeFill="background1"/>
      </w:pPr>
    </w:p>
    <w:p>
      <w:pPr>
        <w:pStyle w:val="S0"/>
        <w:shd w:val="clear" w:color="auto" w:fill="FFFFFF" w:themeFill="background1"/>
      </w:pPr>
      <w:r>
        <w:t>ЭП должен быть оснащен внутренней резервной батареей питания для сохранения конфигурации, обеспечения индикации и обновления данных в режиме с отключенным электропитанием.</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ЭП должны обеспечивать:</w:t>
      </w:r>
    </w:p>
    <w:p>
      <w:pPr>
        <w:numPr>
          <w:ilvl w:val="0"/>
          <w:numId w:val="12"/>
        </w:numPr>
        <w:tabs>
          <w:tab w:val="left" w:pos="539"/>
        </w:tabs>
        <w:spacing w:before="120"/>
        <w:ind w:left="538" w:hanging="357"/>
        <w:rPr>
          <w:rFonts w:eastAsia="PMingLiU"/>
        </w:rPr>
      </w:pPr>
      <w:r>
        <w:rPr>
          <w:rFonts w:eastAsia="PMingLiU"/>
        </w:rPr>
        <w:t>перемещение запирающего элемента крана шарового с пульта управления;</w:t>
      </w:r>
    </w:p>
    <w:p>
      <w:pPr>
        <w:numPr>
          <w:ilvl w:val="0"/>
          <w:numId w:val="12"/>
        </w:numPr>
        <w:tabs>
          <w:tab w:val="left" w:pos="539"/>
        </w:tabs>
        <w:spacing w:before="120"/>
        <w:ind w:left="538" w:hanging="357"/>
        <w:rPr>
          <w:rFonts w:eastAsia="PMingLiU"/>
        </w:rPr>
      </w:pPr>
      <w:r>
        <w:rPr>
          <w:rFonts w:eastAsia="PMingLiU"/>
        </w:rPr>
        <w:t>блокировку одновременной работы электропривода и ручного дублера;</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остановку запирающего элемента в любом промежуточном положении нажатием кнопки «СТОП»;</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автоматическое отключение электродвигателя концевыми переключателями при достижении запирающего элемента крана шарового крайних положений;</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автоматическое отключение электродвигателя ограничителями момента при достижении заданного момента на выходном органе привода во время хода на закрытие и открытие;</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световую сигнализацию на пульте управления срабатывания ограничителей момента;</w:t>
      </w:r>
    </w:p>
    <w:p>
      <w:pPr>
        <w:pStyle w:val="affd"/>
        <w:numPr>
          <w:ilvl w:val="0"/>
          <w:numId w:val="42"/>
        </w:numPr>
        <w:tabs>
          <w:tab w:val="left" w:pos="539"/>
        </w:tabs>
        <w:spacing w:before="120" w:line="240" w:lineRule="auto"/>
        <w:ind w:left="538" w:hanging="357"/>
        <w:contextualSpacing w:val="0"/>
        <w:rPr>
          <w:rFonts w:ascii="Times New Roman" w:eastAsia="PMingLiU" w:hAnsi="Times New Roman"/>
          <w:sz w:val="24"/>
        </w:rPr>
      </w:pPr>
      <w:r>
        <w:rPr>
          <w:rFonts w:ascii="Times New Roman" w:eastAsia="PMingLiU" w:hAnsi="Times New Roman"/>
          <w:sz w:val="24"/>
        </w:rPr>
        <w:t>исключение самоперемещение запирающего элемента крана шарового под влиянием среды в трубопроводе и внешних факторов (температура, вибрация, сейсмическое воздействие и т.п.).</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ЭП должен выполнять свои функции при параметрах окружающей среды, при которых происходит эксплуатация крана шарового.</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t>ЭП должны иметь два концевых и два путевых переключателя и переключателя двухстороннего ограничителя момента, которые должны обеспечивать выключение электродвигателя и сигнализацию положения «Закрыто», «Открыто», «Авария». ЭП должны иметь возможность регулировки ограничителя момента, концевых и путевых переключателей раздельно как в стороны закрытия, так в стороны открытия.</w:t>
      </w:r>
    </w:p>
    <w:p>
      <w:pPr>
        <w:tabs>
          <w:tab w:val="left" w:pos="1701"/>
        </w:tabs>
        <w:autoSpaceDE w:val="0"/>
        <w:autoSpaceDN w:val="0"/>
        <w:adjustRightInd w:val="0"/>
        <w:contextualSpacing/>
        <w:rPr>
          <w:rFonts w:eastAsia="PMingLiU"/>
          <w:lang w:eastAsia="en-US"/>
        </w:rPr>
      </w:pPr>
    </w:p>
    <w:p>
      <w:pPr>
        <w:tabs>
          <w:tab w:val="left" w:pos="1701"/>
        </w:tabs>
        <w:autoSpaceDE w:val="0"/>
        <w:autoSpaceDN w:val="0"/>
        <w:adjustRightInd w:val="0"/>
        <w:contextualSpacing/>
        <w:rPr>
          <w:rFonts w:eastAsia="PMingLiU"/>
          <w:lang w:eastAsia="en-US"/>
        </w:rPr>
      </w:pPr>
      <w:r>
        <w:rPr>
          <w:rFonts w:eastAsia="PMingLiU"/>
          <w:lang w:eastAsia="en-US"/>
        </w:rPr>
        <w:lastRenderedPageBreak/>
        <w:t>Должны быть предусмотрены меры, исключающие самопроизвольный повторный запуск электродвигателя и обеспечивающие начало движения запирающего элемента с максимальным моментом привода.</w:t>
      </w:r>
    </w:p>
    <w:p>
      <w:pPr>
        <w:tabs>
          <w:tab w:val="left" w:pos="1701"/>
        </w:tabs>
        <w:autoSpaceDE w:val="0"/>
        <w:autoSpaceDN w:val="0"/>
        <w:adjustRightInd w:val="0"/>
        <w:contextualSpacing/>
        <w:rPr>
          <w:rFonts w:eastAsia="Times New Roman"/>
        </w:rPr>
      </w:pPr>
    </w:p>
    <w:p>
      <w:r>
        <w:t>ТРЕБОВАНИЯ К КАБЕЛЬНЫМ ВВОДАМ.</w:t>
      </w:r>
    </w:p>
    <w:p>
      <w:pPr>
        <w:tabs>
          <w:tab w:val="left" w:pos="1701"/>
        </w:tabs>
        <w:autoSpaceDE w:val="0"/>
        <w:autoSpaceDN w:val="0"/>
        <w:adjustRightInd w:val="0"/>
        <w:contextualSpacing/>
        <w:rPr>
          <w:rFonts w:eastAsia="SimSun"/>
          <w:lang w:eastAsia="zh-CN"/>
        </w:rPr>
      </w:pPr>
    </w:p>
    <w:p>
      <w:pPr>
        <w:tabs>
          <w:tab w:val="left" w:pos="1701"/>
        </w:tabs>
        <w:autoSpaceDE w:val="0"/>
        <w:autoSpaceDN w:val="0"/>
        <w:adjustRightInd w:val="0"/>
        <w:contextualSpacing/>
        <w:rPr>
          <w:rFonts w:eastAsia="SimSun"/>
          <w:lang w:eastAsia="zh-CN"/>
        </w:rPr>
      </w:pPr>
      <w:r>
        <w:rPr>
          <w:rFonts w:eastAsia="SimSun"/>
          <w:lang w:eastAsia="zh-CN"/>
        </w:rPr>
        <w:t>Кабельный ввод осуществляет ввод в электрооборудование одного или нескольких электрических и/или оптических кабелей, чтобы обеспечивалась взрывозащита соответствующего вида.</w:t>
      </w:r>
    </w:p>
    <w:p>
      <w:pPr>
        <w:tabs>
          <w:tab w:val="left" w:pos="1701"/>
        </w:tabs>
        <w:autoSpaceDE w:val="0"/>
        <w:autoSpaceDN w:val="0"/>
        <w:adjustRightInd w:val="0"/>
        <w:contextualSpacing/>
        <w:rPr>
          <w:rFonts w:eastAsia="SimSun"/>
          <w:lang w:eastAsia="zh-CN"/>
        </w:rPr>
      </w:pPr>
    </w:p>
    <w:p>
      <w:pPr>
        <w:tabs>
          <w:tab w:val="left" w:pos="1701"/>
        </w:tabs>
        <w:autoSpaceDE w:val="0"/>
        <w:autoSpaceDN w:val="0"/>
        <w:adjustRightInd w:val="0"/>
        <w:contextualSpacing/>
        <w:rPr>
          <w:rFonts w:eastAsia="SimSun"/>
          <w:lang w:eastAsia="zh-CN"/>
        </w:rPr>
      </w:pPr>
      <w:r>
        <w:rPr>
          <w:rFonts w:eastAsia="SimSun"/>
          <w:lang w:eastAsia="zh-CN"/>
        </w:rPr>
        <w:t xml:space="preserve">Для обеспечения требуемого вида взрывозащиты кабельные вводы должны быть сертифицированы и иметь уровень взрывозащиты, соответствующий корпусу и блоку электроники электропривода. </w:t>
      </w:r>
    </w:p>
    <w:p>
      <w:pPr>
        <w:tabs>
          <w:tab w:val="left" w:pos="1701"/>
        </w:tabs>
        <w:autoSpaceDE w:val="0"/>
        <w:autoSpaceDN w:val="0"/>
        <w:adjustRightInd w:val="0"/>
        <w:contextualSpacing/>
        <w:rPr>
          <w:rFonts w:eastAsia="SimSun"/>
          <w:lang w:eastAsia="zh-CN"/>
        </w:rPr>
      </w:pPr>
    </w:p>
    <w:p>
      <w:pPr>
        <w:tabs>
          <w:tab w:val="left" w:pos="1701"/>
        </w:tabs>
        <w:autoSpaceDE w:val="0"/>
        <w:autoSpaceDN w:val="0"/>
        <w:adjustRightInd w:val="0"/>
        <w:contextualSpacing/>
        <w:rPr>
          <w:rFonts w:eastAsia="SimSun"/>
          <w:lang w:eastAsia="zh-CN"/>
        </w:rPr>
      </w:pPr>
      <w:r>
        <w:rPr>
          <w:rFonts w:eastAsia="SimSun"/>
          <w:lang w:eastAsia="zh-CN"/>
        </w:rPr>
        <w:t>Каждый ЭП должен быть укомплектован тремя кабельными вводами и одной заглушкой для неиспользуемого кабельного ввода.</w:t>
      </w:r>
    </w:p>
    <w:p>
      <w:pPr>
        <w:tabs>
          <w:tab w:val="left" w:pos="1701"/>
        </w:tabs>
        <w:autoSpaceDE w:val="0"/>
        <w:autoSpaceDN w:val="0"/>
        <w:adjustRightInd w:val="0"/>
        <w:contextualSpacing/>
        <w:rPr>
          <w:rFonts w:eastAsia="SimSun"/>
          <w:lang w:eastAsia="zh-CN"/>
        </w:rPr>
      </w:pPr>
    </w:p>
    <w:p>
      <w:pPr>
        <w:tabs>
          <w:tab w:val="left" w:pos="1701"/>
        </w:tabs>
        <w:autoSpaceDE w:val="0"/>
        <w:autoSpaceDN w:val="0"/>
        <w:adjustRightInd w:val="0"/>
        <w:contextualSpacing/>
        <w:rPr>
          <w:rFonts w:eastAsia="SimSun"/>
          <w:lang w:eastAsia="zh-CN"/>
        </w:rPr>
      </w:pPr>
      <w:r>
        <w:rPr>
          <w:rFonts w:eastAsia="SimSun"/>
          <w:lang w:eastAsia="zh-CN"/>
        </w:rPr>
        <w:t xml:space="preserve">Ввод контрольных кабелей </w:t>
      </w:r>
      <w:r>
        <w:rPr>
          <w:rFonts w:eastAsia="Times New Roman"/>
        </w:rPr>
        <w:t>и интерфейсных кабелей для ЭП</w:t>
      </w:r>
      <w:r>
        <w:rPr>
          <w:rFonts w:eastAsia="SimSun"/>
          <w:lang w:eastAsia="zh-CN"/>
        </w:rPr>
        <w:t xml:space="preserve"> должен быть выполнен кабельными вводами для небронированного кабеля с фитингом для металлорукава.</w:t>
      </w:r>
    </w:p>
    <w:p>
      <w:pPr>
        <w:tabs>
          <w:tab w:val="left" w:pos="1701"/>
        </w:tabs>
        <w:autoSpaceDE w:val="0"/>
        <w:autoSpaceDN w:val="0"/>
        <w:adjustRightInd w:val="0"/>
        <w:contextualSpacing/>
        <w:rPr>
          <w:rFonts w:eastAsia="SimSun"/>
          <w:lang w:eastAsia="zh-CN"/>
        </w:rPr>
      </w:pPr>
    </w:p>
    <w:p>
      <w:pPr>
        <w:tabs>
          <w:tab w:val="left" w:pos="1701"/>
        </w:tabs>
        <w:autoSpaceDE w:val="0"/>
        <w:autoSpaceDN w:val="0"/>
        <w:adjustRightInd w:val="0"/>
        <w:contextualSpacing/>
        <w:rPr>
          <w:rFonts w:eastAsia="SimSun"/>
          <w:lang w:eastAsia="zh-CN"/>
        </w:rPr>
      </w:pPr>
      <w:r>
        <w:rPr>
          <w:rFonts w:eastAsia="SimSun"/>
          <w:lang w:eastAsia="zh-CN"/>
        </w:rPr>
        <w:t>Кабельные вводы для ЭП должны обеспечивать уплотнение кабелей следующих диаметров:</w:t>
      </w:r>
    </w:p>
    <w:p>
      <w:pPr>
        <w:numPr>
          <w:ilvl w:val="0"/>
          <w:numId w:val="12"/>
        </w:numPr>
        <w:tabs>
          <w:tab w:val="left" w:pos="539"/>
        </w:tabs>
        <w:spacing w:before="120"/>
        <w:ind w:left="538" w:hanging="357"/>
        <w:rPr>
          <w:rFonts w:eastAsia="Times New Roman"/>
        </w:rPr>
      </w:pPr>
      <w:r>
        <w:rPr>
          <w:rFonts w:eastAsia="Times New Roman"/>
        </w:rPr>
        <w:t>КВ1 – для ввода силового кабеля электропитания электропривода. Диаметр обжимаемого кабеля 15-25 мм.</w:t>
      </w:r>
    </w:p>
    <w:p>
      <w:pPr>
        <w:numPr>
          <w:ilvl w:val="0"/>
          <w:numId w:val="12"/>
        </w:numPr>
        <w:tabs>
          <w:tab w:val="left" w:pos="539"/>
        </w:tabs>
        <w:spacing w:before="120"/>
        <w:ind w:left="538" w:hanging="357"/>
        <w:rPr>
          <w:rFonts w:eastAsia="Times New Roman"/>
        </w:rPr>
      </w:pPr>
      <w:r>
        <w:rPr>
          <w:rFonts w:eastAsia="Times New Roman"/>
        </w:rPr>
        <w:t>КВ 2, КВ3 – для ввода контрольных и интерфейсных кабелей. Диаметр обжимаемого кабеля 6-18 мм.</w:t>
      </w:r>
    </w:p>
    <w:p/>
    <w:p>
      <w:pPr>
        <w:widowControl w:val="0"/>
        <w:rPr>
          <w:rFonts w:eastAsia="Times New Roman"/>
        </w:rPr>
      </w:pPr>
      <w:r>
        <w:rPr>
          <w:rFonts w:eastAsia="Times New Roman"/>
        </w:rPr>
        <w:t>Электромагнитные клапаны и сигнализаторы конечных положений для ПП должны комплектоваться кабельными вводами с фитингом для металлорукава. Диаметр обжимаемого кабеля 6-18 мм.</w:t>
      </w:r>
    </w:p>
    <w:p>
      <w:pPr>
        <w:tabs>
          <w:tab w:val="left" w:pos="1701"/>
        </w:tabs>
        <w:autoSpaceDE w:val="0"/>
        <w:autoSpaceDN w:val="0"/>
        <w:adjustRightInd w:val="0"/>
        <w:contextualSpacing/>
        <w:rPr>
          <w:rFonts w:eastAsia="Times New Roman"/>
        </w:rPr>
      </w:pPr>
    </w:p>
    <w:p>
      <w:pPr>
        <w:tabs>
          <w:tab w:val="left" w:pos="1701"/>
        </w:tabs>
        <w:autoSpaceDE w:val="0"/>
        <w:autoSpaceDN w:val="0"/>
        <w:adjustRightInd w:val="0"/>
        <w:contextualSpacing/>
        <w:rPr>
          <w:rFonts w:eastAsia="Times New Roman"/>
        </w:rPr>
      </w:pPr>
    </w:p>
    <w:p>
      <w:pPr>
        <w:pStyle w:val="S30"/>
      </w:pPr>
      <w:bookmarkStart w:id="167" w:name="_Toc392752845"/>
      <w:bookmarkStart w:id="168" w:name="_Toc404615322"/>
      <w:bookmarkStart w:id="169" w:name="_Toc481662387"/>
      <w:bookmarkStart w:id="170" w:name="_Toc486233279"/>
      <w:bookmarkStart w:id="171" w:name="_Toc514169526"/>
      <w:r>
        <w:t>4.3.15.</w:t>
      </w:r>
      <w:r>
        <w:tab/>
        <w:t>ТРЕБОВАНИЯ К ВРЕМЕНИ «ОТКРЫТИЯ/ЗАКРЫТИЯ»</w:t>
      </w:r>
      <w:bookmarkEnd w:id="167"/>
      <w:bookmarkEnd w:id="168"/>
      <w:bookmarkEnd w:id="169"/>
      <w:bookmarkEnd w:id="170"/>
      <w:bookmarkEnd w:id="171"/>
    </w:p>
    <w:p>
      <w:pPr>
        <w:pStyle w:val="S0"/>
        <w:rPr>
          <w:lang w:eastAsia="en-US"/>
        </w:rPr>
      </w:pPr>
    </w:p>
    <w:p>
      <w:pPr>
        <w:pStyle w:val="S0"/>
        <w:rPr>
          <w:lang w:eastAsia="en-US"/>
        </w:rPr>
      </w:pPr>
      <w:r>
        <w:rPr>
          <w:lang w:eastAsia="en-US"/>
        </w:rPr>
        <w:t>Для быстродействующих кранов шаровых, задействованных в системе ПАЗ, время перемещения запирающего элемента кранов шаровых из положения «открыто/закрыто» не должно превышать 12 секунд.</w:t>
      </w:r>
    </w:p>
    <w:p>
      <w:pPr>
        <w:pStyle w:val="S0"/>
      </w:pPr>
    </w:p>
    <w:p>
      <w:pPr>
        <w:pStyle w:val="S0"/>
      </w:pPr>
      <w:r>
        <w:t>ЭП и ПП, задействованные в системе ПАЗ, должны иметь сертификаты с уровнем полноты безопасности не ниже SIL2.</w:t>
      </w:r>
    </w:p>
    <w:p>
      <w:pPr>
        <w:pStyle w:val="S0"/>
        <w:rPr>
          <w:lang w:eastAsia="en-US"/>
        </w:rPr>
      </w:pPr>
    </w:p>
    <w:p>
      <w:pPr>
        <w:rPr>
          <w:rFonts w:eastAsia="PMingLiU"/>
          <w:spacing w:val="-1"/>
          <w:szCs w:val="22"/>
          <w:lang w:eastAsia="en-US"/>
        </w:rPr>
      </w:pPr>
      <w:r>
        <w:rPr>
          <w:lang w:eastAsia="en-US"/>
        </w:rPr>
        <w:t xml:space="preserve">Для остальных типов кранов шаровых, где не требуется быстродействие, не задействованных в системе ПАЗ, рекомендуемое время перемещения запирающего элемента кранов шаровых из положения «открыто/закрыто» не должно превышать приведенных в </w:t>
      </w:r>
      <w:r>
        <w:rPr>
          <w:rFonts w:eastAsia="PMingLiU"/>
          <w:spacing w:val="-1"/>
          <w:szCs w:val="22"/>
          <w:lang w:eastAsia="en-US"/>
        </w:rPr>
        <w:t>Таблице 23.</w:t>
      </w:r>
    </w:p>
    <w:p>
      <w:pPr>
        <w:rPr>
          <w:rFonts w:eastAsia="PMingLiU"/>
          <w:spacing w:val="-1"/>
          <w:szCs w:val="22"/>
          <w:lang w:eastAsia="en-US"/>
        </w:rPr>
      </w:pPr>
    </w:p>
    <w:p>
      <w:pPr>
        <w:keepNext/>
        <w:jc w:val="right"/>
        <w:rPr>
          <w:rFonts w:ascii="Arial" w:eastAsia="Times New Roman" w:hAnsi="Arial"/>
          <w:b/>
          <w:sz w:val="20"/>
        </w:rPr>
      </w:pPr>
      <w:r>
        <w:rPr>
          <w:rFonts w:ascii="Arial" w:eastAsia="Times New Roman" w:hAnsi="Arial"/>
          <w:b/>
          <w:sz w:val="20"/>
        </w:rPr>
        <w:lastRenderedPageBreak/>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23</w:t>
      </w:r>
      <w:r>
        <w:rPr>
          <w:rFonts w:ascii="Arial" w:eastAsia="Times New Roman" w:hAnsi="Arial"/>
          <w:b/>
          <w:sz w:val="20"/>
        </w:rPr>
        <w:fldChar w:fldCharType="end"/>
      </w:r>
    </w:p>
    <w:p>
      <w:pPr>
        <w:keepNext/>
        <w:spacing w:after="60"/>
        <w:jc w:val="right"/>
        <w:rPr>
          <w:rFonts w:ascii="Arial" w:eastAsia="Times New Roman" w:hAnsi="Arial"/>
          <w:b/>
          <w:sz w:val="20"/>
        </w:rPr>
      </w:pPr>
      <w:r>
        <w:rPr>
          <w:rFonts w:ascii="Arial" w:eastAsia="TimesNewRoman" w:hAnsi="Arial"/>
          <w:b/>
          <w:sz w:val="20"/>
        </w:rPr>
        <w:t>Время перемещения запирающего элемента крана шарового из положения</w:t>
      </w:r>
      <w:r>
        <w:rPr>
          <w:rFonts w:ascii="Arial" w:eastAsia="TimesNewRoman" w:hAnsi="Arial"/>
          <w:b/>
          <w:sz w:val="20"/>
        </w:rPr>
        <w:br/>
        <w:t xml:space="preserve">«открыто/закрыто», </w:t>
      </w:r>
      <w:r>
        <w:rPr>
          <w:rFonts w:ascii="Arial" w:eastAsia="Times New Roman" w:hAnsi="Arial"/>
          <w:b/>
          <w:sz w:val="20"/>
        </w:rPr>
        <w:t>в зависимости от величины DN</w:t>
      </w:r>
    </w:p>
    <w:tbl>
      <w:tblPr>
        <w:tblStyle w:val="aff6"/>
        <w:tblW w:w="5000" w:type="pct"/>
        <w:tblLayout w:type="fixed"/>
        <w:tblLook w:val="04A0" w:firstRow="1" w:lastRow="0" w:firstColumn="1" w:lastColumn="0" w:noHBand="0" w:noVBand="1"/>
      </w:tblPr>
      <w:tblGrid>
        <w:gridCol w:w="2240"/>
        <w:gridCol w:w="586"/>
        <w:gridCol w:w="586"/>
        <w:gridCol w:w="586"/>
        <w:gridCol w:w="586"/>
        <w:gridCol w:w="586"/>
        <w:gridCol w:w="586"/>
        <w:gridCol w:w="586"/>
        <w:gridCol w:w="586"/>
        <w:gridCol w:w="586"/>
        <w:gridCol w:w="585"/>
        <w:gridCol w:w="585"/>
        <w:gridCol w:w="585"/>
        <w:gridCol w:w="585"/>
      </w:tblGrid>
      <w:tr>
        <w:trPr>
          <w:trHeight w:val="397"/>
          <w:tblHeader/>
        </w:trPr>
        <w:tc>
          <w:tcPr>
            <w:tcW w:w="573"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Наименнование</w:t>
            </w:r>
          </w:p>
        </w:tc>
        <w:tc>
          <w:tcPr>
            <w:tcW w:w="150" w:type="pct"/>
            <w:gridSpan w:val="13"/>
            <w:tcBorders>
              <w:top w:val="single" w:sz="12" w:space="0" w:color="auto"/>
              <w:left w:val="single" w:sz="6" w:space="0" w:color="auto"/>
              <w:bottom w:val="single" w:sz="6" w:space="0" w:color="auto"/>
              <w:right w:val="single" w:sz="12" w:space="0" w:color="auto"/>
            </w:tcBorders>
            <w:shd w:val="clear" w:color="auto" w:fill="FFD200"/>
            <w:vAlign w:val="center"/>
          </w:tcPr>
          <w:p>
            <w:pPr>
              <w:keepNext/>
              <w:jc w:val="center"/>
              <w:rPr>
                <w:rFonts w:eastAsia="Times New Roman"/>
              </w:rPr>
            </w:pPr>
            <w:r>
              <w:rPr>
                <w:rFonts w:ascii="Arial" w:eastAsia="TimesNewRoman" w:hAnsi="Arial"/>
                <w:b/>
                <w:caps/>
                <w:sz w:val="16"/>
                <w:szCs w:val="16"/>
              </w:rPr>
              <w:t xml:space="preserve">ВРЕМЯ ПЕРЕМЕЩЕНИЯ ЗАПИРАЮЩЕГО элемента (ЗАТВОРА), не более, для </w:t>
            </w:r>
            <w:r>
              <w:rPr>
                <w:rFonts w:ascii="Arial" w:eastAsia="TimesNewRoman" w:hAnsi="Arial"/>
                <w:b/>
                <w:caps/>
                <w:sz w:val="16"/>
                <w:szCs w:val="16"/>
                <w:lang w:val="en-US"/>
              </w:rPr>
              <w:t>DN</w:t>
            </w:r>
            <w:r>
              <w:rPr>
                <w:rFonts w:ascii="Arial" w:eastAsia="TimesNewRoman" w:hAnsi="Arial"/>
                <w:b/>
                <w:caps/>
                <w:sz w:val="16"/>
                <w:szCs w:val="16"/>
              </w:rPr>
              <w:t>, мм</w:t>
            </w:r>
          </w:p>
        </w:tc>
      </w:tr>
      <w:tr>
        <w:trPr>
          <w:trHeight w:val="397"/>
          <w:tblHeader/>
        </w:trPr>
        <w:tc>
          <w:tcPr>
            <w:tcW w:w="573"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eastAsia="Times New Roman"/>
              </w:rPr>
            </w:pP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cs="Arial"/>
                <w:b/>
                <w:caps/>
                <w:sz w:val="14"/>
                <w:szCs w:val="14"/>
              </w:rPr>
              <w:t>≤</w:t>
            </w:r>
            <w:r>
              <w:rPr>
                <w:rFonts w:ascii="Arial" w:eastAsia="TimesNewRoman" w:hAnsi="Arial"/>
                <w:b/>
                <w:caps/>
                <w:sz w:val="14"/>
                <w:szCs w:val="14"/>
              </w:rPr>
              <w:t>100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150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200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250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300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350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400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500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600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700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800</w:t>
            </w:r>
          </w:p>
        </w:tc>
        <w:tc>
          <w:tcPr>
            <w:tcW w:w="150" w:type="pct"/>
            <w:tcBorders>
              <w:top w:val="single" w:sz="6"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1000</w:t>
            </w:r>
          </w:p>
        </w:tc>
        <w:tc>
          <w:tcPr>
            <w:tcW w:w="150" w:type="pct"/>
            <w:tcBorders>
              <w:top w:val="single" w:sz="6" w:space="0" w:color="auto"/>
              <w:left w:val="single" w:sz="6" w:space="0" w:color="auto"/>
              <w:bottom w:val="single" w:sz="12" w:space="0" w:color="auto"/>
              <w:right w:val="single" w:sz="12" w:space="0" w:color="auto"/>
            </w:tcBorders>
            <w:shd w:val="clear" w:color="auto" w:fill="FFD200"/>
            <w:vAlign w:val="center"/>
          </w:tcPr>
          <w:p>
            <w:pPr>
              <w:keepNext/>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1200</w:t>
            </w:r>
          </w:p>
        </w:tc>
      </w:tr>
      <w:tr>
        <w:trPr>
          <w:trHeight w:val="255"/>
          <w:tblHeader/>
        </w:trPr>
        <w:tc>
          <w:tcPr>
            <w:tcW w:w="573" w:type="pct"/>
            <w:tcBorders>
              <w:top w:val="single" w:sz="12" w:space="0" w:color="auto"/>
              <w:left w:val="single" w:sz="12"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2</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3</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4</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5</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6</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7</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8</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9</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10</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11</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12</w:t>
            </w:r>
          </w:p>
        </w:tc>
        <w:tc>
          <w:tcPr>
            <w:tcW w:w="150"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13</w:t>
            </w:r>
          </w:p>
        </w:tc>
        <w:tc>
          <w:tcPr>
            <w:tcW w:w="150" w:type="pct"/>
            <w:tcBorders>
              <w:top w:val="single" w:sz="12" w:space="0" w:color="auto"/>
              <w:left w:val="single" w:sz="6" w:space="0" w:color="auto"/>
              <w:bottom w:val="single" w:sz="12" w:space="0" w:color="auto"/>
              <w:right w:val="single" w:sz="12" w:space="0" w:color="auto"/>
            </w:tcBorders>
            <w:shd w:val="clear" w:color="auto" w:fill="FFD200"/>
            <w:vAlign w:val="center"/>
          </w:tcPr>
          <w:p>
            <w:pPr>
              <w:keepNext/>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14</w:t>
            </w:r>
          </w:p>
        </w:tc>
      </w:tr>
      <w:tr>
        <w:tc>
          <w:tcPr>
            <w:tcW w:w="573" w:type="pct"/>
            <w:tcBorders>
              <w:top w:val="single" w:sz="12" w:space="0" w:color="auto"/>
              <w:left w:val="single" w:sz="12"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Время перестановки, не более (секунд)</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6</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9</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12</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15</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18</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21</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24</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30</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36</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42</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48</w:t>
            </w:r>
          </w:p>
        </w:tc>
        <w:tc>
          <w:tcPr>
            <w:tcW w:w="150" w:type="pct"/>
            <w:tcBorders>
              <w:top w:val="single" w:sz="12"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60</w:t>
            </w:r>
          </w:p>
        </w:tc>
        <w:tc>
          <w:tcPr>
            <w:tcW w:w="150" w:type="pct"/>
            <w:tcBorders>
              <w:top w:val="single" w:sz="12" w:space="0" w:color="auto"/>
              <w:left w:val="single" w:sz="6" w:space="0" w:color="auto"/>
              <w:bottom w:val="single" w:sz="12" w:space="0" w:color="auto"/>
              <w:right w:val="single" w:sz="12" w:space="0" w:color="auto"/>
            </w:tcBorders>
          </w:tcPr>
          <w:p>
            <w:pPr>
              <w:spacing w:before="100" w:beforeAutospacing="1" w:after="100" w:afterAutospacing="1"/>
              <w:jc w:val="left"/>
              <w:rPr>
                <w:rFonts w:eastAsia="Times New Roman"/>
                <w:sz w:val="20"/>
                <w:szCs w:val="20"/>
              </w:rPr>
            </w:pPr>
            <w:r>
              <w:rPr>
                <w:rFonts w:eastAsia="Times New Roman"/>
                <w:sz w:val="20"/>
                <w:szCs w:val="20"/>
              </w:rPr>
              <w:t>72</w:t>
            </w:r>
          </w:p>
        </w:tc>
      </w:tr>
    </w:tbl>
    <w:p>
      <w:pPr>
        <w:pStyle w:val="S0"/>
      </w:pPr>
    </w:p>
    <w:p>
      <w:pPr>
        <w:pStyle w:val="affd"/>
        <w:tabs>
          <w:tab w:val="left" w:pos="993"/>
        </w:tabs>
        <w:autoSpaceDE w:val="0"/>
        <w:autoSpaceDN w:val="0"/>
        <w:adjustRightInd w:val="0"/>
        <w:spacing w:line="240" w:lineRule="auto"/>
        <w:ind w:left="567" w:firstLine="0"/>
        <w:contextualSpacing w:val="0"/>
        <w:rPr>
          <w:rFonts w:ascii="Times New Roman" w:hAnsi="Times New Roman"/>
          <w:i/>
          <w:sz w:val="24"/>
          <w:u w:val="single"/>
        </w:rPr>
      </w:pPr>
      <w:r>
        <w:rPr>
          <w:rFonts w:ascii="Times New Roman" w:hAnsi="Times New Roman"/>
          <w:i/>
          <w:sz w:val="24"/>
          <w:u w:val="single"/>
        </w:rPr>
        <w:t>Примечание:</w:t>
      </w:r>
      <w:r>
        <w:rPr>
          <w:rFonts w:ascii="Times New Roman" w:hAnsi="Times New Roman"/>
          <w:i/>
          <w:sz w:val="24"/>
        </w:rPr>
        <w:t xml:space="preserve"> Время открытия и закрытия приведено для температуры воздуха 0°С. При других температурах воздуха время может изменяться не более чем на 20 %.</w:t>
      </w:r>
    </w:p>
    <w:p>
      <w:pPr>
        <w:tabs>
          <w:tab w:val="left" w:pos="993"/>
          <w:tab w:val="left" w:pos="1476"/>
        </w:tabs>
        <w:autoSpaceDE w:val="0"/>
        <w:autoSpaceDN w:val="0"/>
        <w:adjustRightInd w:val="0"/>
        <w:rPr>
          <w:rFonts w:eastAsia="Times New Roman"/>
        </w:rPr>
      </w:pPr>
    </w:p>
    <w:p>
      <w:pPr>
        <w:widowControl w:val="0"/>
        <w:tabs>
          <w:tab w:val="left" w:pos="993"/>
        </w:tabs>
        <w:ind w:right="-1"/>
        <w:rPr>
          <w:rFonts w:eastAsia="PMingLiU"/>
          <w:spacing w:val="-1"/>
          <w:szCs w:val="22"/>
          <w:lang w:eastAsia="en-US"/>
        </w:rPr>
      </w:pPr>
      <w:r>
        <w:rPr>
          <w:rFonts w:eastAsia="PMingLiU"/>
          <w:spacing w:val="-1"/>
          <w:szCs w:val="22"/>
          <w:lang w:eastAsia="en-US"/>
        </w:rPr>
        <w:t>Время перестановки крана при помощи ручного привода или ручного дублера должно соответствовать Таблице 24.</w:t>
      </w:r>
    </w:p>
    <w:p>
      <w:pPr>
        <w:pStyle w:val="S0"/>
      </w:pPr>
    </w:p>
    <w:p>
      <w:pPr>
        <w:keepNext/>
        <w:widowControl w:val="0"/>
        <w:jc w:val="right"/>
        <w:rPr>
          <w:rFonts w:ascii="Arial" w:eastAsia="Times New Roman" w:hAnsi="Arial" w:cs="Arial"/>
          <w:b/>
          <w:sz w:val="20"/>
          <w:szCs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24</w:t>
      </w:r>
      <w:r>
        <w:rPr>
          <w:rFonts w:ascii="Arial" w:eastAsia="Times New Roman" w:hAnsi="Arial"/>
          <w:b/>
          <w:noProof/>
          <w:sz w:val="20"/>
        </w:rPr>
        <w:fldChar w:fldCharType="end"/>
      </w:r>
    </w:p>
    <w:p>
      <w:pPr>
        <w:keepNext/>
        <w:widowControl w:val="0"/>
        <w:spacing w:after="60"/>
        <w:jc w:val="right"/>
        <w:rPr>
          <w:rFonts w:ascii="Arial" w:eastAsia="Times New Roman" w:hAnsi="Arial"/>
          <w:b/>
          <w:sz w:val="20"/>
        </w:rPr>
      </w:pPr>
      <w:r>
        <w:rPr>
          <w:rFonts w:ascii="Arial" w:eastAsia="TimesNewRoman" w:hAnsi="Arial"/>
          <w:b/>
          <w:sz w:val="20"/>
        </w:rPr>
        <w:t>Время перестановки крана при помощи ручного привода или ручного дублера</w:t>
      </w:r>
    </w:p>
    <w:tbl>
      <w:tblPr>
        <w:tblStyle w:val="aff6"/>
        <w:tblW w:w="5000" w:type="pct"/>
        <w:tblLayout w:type="fixed"/>
        <w:tblLook w:val="04A0" w:firstRow="1" w:lastRow="0" w:firstColumn="1" w:lastColumn="0" w:noHBand="0" w:noVBand="1"/>
      </w:tblPr>
      <w:tblGrid>
        <w:gridCol w:w="2662"/>
        <w:gridCol w:w="1199"/>
        <w:gridCol w:w="1199"/>
        <w:gridCol w:w="1199"/>
        <w:gridCol w:w="1199"/>
        <w:gridCol w:w="1198"/>
        <w:gridCol w:w="1198"/>
      </w:tblGrid>
      <w:tr>
        <w:trPr>
          <w:trHeight w:val="397"/>
          <w:tblHeader/>
        </w:trPr>
        <w:tc>
          <w:tcPr>
            <w:tcW w:w="1332"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Наименнование</w:t>
            </w:r>
          </w:p>
        </w:tc>
        <w:tc>
          <w:tcPr>
            <w:tcW w:w="600" w:type="pct"/>
            <w:gridSpan w:val="6"/>
            <w:tcBorders>
              <w:top w:val="single" w:sz="12" w:space="0" w:color="auto"/>
              <w:left w:val="single" w:sz="6" w:space="0" w:color="auto"/>
              <w:bottom w:val="single" w:sz="6" w:space="0" w:color="auto"/>
              <w:right w:val="single" w:sz="12" w:space="0" w:color="auto"/>
            </w:tcBorders>
            <w:shd w:val="clear" w:color="auto" w:fill="FFD200"/>
            <w:vAlign w:val="center"/>
          </w:tcPr>
          <w:p>
            <w:pPr>
              <w:jc w:val="center"/>
              <w:rPr>
                <w:rFonts w:eastAsia="Times New Roman"/>
              </w:rPr>
            </w:pPr>
            <w:r>
              <w:rPr>
                <w:rFonts w:ascii="Arial" w:eastAsia="TimesNewRoman" w:hAnsi="Arial"/>
                <w:b/>
                <w:caps/>
                <w:sz w:val="16"/>
                <w:szCs w:val="16"/>
              </w:rPr>
              <w:t xml:space="preserve">ВРЕМЯ ПЕРЕМЕЩЕНИЯ ЗАПИРАЮЩЕГО элемента (ЗАТВОРА) , не более, </w:t>
            </w:r>
            <w:r>
              <w:rPr>
                <w:rFonts w:ascii="Arial" w:eastAsia="TimesNewRoman" w:hAnsi="Arial"/>
                <w:b/>
                <w:caps/>
                <w:sz w:val="16"/>
                <w:szCs w:val="16"/>
                <w:lang w:val="en-US"/>
              </w:rPr>
              <w:t>DN</w:t>
            </w:r>
            <w:r>
              <w:rPr>
                <w:rFonts w:ascii="Arial" w:eastAsia="TimesNewRoman" w:hAnsi="Arial"/>
                <w:b/>
                <w:caps/>
                <w:sz w:val="16"/>
                <w:szCs w:val="16"/>
              </w:rPr>
              <w:t>, мм</w:t>
            </w:r>
          </w:p>
        </w:tc>
      </w:tr>
      <w:tr>
        <w:trPr>
          <w:trHeight w:val="397"/>
          <w:tblHeader/>
        </w:trPr>
        <w:tc>
          <w:tcPr>
            <w:tcW w:w="1332"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eastAsia="Times New Roman"/>
              </w:rPr>
            </w:pPr>
          </w:p>
        </w:tc>
        <w:tc>
          <w:tcPr>
            <w:tcW w:w="600" w:type="pct"/>
            <w:tcBorders>
              <w:top w:val="single" w:sz="6"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rPr>
            </w:pPr>
            <w:r>
              <w:rPr>
                <w:rFonts w:ascii="Arial" w:eastAsia="TimesNewRoman" w:hAnsi="Arial" w:cs="Arial"/>
                <w:b/>
                <w:caps/>
                <w:sz w:val="14"/>
                <w:szCs w:val="14"/>
              </w:rPr>
              <w:t>≤</w:t>
            </w:r>
            <w:r>
              <w:rPr>
                <w:rFonts w:ascii="Arial" w:eastAsia="TimesNewRoman" w:hAnsi="Arial"/>
                <w:b/>
                <w:caps/>
                <w:sz w:val="14"/>
                <w:szCs w:val="14"/>
              </w:rPr>
              <w:t>100</w:t>
            </w:r>
          </w:p>
        </w:tc>
        <w:tc>
          <w:tcPr>
            <w:tcW w:w="600" w:type="pct"/>
            <w:tcBorders>
              <w:top w:val="single" w:sz="6"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150</w:t>
            </w:r>
            <w:r>
              <w:rPr>
                <w:rFonts w:ascii="Arial" w:eastAsia="TimesNewRoman" w:hAnsi="Arial"/>
                <w:b/>
                <w:caps/>
                <w:sz w:val="14"/>
                <w:szCs w:val="14"/>
                <w:lang w:val="en-US"/>
              </w:rPr>
              <w:t>–400</w:t>
            </w:r>
          </w:p>
        </w:tc>
        <w:tc>
          <w:tcPr>
            <w:tcW w:w="600" w:type="pct"/>
            <w:tcBorders>
              <w:top w:val="single" w:sz="6"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lang w:val="en-US"/>
              </w:rPr>
            </w:pPr>
            <w:r>
              <w:rPr>
                <w:rFonts w:ascii="Arial" w:eastAsia="TimesNewRoman" w:hAnsi="Arial"/>
                <w:b/>
                <w:caps/>
                <w:sz w:val="14"/>
                <w:szCs w:val="14"/>
              </w:rPr>
              <w:t>500</w:t>
            </w:r>
            <w:r>
              <w:rPr>
                <w:rFonts w:ascii="Arial" w:eastAsia="TimesNewRoman" w:hAnsi="Arial"/>
                <w:b/>
                <w:caps/>
                <w:sz w:val="14"/>
                <w:szCs w:val="14"/>
                <w:lang w:val="en-US"/>
              </w:rPr>
              <w:t>–700</w:t>
            </w:r>
          </w:p>
        </w:tc>
        <w:tc>
          <w:tcPr>
            <w:tcW w:w="600" w:type="pct"/>
            <w:tcBorders>
              <w:top w:val="single" w:sz="6"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800</w:t>
            </w:r>
          </w:p>
        </w:tc>
        <w:tc>
          <w:tcPr>
            <w:tcW w:w="600" w:type="pct"/>
            <w:tcBorders>
              <w:top w:val="single" w:sz="6"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1000</w:t>
            </w:r>
          </w:p>
        </w:tc>
        <w:tc>
          <w:tcPr>
            <w:tcW w:w="600" w:type="pct"/>
            <w:tcBorders>
              <w:top w:val="single" w:sz="6" w:space="0" w:color="auto"/>
              <w:left w:val="single" w:sz="6" w:space="0" w:color="auto"/>
              <w:bottom w:val="single" w:sz="12" w:space="0" w:color="auto"/>
              <w:right w:val="single" w:sz="12" w:space="0" w:color="auto"/>
            </w:tcBorders>
            <w:shd w:val="clear" w:color="auto" w:fill="FFD200"/>
            <w:vAlign w:val="center"/>
          </w:tcPr>
          <w:p>
            <w:pPr>
              <w:spacing w:before="100" w:beforeAutospacing="1" w:after="100" w:afterAutospacing="1"/>
              <w:jc w:val="center"/>
              <w:rPr>
                <w:rFonts w:ascii="Arial" w:eastAsia="TimesNewRoman" w:hAnsi="Arial"/>
                <w:b/>
                <w:caps/>
                <w:sz w:val="14"/>
                <w:szCs w:val="14"/>
              </w:rPr>
            </w:pPr>
            <w:r>
              <w:rPr>
                <w:rFonts w:ascii="Arial" w:eastAsia="TimesNewRoman" w:hAnsi="Arial"/>
                <w:b/>
                <w:caps/>
                <w:sz w:val="14"/>
                <w:szCs w:val="14"/>
              </w:rPr>
              <w:t>1200</w:t>
            </w:r>
          </w:p>
        </w:tc>
      </w:tr>
      <w:tr>
        <w:trPr>
          <w:trHeight w:val="255"/>
          <w:tblHeader/>
        </w:trPr>
        <w:tc>
          <w:tcPr>
            <w:tcW w:w="1332" w:type="pct"/>
            <w:tcBorders>
              <w:top w:val="single" w:sz="12" w:space="0" w:color="auto"/>
              <w:left w:val="single" w:sz="12"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1</w:t>
            </w:r>
          </w:p>
        </w:tc>
        <w:tc>
          <w:tcPr>
            <w:tcW w:w="60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2</w:t>
            </w:r>
          </w:p>
        </w:tc>
        <w:tc>
          <w:tcPr>
            <w:tcW w:w="60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rPr>
            </w:pPr>
            <w:r>
              <w:rPr>
                <w:rFonts w:ascii="Arial" w:eastAsia="TimesNewRoman" w:hAnsi="Arial"/>
                <w:b/>
                <w:caps/>
                <w:sz w:val="16"/>
                <w:szCs w:val="16"/>
              </w:rPr>
              <w:t>3</w:t>
            </w:r>
          </w:p>
        </w:tc>
        <w:tc>
          <w:tcPr>
            <w:tcW w:w="60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lang w:val="en-US"/>
              </w:rPr>
            </w:pPr>
            <w:r>
              <w:rPr>
                <w:rFonts w:ascii="Arial" w:eastAsia="TimesNewRoman" w:hAnsi="Arial"/>
                <w:b/>
                <w:caps/>
                <w:sz w:val="16"/>
                <w:szCs w:val="16"/>
                <w:lang w:val="en-US"/>
              </w:rPr>
              <w:t>4</w:t>
            </w:r>
          </w:p>
        </w:tc>
        <w:tc>
          <w:tcPr>
            <w:tcW w:w="60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lang w:val="en-US"/>
              </w:rPr>
            </w:pPr>
            <w:r>
              <w:rPr>
                <w:rFonts w:ascii="Arial" w:eastAsia="TimesNewRoman" w:hAnsi="Arial"/>
                <w:b/>
                <w:caps/>
                <w:sz w:val="16"/>
                <w:szCs w:val="16"/>
                <w:lang w:val="en-US"/>
              </w:rPr>
              <w:t>5</w:t>
            </w:r>
          </w:p>
        </w:tc>
        <w:tc>
          <w:tcPr>
            <w:tcW w:w="600" w:type="pct"/>
            <w:tcBorders>
              <w:top w:val="single" w:sz="12" w:space="0" w:color="auto"/>
              <w:left w:val="single" w:sz="6" w:space="0" w:color="auto"/>
              <w:bottom w:val="single" w:sz="12" w:space="0" w:color="auto"/>
              <w:right w:val="single" w:sz="6"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lang w:val="en-US"/>
              </w:rPr>
            </w:pPr>
            <w:r>
              <w:rPr>
                <w:rFonts w:ascii="Arial" w:eastAsia="TimesNewRoman" w:hAnsi="Arial"/>
                <w:b/>
                <w:caps/>
                <w:sz w:val="16"/>
                <w:szCs w:val="16"/>
                <w:lang w:val="en-US"/>
              </w:rPr>
              <w:t>6</w:t>
            </w:r>
          </w:p>
        </w:tc>
        <w:tc>
          <w:tcPr>
            <w:tcW w:w="600" w:type="pct"/>
            <w:tcBorders>
              <w:top w:val="single" w:sz="12" w:space="0" w:color="auto"/>
              <w:left w:val="single" w:sz="6" w:space="0" w:color="auto"/>
              <w:bottom w:val="single" w:sz="12" w:space="0" w:color="auto"/>
              <w:right w:val="single" w:sz="12" w:space="0" w:color="auto"/>
            </w:tcBorders>
            <w:shd w:val="clear" w:color="auto" w:fill="FFD200"/>
            <w:vAlign w:val="center"/>
          </w:tcPr>
          <w:p>
            <w:pPr>
              <w:spacing w:before="100" w:beforeAutospacing="1" w:after="100" w:afterAutospacing="1"/>
              <w:jc w:val="center"/>
              <w:rPr>
                <w:rFonts w:ascii="Arial" w:eastAsia="TimesNewRoman" w:hAnsi="Arial"/>
                <w:b/>
                <w:caps/>
                <w:sz w:val="16"/>
                <w:szCs w:val="16"/>
                <w:lang w:val="en-US"/>
              </w:rPr>
            </w:pPr>
            <w:r>
              <w:rPr>
                <w:rFonts w:ascii="Arial" w:eastAsia="TimesNewRoman" w:hAnsi="Arial"/>
                <w:b/>
                <w:caps/>
                <w:sz w:val="16"/>
                <w:szCs w:val="16"/>
                <w:lang w:val="en-US"/>
              </w:rPr>
              <w:t>7</w:t>
            </w:r>
          </w:p>
        </w:tc>
      </w:tr>
      <w:tr>
        <w:trPr>
          <w:trHeight w:val="284"/>
        </w:trPr>
        <w:tc>
          <w:tcPr>
            <w:tcW w:w="1332" w:type="pct"/>
            <w:tcBorders>
              <w:top w:val="single" w:sz="6" w:space="0" w:color="auto"/>
              <w:left w:val="single" w:sz="12"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Время перестановки, не более (минут)</w:t>
            </w:r>
          </w:p>
        </w:tc>
        <w:tc>
          <w:tcPr>
            <w:tcW w:w="600" w:type="pct"/>
            <w:tcBorders>
              <w:top w:val="single" w:sz="6"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w:t>
            </w:r>
          </w:p>
        </w:tc>
        <w:tc>
          <w:tcPr>
            <w:tcW w:w="600" w:type="pct"/>
            <w:tcBorders>
              <w:top w:val="single" w:sz="6"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3</w:t>
            </w:r>
          </w:p>
        </w:tc>
        <w:tc>
          <w:tcPr>
            <w:tcW w:w="600" w:type="pct"/>
            <w:tcBorders>
              <w:top w:val="single" w:sz="6"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10</w:t>
            </w:r>
          </w:p>
        </w:tc>
        <w:tc>
          <w:tcPr>
            <w:tcW w:w="600" w:type="pct"/>
            <w:tcBorders>
              <w:top w:val="single" w:sz="6"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13</w:t>
            </w:r>
          </w:p>
        </w:tc>
        <w:tc>
          <w:tcPr>
            <w:tcW w:w="600" w:type="pct"/>
            <w:tcBorders>
              <w:top w:val="single" w:sz="6" w:space="0" w:color="auto"/>
              <w:left w:val="single" w:sz="6" w:space="0" w:color="auto"/>
              <w:bottom w:val="single" w:sz="12" w:space="0" w:color="auto"/>
              <w:right w:val="single" w:sz="6" w:space="0" w:color="auto"/>
            </w:tcBorders>
          </w:tcPr>
          <w:p>
            <w:pPr>
              <w:spacing w:before="100" w:beforeAutospacing="1" w:after="100" w:afterAutospacing="1"/>
              <w:jc w:val="left"/>
              <w:rPr>
                <w:rFonts w:eastAsia="Times New Roman"/>
                <w:sz w:val="20"/>
                <w:szCs w:val="20"/>
              </w:rPr>
            </w:pPr>
            <w:r>
              <w:rPr>
                <w:rFonts w:eastAsia="Times New Roman"/>
                <w:sz w:val="20"/>
                <w:szCs w:val="20"/>
              </w:rPr>
              <w:t>15</w:t>
            </w:r>
          </w:p>
        </w:tc>
        <w:tc>
          <w:tcPr>
            <w:tcW w:w="600" w:type="pct"/>
            <w:tcBorders>
              <w:top w:val="single" w:sz="6" w:space="0" w:color="auto"/>
              <w:left w:val="single" w:sz="6" w:space="0" w:color="auto"/>
              <w:bottom w:val="single" w:sz="12" w:space="0" w:color="auto"/>
              <w:right w:val="single" w:sz="12" w:space="0" w:color="auto"/>
            </w:tcBorders>
          </w:tcPr>
          <w:p>
            <w:pPr>
              <w:spacing w:before="100" w:beforeAutospacing="1" w:after="100" w:afterAutospacing="1"/>
              <w:jc w:val="left"/>
              <w:rPr>
                <w:rFonts w:eastAsia="Times New Roman"/>
                <w:sz w:val="20"/>
                <w:szCs w:val="20"/>
              </w:rPr>
            </w:pPr>
            <w:r>
              <w:rPr>
                <w:rFonts w:eastAsia="Times New Roman"/>
                <w:sz w:val="20"/>
                <w:szCs w:val="20"/>
              </w:rPr>
              <w:t>18</w:t>
            </w:r>
          </w:p>
        </w:tc>
      </w:tr>
    </w:tbl>
    <w:p>
      <w:pPr>
        <w:rPr>
          <w:rFonts w:eastAsia="PMingLiU"/>
          <w:spacing w:val="-1"/>
          <w:szCs w:val="22"/>
          <w:lang w:eastAsia="en-US"/>
        </w:rPr>
      </w:pPr>
    </w:p>
    <w:p>
      <w:pPr>
        <w:rPr>
          <w:rFonts w:eastAsia="PMingLiU"/>
          <w:spacing w:val="-1"/>
          <w:szCs w:val="22"/>
          <w:lang w:eastAsia="en-US"/>
        </w:rPr>
      </w:pPr>
      <w:r>
        <w:rPr>
          <w:rFonts w:eastAsia="PMingLiU"/>
          <w:spacing w:val="-1"/>
          <w:szCs w:val="22"/>
          <w:lang w:eastAsia="en-US"/>
        </w:rPr>
        <w:t>Детали подвижных соединений крана шарового должны перемещаться плавно, без рывков и заеданий.</w:t>
      </w:r>
    </w:p>
    <w:p>
      <w:pPr>
        <w:rPr>
          <w:rFonts w:eastAsia="PMingLiU"/>
          <w:spacing w:val="-1"/>
          <w:szCs w:val="22"/>
          <w:lang w:eastAsia="en-US"/>
        </w:rPr>
      </w:pPr>
    </w:p>
    <w:p>
      <w:pPr>
        <w:rPr>
          <w:rFonts w:eastAsia="PMingLiU"/>
          <w:spacing w:val="-1"/>
          <w:szCs w:val="22"/>
          <w:lang w:eastAsia="en-US"/>
        </w:rPr>
      </w:pPr>
      <w:r>
        <w:rPr>
          <w:rFonts w:eastAsia="PMingLiU"/>
          <w:spacing w:val="-1"/>
          <w:szCs w:val="22"/>
          <w:lang w:eastAsia="en-US"/>
        </w:rPr>
        <w:t>В случае отсутствия напряжения питания завод-изготовитель должен предусмотреть:</w:t>
      </w:r>
    </w:p>
    <w:p>
      <w:pPr>
        <w:numPr>
          <w:ilvl w:val="0"/>
          <w:numId w:val="12"/>
        </w:numPr>
        <w:tabs>
          <w:tab w:val="left" w:pos="539"/>
        </w:tabs>
        <w:spacing w:before="120"/>
        <w:ind w:left="538" w:hanging="357"/>
        <w:rPr>
          <w:rFonts w:eastAsia="PMingLiU"/>
          <w:spacing w:val="-1"/>
        </w:rPr>
      </w:pPr>
      <w:r>
        <w:rPr>
          <w:rFonts w:eastAsia="PMingLiU"/>
          <w:spacing w:val="-1"/>
        </w:rPr>
        <w:t xml:space="preserve">приведение арматуры в заданное положение при отсутствии напряжения питания – </w:t>
      </w:r>
      <w:r>
        <w:rPr>
          <w:rFonts w:eastAsia="PMingLiU"/>
          <w:spacing w:val="-1"/>
        </w:rPr>
        <w:br/>
        <w:t>Да (с указанием положения)/Нет;</w:t>
      </w:r>
    </w:p>
    <w:p>
      <w:pPr>
        <w:numPr>
          <w:ilvl w:val="0"/>
          <w:numId w:val="12"/>
        </w:numPr>
        <w:tabs>
          <w:tab w:val="left" w:pos="539"/>
        </w:tabs>
        <w:spacing w:before="120"/>
        <w:ind w:left="538" w:hanging="357"/>
        <w:rPr>
          <w:rFonts w:eastAsia="PMingLiU"/>
          <w:spacing w:val="-1"/>
        </w:rPr>
      </w:pPr>
      <w:r>
        <w:rPr>
          <w:rFonts w:eastAsia="PMingLiU"/>
          <w:spacing w:val="-1"/>
        </w:rPr>
        <w:t>приведение арматуры в заданное положение при отсутствии напряжения управления – Да (с указанием положения)/Нет.</w:t>
      </w:r>
    </w:p>
    <w:p>
      <w:pPr>
        <w:tabs>
          <w:tab w:val="left" w:pos="1701"/>
        </w:tabs>
        <w:autoSpaceDE w:val="0"/>
        <w:autoSpaceDN w:val="0"/>
        <w:adjustRightInd w:val="0"/>
        <w:contextualSpacing/>
        <w:rPr>
          <w:rFonts w:eastAsia="Times New Roman"/>
        </w:rPr>
      </w:pPr>
    </w:p>
    <w:p>
      <w:pPr>
        <w:tabs>
          <w:tab w:val="left" w:pos="1701"/>
        </w:tabs>
        <w:autoSpaceDE w:val="0"/>
        <w:autoSpaceDN w:val="0"/>
        <w:adjustRightInd w:val="0"/>
        <w:contextualSpacing/>
        <w:rPr>
          <w:rFonts w:eastAsia="Times New Roman"/>
        </w:rPr>
      </w:pPr>
    </w:p>
    <w:p>
      <w:pPr>
        <w:pStyle w:val="S30"/>
      </w:pPr>
      <w:bookmarkStart w:id="172" w:name="Приложение1"/>
      <w:bookmarkStart w:id="173" w:name="Требования"/>
      <w:bookmarkStart w:id="174" w:name="_Toc392752846"/>
      <w:bookmarkStart w:id="175" w:name="_Toc404615323"/>
      <w:bookmarkStart w:id="176" w:name="_Ref427308206"/>
      <w:bookmarkStart w:id="177" w:name="_Toc481662388"/>
      <w:bookmarkStart w:id="178" w:name="_Toc486233280"/>
      <w:bookmarkStart w:id="179" w:name="_Toc514169527"/>
      <w:bookmarkEnd w:id="172"/>
      <w:bookmarkEnd w:id="173"/>
      <w:r>
        <w:t>4.3.16.</w:t>
      </w:r>
      <w:r>
        <w:tab/>
        <w:t>ТРЕБОВАНИЯ К УСТАНОВОЧНОМУ ПОЛОЖЕНИЮ</w:t>
      </w:r>
      <w:bookmarkEnd w:id="174"/>
      <w:bookmarkEnd w:id="175"/>
      <w:bookmarkEnd w:id="176"/>
      <w:bookmarkEnd w:id="177"/>
      <w:bookmarkEnd w:id="178"/>
      <w:bookmarkEnd w:id="179"/>
    </w:p>
    <w:p>
      <w:pPr>
        <w:tabs>
          <w:tab w:val="left" w:pos="1134"/>
        </w:tabs>
        <w:ind w:right="108"/>
        <w:rPr>
          <w:rFonts w:eastAsia="PMingLiU"/>
          <w:szCs w:val="22"/>
          <w:lang w:eastAsia="en-US"/>
        </w:rPr>
      </w:pPr>
    </w:p>
    <w:p>
      <w:pPr>
        <w:tabs>
          <w:tab w:val="left" w:pos="1134"/>
        </w:tabs>
        <w:ind w:right="108"/>
        <w:rPr>
          <w:rFonts w:eastAsia="PMingLiU"/>
          <w:szCs w:val="22"/>
          <w:lang w:eastAsia="en-US"/>
        </w:rPr>
      </w:pPr>
      <w:r>
        <w:rPr>
          <w:rFonts w:eastAsia="Arial"/>
          <w:lang w:eastAsia="en-US"/>
        </w:rPr>
        <w:t>У</w:t>
      </w:r>
      <w:r>
        <w:rPr>
          <w:rFonts w:eastAsia="PMingLiU"/>
          <w:szCs w:val="22"/>
          <w:lang w:eastAsia="en-US"/>
        </w:rPr>
        <w:t>становочное положение кранов шаровых на горизонтальном трубопроводе:</w:t>
      </w:r>
    </w:p>
    <w:p>
      <w:pPr>
        <w:numPr>
          <w:ilvl w:val="0"/>
          <w:numId w:val="12"/>
        </w:numPr>
        <w:tabs>
          <w:tab w:val="left" w:pos="539"/>
        </w:tabs>
        <w:spacing w:before="120"/>
        <w:ind w:left="538" w:hanging="357"/>
        <w:rPr>
          <w:rFonts w:eastAsia="PMingLiU"/>
          <w:lang w:eastAsia="en-US"/>
        </w:rPr>
      </w:pPr>
      <w:r>
        <w:rPr>
          <w:rFonts w:eastAsia="PMingLiU"/>
          <w:lang w:eastAsia="en-US"/>
        </w:rPr>
        <w:t>обеспечить положение крана на горизонтальном трубопроводе – стойкой шпинделя вверх;</w:t>
      </w:r>
    </w:p>
    <w:p>
      <w:pPr>
        <w:numPr>
          <w:ilvl w:val="0"/>
          <w:numId w:val="12"/>
        </w:numPr>
        <w:tabs>
          <w:tab w:val="left" w:pos="539"/>
        </w:tabs>
        <w:spacing w:before="120"/>
        <w:ind w:left="538" w:hanging="357"/>
        <w:rPr>
          <w:rFonts w:eastAsia="PMingLiU"/>
          <w:lang w:eastAsia="en-US"/>
        </w:rPr>
      </w:pPr>
      <w:r>
        <w:rPr>
          <w:rFonts w:eastAsia="PMingLiU"/>
          <w:lang w:eastAsia="en-US"/>
        </w:rPr>
        <w:t>допускается отклонение шпинделя крана шарового до 90° от вертикали в любую сторону.</w:t>
      </w:r>
    </w:p>
    <w:p>
      <w:pPr>
        <w:rPr>
          <w:rFonts w:eastAsia="PMingLiU"/>
          <w:strike/>
          <w:lang w:eastAsia="en-US"/>
        </w:rPr>
      </w:pPr>
    </w:p>
    <w:p>
      <w:pPr>
        <w:tabs>
          <w:tab w:val="left" w:pos="1134"/>
        </w:tabs>
        <w:contextualSpacing/>
        <w:rPr>
          <w:rFonts w:eastAsia="Calibri"/>
          <w:lang w:eastAsia="en-US"/>
        </w:rPr>
      </w:pPr>
      <w:r>
        <w:rPr>
          <w:rFonts w:eastAsia="Calibri"/>
          <w:szCs w:val="22"/>
          <w:lang w:eastAsia="en-US"/>
        </w:rPr>
        <w:t>Установочное положение кранов шаровых на вертикальном трубопроводе – любое, при выполнении условий:</w:t>
      </w:r>
    </w:p>
    <w:p>
      <w:pPr>
        <w:numPr>
          <w:ilvl w:val="0"/>
          <w:numId w:val="12"/>
        </w:numPr>
        <w:tabs>
          <w:tab w:val="left" w:pos="539"/>
        </w:tabs>
        <w:spacing w:before="120"/>
        <w:ind w:left="538" w:hanging="357"/>
        <w:rPr>
          <w:rFonts w:eastAsia="PMingLiU"/>
          <w:lang w:eastAsia="en-US"/>
        </w:rPr>
      </w:pPr>
      <w:r>
        <w:rPr>
          <w:rFonts w:eastAsia="PMingLiU"/>
          <w:lang w:eastAsia="en-US"/>
        </w:rPr>
        <w:t>при установке крана шарового на наклонные участки трубопроводов, обеспечить положение верхнего конца шпинделя выше точки пересечения оси шпинделя с осью трубопровода;</w:t>
      </w:r>
    </w:p>
    <w:p>
      <w:pPr>
        <w:numPr>
          <w:ilvl w:val="0"/>
          <w:numId w:val="12"/>
        </w:numPr>
        <w:tabs>
          <w:tab w:val="left" w:pos="539"/>
        </w:tabs>
        <w:spacing w:before="120"/>
        <w:ind w:left="538" w:hanging="357"/>
        <w:rPr>
          <w:rFonts w:eastAsia="PMingLiU"/>
          <w:szCs w:val="22"/>
          <w:lang w:eastAsia="en-US"/>
        </w:rPr>
      </w:pPr>
      <w:r>
        <w:rPr>
          <w:rFonts w:eastAsia="PMingLiU"/>
          <w:lang w:eastAsia="en-US"/>
        </w:rPr>
        <w:lastRenderedPageBreak/>
        <w:t>при установке крана шарового с приводом (редуктором) на вертикальные и наклонные участки трубопроводов, предусмотреть дополнительную опору под корпус привода (редуктора) или под бугельный узел крана шарового.</w:t>
      </w:r>
    </w:p>
    <w:p>
      <w:pPr>
        <w:widowControl w:val="0"/>
        <w:rPr>
          <w:rFonts w:eastAsia="Times New Roman"/>
        </w:rPr>
      </w:pPr>
    </w:p>
    <w:p>
      <w:pPr>
        <w:widowControl w:val="0"/>
        <w:rPr>
          <w:rFonts w:eastAsia="Times New Roman"/>
        </w:rPr>
      </w:pPr>
    </w:p>
    <w:p>
      <w:pPr>
        <w:pStyle w:val="S20"/>
        <w:numPr>
          <w:ilvl w:val="1"/>
          <w:numId w:val="26"/>
        </w:numPr>
        <w:rPr>
          <w:rFonts w:eastAsia="Calibri" w:cs="Arial"/>
          <w:bCs/>
          <w:iCs/>
          <w:caps w:val="0"/>
          <w:szCs w:val="28"/>
        </w:rPr>
      </w:pPr>
      <w:bookmarkStart w:id="180" w:name="_Toc481662390"/>
      <w:bookmarkStart w:id="181" w:name="_Toc514169528"/>
      <w:r>
        <w:rPr>
          <w:rFonts w:eastAsia="Calibri" w:cs="Arial"/>
          <w:bCs/>
          <w:iCs/>
          <w:caps w:val="0"/>
          <w:szCs w:val="28"/>
        </w:rPr>
        <w:t>ТРЕБОВАНИЯ К ИСПЫТАНИЯМ ОБОРУДОВАНИЯ</w:t>
      </w:r>
      <w:bookmarkEnd w:id="180"/>
      <w:bookmarkEnd w:id="181"/>
    </w:p>
    <w:p>
      <w:pPr>
        <w:widowControl w:val="0"/>
        <w:tabs>
          <w:tab w:val="left" w:pos="1134"/>
        </w:tabs>
        <w:ind w:right="103"/>
        <w:rPr>
          <w:rFonts w:eastAsia="PMingLiU"/>
          <w:spacing w:val="-4"/>
          <w:lang w:eastAsia="en-US"/>
        </w:rPr>
      </w:pPr>
    </w:p>
    <w:p>
      <w:pPr>
        <w:widowControl w:val="0"/>
        <w:tabs>
          <w:tab w:val="left" w:pos="1134"/>
        </w:tabs>
        <w:ind w:right="-1"/>
        <w:rPr>
          <w:rFonts w:eastAsia="Times New Roman"/>
        </w:rPr>
      </w:pPr>
      <w:r>
        <w:rPr>
          <w:rFonts w:eastAsia="Times New Roman"/>
        </w:rPr>
        <w:t>Для контроля качества изготовленной продукции завод-изготовитель должен проводить приемо-сдаточные испытания.</w:t>
      </w:r>
    </w:p>
    <w:p>
      <w:pPr>
        <w:widowControl w:val="0"/>
        <w:tabs>
          <w:tab w:val="left" w:pos="1134"/>
        </w:tabs>
        <w:ind w:right="-1"/>
        <w:rPr>
          <w:rFonts w:eastAsia="PMingLiU"/>
          <w:spacing w:val="-1"/>
          <w:lang w:eastAsia="en-US"/>
        </w:rPr>
      </w:pPr>
    </w:p>
    <w:p>
      <w:pPr>
        <w:widowControl w:val="0"/>
        <w:tabs>
          <w:tab w:val="left" w:pos="1134"/>
        </w:tabs>
        <w:ind w:right="-1"/>
        <w:rPr>
          <w:rFonts w:eastAsia="PMingLiU"/>
          <w:lang w:eastAsia="en-US"/>
        </w:rPr>
      </w:pPr>
      <w:r>
        <w:rPr>
          <w:rFonts w:eastAsia="PMingLiU"/>
          <w:spacing w:val="-1"/>
          <w:lang w:eastAsia="en-US"/>
        </w:rPr>
        <w:t>Контроль</w:t>
      </w:r>
      <w:r>
        <w:rPr>
          <w:rFonts w:eastAsia="PMingLiU"/>
          <w:spacing w:val="31"/>
          <w:lang w:eastAsia="en-US"/>
        </w:rPr>
        <w:t xml:space="preserve"> </w:t>
      </w:r>
      <w:r>
        <w:rPr>
          <w:rFonts w:eastAsia="PMingLiU"/>
          <w:spacing w:val="-5"/>
          <w:lang w:eastAsia="en-US"/>
        </w:rPr>
        <w:t>качества</w:t>
      </w:r>
      <w:r>
        <w:rPr>
          <w:rFonts w:eastAsia="PMingLiU"/>
          <w:spacing w:val="23"/>
          <w:lang w:eastAsia="en-US"/>
        </w:rPr>
        <w:t xml:space="preserve"> </w:t>
      </w:r>
      <w:r>
        <w:rPr>
          <w:rFonts w:eastAsia="PMingLiU"/>
          <w:spacing w:val="-6"/>
          <w:lang w:eastAsia="en-US"/>
        </w:rPr>
        <w:t>кранов шаровых</w:t>
      </w:r>
      <w:r>
        <w:rPr>
          <w:rFonts w:eastAsia="PMingLiU"/>
          <w:spacing w:val="23"/>
          <w:lang w:eastAsia="en-US"/>
        </w:rPr>
        <w:t xml:space="preserve"> </w:t>
      </w:r>
      <w:r>
        <w:rPr>
          <w:rFonts w:eastAsia="PMingLiU"/>
          <w:spacing w:val="-6"/>
          <w:lang w:eastAsia="en-US"/>
        </w:rPr>
        <w:t>(сборочные</w:t>
      </w:r>
      <w:r>
        <w:rPr>
          <w:rFonts w:eastAsia="PMingLiU"/>
          <w:spacing w:val="23"/>
          <w:lang w:eastAsia="en-US"/>
        </w:rPr>
        <w:t xml:space="preserve"> </w:t>
      </w:r>
      <w:r>
        <w:rPr>
          <w:rFonts w:eastAsia="PMingLiU"/>
          <w:spacing w:val="-5"/>
          <w:lang w:eastAsia="en-US"/>
        </w:rPr>
        <w:t>единицы</w:t>
      </w:r>
      <w:r>
        <w:rPr>
          <w:rFonts w:eastAsia="PMingLiU"/>
          <w:spacing w:val="21"/>
          <w:lang w:eastAsia="en-US"/>
        </w:rPr>
        <w:t xml:space="preserve"> </w:t>
      </w:r>
      <w:r>
        <w:rPr>
          <w:rFonts w:eastAsia="PMingLiU"/>
          <w:lang w:eastAsia="en-US"/>
        </w:rPr>
        <w:t>и</w:t>
      </w:r>
      <w:r>
        <w:rPr>
          <w:rFonts w:eastAsia="PMingLiU"/>
          <w:spacing w:val="24"/>
          <w:lang w:eastAsia="en-US"/>
        </w:rPr>
        <w:t xml:space="preserve"> </w:t>
      </w:r>
      <w:r>
        <w:rPr>
          <w:rFonts w:eastAsia="PMingLiU"/>
          <w:spacing w:val="-5"/>
          <w:lang w:eastAsia="en-US"/>
        </w:rPr>
        <w:t>дета</w:t>
      </w:r>
      <w:r>
        <w:rPr>
          <w:rFonts w:eastAsia="PMingLiU"/>
          <w:spacing w:val="-4"/>
          <w:lang w:eastAsia="en-US"/>
        </w:rPr>
        <w:t>ли),</w:t>
      </w:r>
      <w:r>
        <w:rPr>
          <w:rFonts w:eastAsia="PMingLiU"/>
          <w:spacing w:val="20"/>
          <w:lang w:eastAsia="en-US"/>
        </w:rPr>
        <w:t xml:space="preserve"> </w:t>
      </w:r>
      <w:r>
        <w:rPr>
          <w:rFonts w:eastAsia="PMingLiU"/>
          <w:spacing w:val="-6"/>
          <w:lang w:eastAsia="en-US"/>
        </w:rPr>
        <w:t>материалов,</w:t>
      </w:r>
      <w:r>
        <w:rPr>
          <w:rFonts w:eastAsia="PMingLiU"/>
          <w:spacing w:val="44"/>
          <w:lang w:eastAsia="en-US"/>
        </w:rPr>
        <w:t xml:space="preserve"> </w:t>
      </w:r>
      <w:r>
        <w:rPr>
          <w:rFonts w:eastAsia="PMingLiU"/>
          <w:spacing w:val="-2"/>
          <w:lang w:eastAsia="en-US"/>
        </w:rPr>
        <w:t>комплектующих</w:t>
      </w:r>
      <w:r>
        <w:rPr>
          <w:rFonts w:eastAsia="PMingLiU"/>
          <w:spacing w:val="26"/>
          <w:lang w:eastAsia="en-US"/>
        </w:rPr>
        <w:t xml:space="preserve"> </w:t>
      </w:r>
      <w:r>
        <w:rPr>
          <w:rFonts w:eastAsia="PMingLiU"/>
          <w:spacing w:val="-2"/>
          <w:lang w:eastAsia="en-US"/>
        </w:rPr>
        <w:t>изделий</w:t>
      </w:r>
      <w:r>
        <w:rPr>
          <w:rFonts w:eastAsia="PMingLiU"/>
          <w:spacing w:val="28"/>
          <w:lang w:eastAsia="en-US"/>
        </w:rPr>
        <w:t xml:space="preserve"> </w:t>
      </w:r>
      <w:r>
        <w:rPr>
          <w:rFonts w:eastAsia="PMingLiU"/>
          <w:lang w:eastAsia="en-US"/>
        </w:rPr>
        <w:t>и</w:t>
      </w:r>
      <w:r>
        <w:rPr>
          <w:rFonts w:eastAsia="PMingLiU"/>
          <w:spacing w:val="26"/>
          <w:lang w:eastAsia="en-US"/>
        </w:rPr>
        <w:t xml:space="preserve"> </w:t>
      </w:r>
      <w:r>
        <w:rPr>
          <w:rFonts w:eastAsia="PMingLiU"/>
          <w:spacing w:val="-2"/>
          <w:lang w:eastAsia="en-US"/>
        </w:rPr>
        <w:t>отдельных</w:t>
      </w:r>
      <w:r>
        <w:rPr>
          <w:rFonts w:eastAsia="PMingLiU"/>
          <w:spacing w:val="26"/>
          <w:lang w:eastAsia="en-US"/>
        </w:rPr>
        <w:t xml:space="preserve"> </w:t>
      </w:r>
      <w:r>
        <w:rPr>
          <w:rFonts w:eastAsia="PMingLiU"/>
          <w:spacing w:val="-2"/>
          <w:lang w:eastAsia="en-US"/>
        </w:rPr>
        <w:t>операций</w:t>
      </w:r>
      <w:r>
        <w:rPr>
          <w:rFonts w:eastAsia="PMingLiU"/>
          <w:spacing w:val="28"/>
          <w:lang w:eastAsia="en-US"/>
        </w:rPr>
        <w:t xml:space="preserve"> </w:t>
      </w:r>
      <w:r>
        <w:rPr>
          <w:rFonts w:eastAsia="PMingLiU"/>
          <w:spacing w:val="-2"/>
          <w:lang w:eastAsia="en-US"/>
        </w:rPr>
        <w:t>должны</w:t>
      </w:r>
      <w:r>
        <w:rPr>
          <w:rFonts w:eastAsia="PMingLiU"/>
          <w:spacing w:val="28"/>
          <w:lang w:eastAsia="en-US"/>
        </w:rPr>
        <w:t xml:space="preserve"> </w:t>
      </w:r>
      <w:r>
        <w:rPr>
          <w:rFonts w:eastAsia="PMingLiU"/>
          <w:spacing w:val="-1"/>
          <w:lang w:eastAsia="en-US"/>
        </w:rPr>
        <w:t>про</w:t>
      </w:r>
      <w:r>
        <w:rPr>
          <w:rFonts w:eastAsia="PMingLiU"/>
          <w:spacing w:val="-2"/>
          <w:lang w:eastAsia="en-US"/>
        </w:rPr>
        <w:t>изводиться</w:t>
      </w:r>
      <w:r>
        <w:rPr>
          <w:rFonts w:eastAsia="PMingLiU"/>
          <w:spacing w:val="33"/>
          <w:lang w:eastAsia="en-US"/>
        </w:rPr>
        <w:t xml:space="preserve"> </w:t>
      </w:r>
      <w:r>
        <w:rPr>
          <w:rFonts w:eastAsia="PMingLiU"/>
          <w:spacing w:val="-2"/>
          <w:lang w:eastAsia="en-US"/>
        </w:rPr>
        <w:t>ОТК</w:t>
      </w:r>
      <w:r>
        <w:rPr>
          <w:rFonts w:eastAsia="PMingLiU"/>
          <w:spacing w:val="26"/>
          <w:lang w:eastAsia="en-US"/>
        </w:rPr>
        <w:t xml:space="preserve"> </w:t>
      </w:r>
      <w:r>
        <w:rPr>
          <w:rFonts w:eastAsia="PMingLiU"/>
          <w:spacing w:val="-6"/>
          <w:lang w:eastAsia="en-US"/>
        </w:rPr>
        <w:t>завода</w:t>
      </w:r>
      <w:r>
        <w:rPr>
          <w:rFonts w:eastAsia="PMingLiU"/>
          <w:b/>
          <w:spacing w:val="-6"/>
          <w:lang w:eastAsia="en-US"/>
        </w:rPr>
        <w:t>-</w:t>
      </w:r>
      <w:r>
        <w:rPr>
          <w:rFonts w:eastAsia="PMingLiU"/>
          <w:spacing w:val="-6"/>
          <w:lang w:eastAsia="en-US"/>
        </w:rPr>
        <w:t>изготовителя</w:t>
      </w:r>
      <w:r>
        <w:rPr>
          <w:rFonts w:eastAsia="PMingLiU"/>
          <w:spacing w:val="26"/>
          <w:lang w:eastAsia="en-US"/>
        </w:rPr>
        <w:t xml:space="preserve"> </w:t>
      </w:r>
      <w:r>
        <w:rPr>
          <w:rFonts w:eastAsia="PMingLiU"/>
          <w:spacing w:val="-4"/>
          <w:lang w:eastAsia="en-US"/>
        </w:rPr>
        <w:t>на</w:t>
      </w:r>
      <w:r>
        <w:rPr>
          <w:rFonts w:eastAsia="PMingLiU"/>
          <w:spacing w:val="25"/>
          <w:lang w:eastAsia="en-US"/>
        </w:rPr>
        <w:t xml:space="preserve"> </w:t>
      </w:r>
      <w:r>
        <w:rPr>
          <w:rFonts w:eastAsia="PMingLiU"/>
          <w:spacing w:val="-6"/>
          <w:lang w:eastAsia="en-US"/>
        </w:rPr>
        <w:t>соответствие</w:t>
      </w:r>
      <w:r>
        <w:rPr>
          <w:rFonts w:eastAsia="PMingLiU"/>
          <w:spacing w:val="6"/>
          <w:lang w:eastAsia="en-US"/>
        </w:rPr>
        <w:t xml:space="preserve"> </w:t>
      </w:r>
      <w:r>
        <w:rPr>
          <w:rFonts w:eastAsia="PMingLiU"/>
          <w:spacing w:val="-6"/>
          <w:lang w:eastAsia="en-US"/>
        </w:rPr>
        <w:t>требованиям</w:t>
      </w:r>
      <w:r>
        <w:rPr>
          <w:rFonts w:eastAsia="PMingLiU"/>
          <w:spacing w:val="17"/>
          <w:lang w:eastAsia="en-US"/>
        </w:rPr>
        <w:t xml:space="preserve"> </w:t>
      </w:r>
      <w:r>
        <w:rPr>
          <w:rFonts w:eastAsia="PMingLiU"/>
          <w:spacing w:val="-3"/>
          <w:lang w:eastAsia="en-US"/>
        </w:rPr>
        <w:t>КД,</w:t>
      </w:r>
      <w:r>
        <w:rPr>
          <w:rFonts w:eastAsia="TimesNewRoman"/>
          <w:szCs w:val="22"/>
          <w:lang w:eastAsia="en-US"/>
        </w:rPr>
        <w:t xml:space="preserve"> настоящих Методических указаний</w:t>
      </w:r>
      <w:r>
        <w:rPr>
          <w:rFonts w:eastAsia="PMingLiU"/>
          <w:spacing w:val="-4"/>
          <w:lang w:eastAsia="en-US"/>
        </w:rPr>
        <w:t>.</w:t>
      </w:r>
      <w:r>
        <w:rPr>
          <w:rFonts w:eastAsia="PMingLiU"/>
          <w:spacing w:val="6"/>
          <w:lang w:eastAsia="en-US"/>
        </w:rPr>
        <w:t xml:space="preserve"> Каждый кран шаровой, сборка, деталь предъявляются ОТК. При положительных результатах </w:t>
      </w:r>
      <w:r>
        <w:rPr>
          <w:rFonts w:eastAsia="PMingLiU"/>
          <w:spacing w:val="-1"/>
          <w:lang w:eastAsia="en-US"/>
        </w:rPr>
        <w:t>на</w:t>
      </w:r>
      <w:r>
        <w:rPr>
          <w:rFonts w:eastAsia="PMingLiU"/>
          <w:spacing w:val="-3"/>
          <w:lang w:eastAsia="en-US"/>
        </w:rPr>
        <w:t xml:space="preserve"> детали,</w:t>
      </w:r>
      <w:r>
        <w:rPr>
          <w:rFonts w:eastAsia="PMingLiU"/>
          <w:spacing w:val="-2"/>
          <w:lang w:eastAsia="en-US"/>
        </w:rPr>
        <w:t xml:space="preserve"> </w:t>
      </w:r>
      <w:r>
        <w:rPr>
          <w:rFonts w:eastAsia="PMingLiU"/>
          <w:spacing w:val="-3"/>
          <w:lang w:eastAsia="en-US"/>
        </w:rPr>
        <w:t>сборке,</w:t>
      </w:r>
      <w:r>
        <w:rPr>
          <w:rFonts w:eastAsia="PMingLiU"/>
          <w:spacing w:val="-2"/>
          <w:lang w:eastAsia="en-US"/>
        </w:rPr>
        <w:t xml:space="preserve"> </w:t>
      </w:r>
      <w:r>
        <w:rPr>
          <w:rFonts w:eastAsia="PMingLiU"/>
          <w:spacing w:val="-3"/>
          <w:lang w:eastAsia="en-US"/>
        </w:rPr>
        <w:t xml:space="preserve">кране шаровом ставиться клеймо ОТК и штамп ОТК </w:t>
      </w:r>
      <w:r>
        <w:rPr>
          <w:rFonts w:eastAsia="PMingLiU"/>
          <w:lang w:eastAsia="en-US"/>
        </w:rPr>
        <w:t>с</w:t>
      </w:r>
      <w:r>
        <w:rPr>
          <w:rFonts w:eastAsia="PMingLiU"/>
          <w:spacing w:val="64"/>
          <w:lang w:eastAsia="en-US"/>
        </w:rPr>
        <w:t xml:space="preserve"> </w:t>
      </w:r>
      <w:r>
        <w:rPr>
          <w:rFonts w:eastAsia="PMingLiU"/>
          <w:spacing w:val="-3"/>
          <w:lang w:eastAsia="en-US"/>
        </w:rPr>
        <w:t>подписью</w:t>
      </w:r>
      <w:r>
        <w:rPr>
          <w:rFonts w:eastAsia="PMingLiU"/>
          <w:spacing w:val="-7"/>
          <w:lang w:eastAsia="en-US"/>
        </w:rPr>
        <w:t xml:space="preserve"> </w:t>
      </w:r>
      <w:r>
        <w:rPr>
          <w:rFonts w:eastAsia="PMingLiU"/>
          <w:lang w:eastAsia="en-US"/>
        </w:rPr>
        <w:t>в</w:t>
      </w:r>
      <w:r>
        <w:rPr>
          <w:rFonts w:eastAsia="PMingLiU"/>
          <w:spacing w:val="-6"/>
          <w:lang w:eastAsia="en-US"/>
        </w:rPr>
        <w:t xml:space="preserve"> </w:t>
      </w:r>
      <w:r>
        <w:rPr>
          <w:rFonts w:eastAsia="PMingLiU"/>
          <w:spacing w:val="-3"/>
          <w:lang w:eastAsia="en-US"/>
        </w:rPr>
        <w:t>паспорте</w:t>
      </w:r>
      <w:r>
        <w:rPr>
          <w:rFonts w:eastAsia="PMingLiU"/>
          <w:spacing w:val="-6"/>
          <w:lang w:eastAsia="en-US"/>
        </w:rPr>
        <w:t xml:space="preserve"> </w:t>
      </w:r>
      <w:r>
        <w:rPr>
          <w:rFonts w:eastAsia="PMingLiU"/>
          <w:spacing w:val="-3"/>
          <w:lang w:eastAsia="en-US"/>
        </w:rPr>
        <w:t>крана шарового.</w:t>
      </w:r>
    </w:p>
    <w:p>
      <w:pPr>
        <w:tabs>
          <w:tab w:val="left" w:pos="1165"/>
        </w:tabs>
        <w:ind w:right="109"/>
        <w:rPr>
          <w:rFonts w:eastAsia="PMingLiU"/>
          <w:spacing w:val="-1"/>
          <w:lang w:eastAsia="en-US"/>
        </w:rPr>
      </w:pPr>
    </w:p>
    <w:p>
      <w:pPr>
        <w:widowControl w:val="0"/>
        <w:tabs>
          <w:tab w:val="left" w:pos="1134"/>
        </w:tabs>
        <w:ind w:right="-1"/>
        <w:rPr>
          <w:rFonts w:eastAsia="Times New Roman"/>
        </w:rPr>
      </w:pPr>
      <w:r>
        <w:rPr>
          <w:rFonts w:eastAsia="Times New Roman"/>
        </w:rPr>
        <w:t>Постановка на производство продукции по технической документации иностранных фирм – по ГОСТ</w:t>
      </w:r>
      <w:r>
        <w:rPr>
          <w:rFonts w:eastAsia="Times New Roman"/>
          <w:lang w:val="en-US"/>
        </w:rPr>
        <w:t> </w:t>
      </w:r>
      <w:r>
        <w:rPr>
          <w:rFonts w:eastAsia="Times New Roman"/>
        </w:rPr>
        <w:t>15.311, с учетом требований ГОСТ</w:t>
      </w:r>
      <w:r>
        <w:rPr>
          <w:lang w:val="en-US"/>
        </w:rPr>
        <w:t> </w:t>
      </w:r>
      <w:r>
        <w:rPr>
          <w:rFonts w:eastAsia="Times New Roman"/>
        </w:rPr>
        <w:t>Р</w:t>
      </w:r>
      <w:r>
        <w:rPr>
          <w:rFonts w:eastAsia="Times New Roman"/>
          <w:lang w:val="en-US"/>
        </w:rPr>
        <w:t> </w:t>
      </w:r>
      <w:r>
        <w:rPr>
          <w:rFonts w:eastAsia="Times New Roman"/>
        </w:rPr>
        <w:t>15.301.</w:t>
      </w:r>
    </w:p>
    <w:p>
      <w:pPr>
        <w:rPr>
          <w:rFonts w:eastAsia="Times New Roman"/>
        </w:rPr>
      </w:pPr>
    </w:p>
    <w:p>
      <w:pPr>
        <w:tabs>
          <w:tab w:val="left" w:pos="1165"/>
        </w:tabs>
        <w:ind w:right="-1"/>
        <w:rPr>
          <w:rFonts w:eastAsia="PMingLiU"/>
          <w:spacing w:val="-1"/>
          <w:lang w:eastAsia="en-US"/>
        </w:rPr>
      </w:pPr>
      <w:r>
        <w:rPr>
          <w:rFonts w:eastAsia="PMingLiU"/>
          <w:spacing w:val="-1"/>
          <w:lang w:eastAsia="en-US"/>
        </w:rPr>
        <w:t>Допускается</w:t>
      </w:r>
      <w:r>
        <w:rPr>
          <w:rFonts w:eastAsia="PMingLiU"/>
          <w:spacing w:val="21"/>
          <w:lang w:eastAsia="en-US"/>
        </w:rPr>
        <w:t xml:space="preserve"> </w:t>
      </w:r>
      <w:r>
        <w:rPr>
          <w:rFonts w:eastAsia="PMingLiU"/>
          <w:spacing w:val="-1"/>
          <w:lang w:eastAsia="en-US"/>
        </w:rPr>
        <w:t>подтверждать</w:t>
      </w:r>
      <w:r>
        <w:rPr>
          <w:rFonts w:eastAsia="PMingLiU"/>
          <w:spacing w:val="19"/>
          <w:lang w:eastAsia="en-US"/>
        </w:rPr>
        <w:t xml:space="preserve"> </w:t>
      </w:r>
      <w:r>
        <w:rPr>
          <w:rFonts w:eastAsia="PMingLiU"/>
          <w:spacing w:val="-1"/>
          <w:lang w:eastAsia="en-US"/>
        </w:rPr>
        <w:t>показатели</w:t>
      </w:r>
      <w:r>
        <w:rPr>
          <w:rFonts w:eastAsia="PMingLiU"/>
          <w:spacing w:val="23"/>
          <w:lang w:eastAsia="en-US"/>
        </w:rPr>
        <w:t xml:space="preserve"> </w:t>
      </w:r>
      <w:r>
        <w:rPr>
          <w:rFonts w:eastAsia="PMingLiU"/>
          <w:spacing w:val="-1"/>
          <w:lang w:eastAsia="en-US"/>
        </w:rPr>
        <w:t>надежности</w:t>
      </w:r>
      <w:r>
        <w:rPr>
          <w:rFonts w:eastAsia="PMingLiU"/>
          <w:spacing w:val="23"/>
          <w:lang w:eastAsia="en-US"/>
        </w:rPr>
        <w:t xml:space="preserve"> </w:t>
      </w:r>
      <w:r>
        <w:rPr>
          <w:rFonts w:eastAsia="PMingLiU"/>
          <w:spacing w:val="-2"/>
          <w:lang w:eastAsia="en-US"/>
        </w:rPr>
        <w:t>сбором</w:t>
      </w:r>
      <w:r>
        <w:rPr>
          <w:rFonts w:eastAsia="PMingLiU"/>
          <w:lang w:eastAsia="en-US"/>
        </w:rPr>
        <w:t xml:space="preserve"> и </w:t>
      </w:r>
      <w:r>
        <w:rPr>
          <w:rFonts w:eastAsia="PMingLiU"/>
          <w:spacing w:val="-1"/>
          <w:lang w:eastAsia="en-US"/>
        </w:rPr>
        <w:t>анализом</w:t>
      </w:r>
      <w:r>
        <w:rPr>
          <w:rFonts w:eastAsia="PMingLiU"/>
          <w:spacing w:val="43"/>
          <w:lang w:eastAsia="en-US"/>
        </w:rPr>
        <w:t xml:space="preserve"> </w:t>
      </w:r>
      <w:r>
        <w:rPr>
          <w:rFonts w:eastAsia="PMingLiU"/>
          <w:spacing w:val="-1"/>
          <w:lang w:eastAsia="en-US"/>
        </w:rPr>
        <w:t>данных, полученных</w:t>
      </w:r>
      <w:r>
        <w:rPr>
          <w:rFonts w:eastAsia="PMingLiU"/>
          <w:spacing w:val="1"/>
          <w:lang w:eastAsia="en-US"/>
        </w:rPr>
        <w:t xml:space="preserve"> </w:t>
      </w:r>
      <w:r>
        <w:rPr>
          <w:rFonts w:eastAsia="PMingLiU"/>
          <w:lang w:eastAsia="en-US"/>
        </w:rPr>
        <w:t>в</w:t>
      </w:r>
      <w:r>
        <w:rPr>
          <w:rFonts w:eastAsia="PMingLiU"/>
          <w:spacing w:val="-1"/>
          <w:lang w:eastAsia="en-US"/>
        </w:rPr>
        <w:t xml:space="preserve"> процессе</w:t>
      </w:r>
      <w:r>
        <w:rPr>
          <w:rFonts w:eastAsia="PMingLiU"/>
          <w:lang w:eastAsia="en-US"/>
        </w:rPr>
        <w:t xml:space="preserve"> </w:t>
      </w:r>
      <w:r>
        <w:rPr>
          <w:rFonts w:eastAsia="PMingLiU"/>
          <w:spacing w:val="-1"/>
          <w:lang w:eastAsia="en-US"/>
        </w:rPr>
        <w:t xml:space="preserve">эксплуатации. </w:t>
      </w:r>
      <w:r>
        <w:rPr>
          <w:rFonts w:eastAsia="PMingLiU"/>
          <w:lang w:eastAsia="en-US"/>
        </w:rPr>
        <w:t xml:space="preserve">В </w:t>
      </w:r>
      <w:r>
        <w:rPr>
          <w:rFonts w:eastAsia="PMingLiU"/>
          <w:spacing w:val="-1"/>
          <w:lang w:eastAsia="en-US"/>
        </w:rPr>
        <w:t>этом</w:t>
      </w:r>
      <w:r>
        <w:rPr>
          <w:rFonts w:eastAsia="PMingLiU"/>
          <w:lang w:eastAsia="en-US"/>
        </w:rPr>
        <w:t xml:space="preserve"> </w:t>
      </w:r>
      <w:r>
        <w:rPr>
          <w:rFonts w:eastAsia="PMingLiU"/>
          <w:spacing w:val="-1"/>
          <w:lang w:eastAsia="en-US"/>
        </w:rPr>
        <w:t>случае</w:t>
      </w:r>
      <w:r>
        <w:rPr>
          <w:rFonts w:eastAsia="PMingLiU"/>
          <w:lang w:eastAsia="en-US"/>
        </w:rPr>
        <w:t xml:space="preserve"> </w:t>
      </w:r>
      <w:r>
        <w:rPr>
          <w:rFonts w:eastAsia="PMingLiU"/>
          <w:spacing w:val="-1"/>
          <w:lang w:eastAsia="en-US"/>
        </w:rPr>
        <w:t>методику</w:t>
      </w:r>
      <w:r>
        <w:rPr>
          <w:rFonts w:eastAsia="PMingLiU"/>
          <w:spacing w:val="-4"/>
          <w:lang w:eastAsia="en-US"/>
        </w:rPr>
        <w:t xml:space="preserve"> </w:t>
      </w:r>
      <w:r>
        <w:rPr>
          <w:rFonts w:eastAsia="PMingLiU"/>
          <w:spacing w:val="-1"/>
          <w:lang w:eastAsia="en-US"/>
        </w:rPr>
        <w:t>сбора</w:t>
      </w:r>
      <w:r>
        <w:rPr>
          <w:rFonts w:eastAsia="PMingLiU"/>
          <w:lang w:eastAsia="en-US"/>
        </w:rPr>
        <w:t xml:space="preserve"> и</w:t>
      </w:r>
      <w:r>
        <w:rPr>
          <w:rFonts w:eastAsia="PMingLiU"/>
          <w:spacing w:val="47"/>
          <w:lang w:eastAsia="en-US"/>
        </w:rPr>
        <w:t xml:space="preserve"> </w:t>
      </w:r>
      <w:r>
        <w:rPr>
          <w:rFonts w:eastAsia="PMingLiU"/>
          <w:spacing w:val="-3"/>
          <w:lang w:eastAsia="en-US"/>
        </w:rPr>
        <w:t>анализ</w:t>
      </w:r>
      <w:r>
        <w:rPr>
          <w:rFonts w:eastAsia="PMingLiU"/>
          <w:spacing w:val="20"/>
          <w:lang w:eastAsia="en-US"/>
        </w:rPr>
        <w:t xml:space="preserve"> </w:t>
      </w:r>
      <w:r>
        <w:rPr>
          <w:rFonts w:eastAsia="PMingLiU"/>
          <w:spacing w:val="-2"/>
          <w:lang w:eastAsia="en-US"/>
        </w:rPr>
        <w:t>данных</w:t>
      </w:r>
      <w:r>
        <w:rPr>
          <w:rFonts w:eastAsia="PMingLiU"/>
          <w:spacing w:val="26"/>
          <w:lang w:eastAsia="en-US"/>
        </w:rPr>
        <w:t xml:space="preserve"> </w:t>
      </w:r>
      <w:r>
        <w:rPr>
          <w:rFonts w:eastAsia="PMingLiU"/>
          <w:spacing w:val="-1"/>
          <w:lang w:eastAsia="en-US"/>
        </w:rPr>
        <w:t>определяет</w:t>
      </w:r>
      <w:r>
        <w:rPr>
          <w:rFonts w:eastAsia="PMingLiU"/>
          <w:spacing w:val="22"/>
          <w:lang w:eastAsia="en-US"/>
        </w:rPr>
        <w:t xml:space="preserve"> </w:t>
      </w:r>
      <w:r>
        <w:rPr>
          <w:rFonts w:eastAsia="PMingLiU"/>
          <w:spacing w:val="-1"/>
          <w:lang w:eastAsia="en-US"/>
        </w:rPr>
        <w:t>завод</w:t>
      </w:r>
      <w:r>
        <w:rPr>
          <w:rFonts w:eastAsia="PMingLiU"/>
          <w:spacing w:val="22"/>
          <w:lang w:eastAsia="en-US"/>
        </w:rPr>
        <w:t>-</w:t>
      </w:r>
      <w:r>
        <w:rPr>
          <w:rFonts w:eastAsia="PMingLiU"/>
          <w:lang w:eastAsia="en-US"/>
        </w:rPr>
        <w:t>изготовитель</w:t>
      </w:r>
      <w:r>
        <w:rPr>
          <w:rFonts w:eastAsia="PMingLiU"/>
          <w:spacing w:val="22"/>
          <w:lang w:eastAsia="en-US"/>
        </w:rPr>
        <w:t xml:space="preserve"> </w:t>
      </w:r>
      <w:r>
        <w:rPr>
          <w:rFonts w:eastAsia="PMingLiU"/>
          <w:spacing w:val="-1"/>
          <w:lang w:eastAsia="en-US"/>
        </w:rPr>
        <w:t>кранов шаровых.</w:t>
      </w:r>
    </w:p>
    <w:p>
      <w:pPr>
        <w:tabs>
          <w:tab w:val="left" w:pos="1165"/>
        </w:tabs>
        <w:ind w:right="144"/>
        <w:rPr>
          <w:rFonts w:eastAsia="PMingLiU"/>
          <w:lang w:eastAsia="en-US"/>
        </w:rPr>
      </w:pPr>
    </w:p>
    <w:p>
      <w:pPr>
        <w:tabs>
          <w:tab w:val="left" w:pos="1165"/>
        </w:tabs>
        <w:ind w:right="-1"/>
        <w:rPr>
          <w:rFonts w:eastAsia="PMingLiU"/>
          <w:spacing w:val="-1"/>
          <w:lang w:eastAsia="en-US"/>
        </w:rPr>
      </w:pPr>
      <w:r>
        <w:rPr>
          <w:rFonts w:eastAsia="PMingLiU"/>
          <w:spacing w:val="-1"/>
          <w:lang w:eastAsia="en-US"/>
        </w:rPr>
        <w:t>Коэффициент сопротивления ζ должен быть определен расчетом и подтвержден в процессе испытаний опытных образцов.</w:t>
      </w:r>
    </w:p>
    <w:p>
      <w:pPr>
        <w:tabs>
          <w:tab w:val="left" w:pos="1165"/>
        </w:tabs>
        <w:ind w:right="-1"/>
        <w:rPr>
          <w:rFonts w:eastAsia="PMingLiU"/>
          <w:lang w:eastAsia="en-US"/>
        </w:rPr>
      </w:pPr>
    </w:p>
    <w:p>
      <w:pPr>
        <w:tabs>
          <w:tab w:val="left" w:pos="1165"/>
        </w:tabs>
        <w:ind w:right="-1"/>
        <w:rPr>
          <w:rFonts w:eastAsia="PMingLiU"/>
          <w:lang w:eastAsia="en-US"/>
        </w:rPr>
      </w:pPr>
      <w:r>
        <w:rPr>
          <w:rFonts w:eastAsia="PMingLiU"/>
          <w:lang w:eastAsia="en-US"/>
        </w:rPr>
        <w:t>Испытания на ударный изгиб для сварного соединения проводить на образцах KCU по ГОСТ</w:t>
      </w:r>
      <w:r>
        <w:rPr>
          <w:rFonts w:eastAsia="PMingLiU"/>
          <w:lang w:val="en-US" w:eastAsia="en-US"/>
        </w:rPr>
        <w:t> </w:t>
      </w:r>
      <w:r>
        <w:rPr>
          <w:rFonts w:eastAsia="PMingLiU"/>
          <w:lang w:eastAsia="en-US"/>
        </w:rPr>
        <w:t>6996.</w:t>
      </w:r>
    </w:p>
    <w:p>
      <w:pPr>
        <w:tabs>
          <w:tab w:val="left" w:pos="1165"/>
        </w:tabs>
        <w:ind w:right="109"/>
        <w:rPr>
          <w:rFonts w:eastAsia="PMingLiU"/>
          <w:spacing w:val="-1"/>
          <w:lang w:eastAsia="en-US"/>
        </w:rPr>
      </w:pPr>
    </w:p>
    <w:p>
      <w:pPr>
        <w:tabs>
          <w:tab w:val="left" w:pos="1165"/>
        </w:tabs>
        <w:ind w:right="-1"/>
        <w:rPr>
          <w:rFonts w:eastAsia="PMingLiU"/>
          <w:spacing w:val="-1"/>
          <w:lang w:eastAsia="en-US"/>
        </w:rPr>
      </w:pPr>
      <w:r>
        <w:rPr>
          <w:rFonts w:eastAsia="PMingLiU"/>
          <w:spacing w:val="-1"/>
          <w:lang w:eastAsia="en-US"/>
        </w:rPr>
        <w:t>Допускается в процессе испытаний опытных образцов устанавливать коэффициент сопротивления ζ кранов шаровых на основе анализа геометрических размеров проточной части и характеристик подобных конструкций, если вследствие отсутствия испытательных стендов или по другим причинам их экспериментальные значения определить невозможно или нецелесообразно.</w:t>
      </w:r>
    </w:p>
    <w:p>
      <w:pPr>
        <w:widowControl w:val="0"/>
        <w:tabs>
          <w:tab w:val="left" w:pos="1134"/>
        </w:tabs>
        <w:ind w:right="103"/>
        <w:rPr>
          <w:rFonts w:eastAsia="PMingLiU"/>
          <w:spacing w:val="-4"/>
          <w:lang w:eastAsia="en-US"/>
        </w:rPr>
      </w:pPr>
    </w:p>
    <w:p>
      <w:pPr>
        <w:widowControl w:val="0"/>
        <w:tabs>
          <w:tab w:val="left" w:pos="1134"/>
        </w:tabs>
        <w:ind w:right="-1"/>
        <w:rPr>
          <w:rFonts w:eastAsia="PMingLiU"/>
          <w:spacing w:val="-4"/>
          <w:lang w:eastAsia="en-US"/>
        </w:rPr>
      </w:pPr>
      <w:r>
        <w:rPr>
          <w:rFonts w:eastAsia="PMingLiU"/>
          <w:spacing w:val="-4"/>
          <w:lang w:eastAsia="en-US"/>
        </w:rPr>
        <w:t>Результаты испытаний кранов шаровых оформляют документально, в соответствии с требованиями ГОСТ</w:t>
      </w:r>
      <w:r>
        <w:rPr>
          <w:rFonts w:eastAsia="PMingLiU"/>
          <w:spacing w:val="-4"/>
          <w:lang w:val="en-US" w:eastAsia="en-US"/>
        </w:rPr>
        <w:t> </w:t>
      </w:r>
      <w:r>
        <w:rPr>
          <w:rFonts w:eastAsia="PMingLiU"/>
          <w:spacing w:val="-4"/>
          <w:lang w:eastAsia="en-US"/>
        </w:rPr>
        <w:t>Р</w:t>
      </w:r>
      <w:r>
        <w:rPr>
          <w:rFonts w:eastAsia="PMingLiU"/>
          <w:spacing w:val="-4"/>
          <w:lang w:val="en-US" w:eastAsia="en-US"/>
        </w:rPr>
        <w:t> </w:t>
      </w:r>
      <w:r>
        <w:rPr>
          <w:rFonts w:eastAsia="PMingLiU"/>
          <w:spacing w:val="-4"/>
          <w:lang w:eastAsia="en-US"/>
        </w:rPr>
        <w:t>15.301 и (или) ГОСТ</w:t>
      </w:r>
      <w:r>
        <w:rPr>
          <w:rFonts w:eastAsia="PMingLiU"/>
          <w:spacing w:val="-4"/>
          <w:lang w:val="en-US" w:eastAsia="en-US"/>
        </w:rPr>
        <w:t> </w:t>
      </w:r>
      <w:r>
        <w:rPr>
          <w:rFonts w:eastAsia="PMingLiU"/>
          <w:spacing w:val="-4"/>
          <w:lang w:eastAsia="en-US"/>
        </w:rPr>
        <w:t>15.309.</w:t>
      </w:r>
    </w:p>
    <w:p>
      <w:pPr>
        <w:widowControl w:val="0"/>
        <w:tabs>
          <w:tab w:val="left" w:pos="1134"/>
        </w:tabs>
        <w:ind w:right="-1"/>
        <w:rPr>
          <w:rFonts w:eastAsia="PMingLiU"/>
          <w:spacing w:val="-4"/>
          <w:lang w:eastAsia="en-US"/>
        </w:rPr>
      </w:pPr>
    </w:p>
    <w:p>
      <w:pPr>
        <w:widowControl w:val="0"/>
        <w:tabs>
          <w:tab w:val="left" w:pos="1134"/>
        </w:tabs>
        <w:ind w:right="-1"/>
        <w:rPr>
          <w:rFonts w:eastAsia="PMingLiU"/>
          <w:spacing w:val="-4"/>
          <w:lang w:eastAsia="en-US"/>
        </w:rPr>
      </w:pPr>
      <w:r>
        <w:rPr>
          <w:rFonts w:eastAsia="PMingLiU"/>
          <w:spacing w:val="-4"/>
          <w:lang w:eastAsia="en-US"/>
        </w:rPr>
        <w:t>Приемо-сдаточные испытания проводят с целью контроля соответствия крана шарового требованиям КД,</w:t>
      </w:r>
      <w:r>
        <w:rPr>
          <w:rFonts w:eastAsia="Times New Roman"/>
        </w:rPr>
        <w:t xml:space="preserve"> настоящих Методических указаний с учетом требований ГОСТ</w:t>
      </w:r>
      <w:r>
        <w:rPr>
          <w:rFonts w:eastAsia="Times New Roman"/>
          <w:lang w:val="en-US"/>
        </w:rPr>
        <w:t> </w:t>
      </w:r>
      <w:r>
        <w:rPr>
          <w:rFonts w:eastAsia="Times New Roman"/>
        </w:rPr>
        <w:t>15.309</w:t>
      </w:r>
      <w:r>
        <w:rPr>
          <w:rFonts w:eastAsia="PMingLiU"/>
          <w:spacing w:val="-4"/>
          <w:lang w:eastAsia="en-US"/>
        </w:rPr>
        <w:t xml:space="preserve"> для определения возможности приемки крана шарового в эксплуатацию.</w:t>
      </w:r>
    </w:p>
    <w:p>
      <w:pPr>
        <w:rPr>
          <w:rFonts w:eastAsia="Times New Roman"/>
        </w:rPr>
      </w:pPr>
    </w:p>
    <w:p>
      <w:pPr>
        <w:rPr>
          <w:rFonts w:eastAsia="PMingLiU"/>
          <w:lang w:eastAsia="en-US"/>
        </w:rPr>
      </w:pPr>
      <w:r>
        <w:rPr>
          <w:rFonts w:eastAsia="PMingLiU"/>
          <w:lang w:eastAsia="en-US"/>
        </w:rPr>
        <w:t>При испытаниях на прочность, плотность и герметичность, арматура должна выдерживаться при установившемся давлении, в течение</w:t>
      </w:r>
      <w:r>
        <w:rPr>
          <w:rFonts w:ascii="Arial" w:eastAsia="PMingLiU" w:hAnsi="Arial" w:cs="Arial"/>
          <w:color w:val="000000"/>
          <w:lang w:eastAsia="en-US"/>
        </w:rPr>
        <w:t xml:space="preserve"> </w:t>
      </w:r>
      <w:r>
        <w:rPr>
          <w:rFonts w:eastAsia="PMingLiU"/>
          <w:lang w:eastAsia="en-US"/>
        </w:rPr>
        <w:t>времени, указанного в Таблице 25.</w:t>
      </w:r>
    </w:p>
    <w:p>
      <w:pPr>
        <w:rPr>
          <w:rFonts w:eastAsia="Times New Roman"/>
        </w:rPr>
      </w:pPr>
    </w:p>
    <w:p>
      <w:pPr>
        <w:keepNext/>
        <w:widowControl w:val="0"/>
        <w:jc w:val="right"/>
        <w:rPr>
          <w:rFonts w:ascii="Arial" w:eastAsia="Times New Roman" w:hAnsi="Arial" w:cs="Arial"/>
          <w:b/>
          <w:sz w:val="20"/>
          <w:szCs w:val="20"/>
        </w:rPr>
      </w:pPr>
      <w:r>
        <w:rPr>
          <w:rFonts w:ascii="Arial" w:eastAsia="Times New Roman" w:hAnsi="Arial"/>
          <w:b/>
          <w:sz w:val="20"/>
        </w:rPr>
        <w:lastRenderedPageBreak/>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25</w:t>
      </w:r>
      <w:r>
        <w:rPr>
          <w:rFonts w:ascii="Arial" w:eastAsia="Times New Roman" w:hAnsi="Arial"/>
          <w:b/>
          <w:noProof/>
          <w:sz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Время выдержки под давлением</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FFFF"/>
        <w:tblLayout w:type="fixed"/>
        <w:tblLook w:val="04A0" w:firstRow="1" w:lastRow="0" w:firstColumn="1" w:lastColumn="0" w:noHBand="0" w:noVBand="1"/>
      </w:tblPr>
      <w:tblGrid>
        <w:gridCol w:w="393"/>
        <w:gridCol w:w="2268"/>
        <w:gridCol w:w="1559"/>
        <w:gridCol w:w="851"/>
        <w:gridCol w:w="1701"/>
        <w:gridCol w:w="863"/>
        <w:gridCol w:w="1129"/>
        <w:gridCol w:w="1090"/>
      </w:tblGrid>
      <w:tr>
        <w:trPr>
          <w:trHeight w:val="732"/>
          <w:tblHeader/>
        </w:trPr>
        <w:tc>
          <w:tcPr>
            <w:tcW w:w="199" w:type="pct"/>
            <w:vMerge w:val="restart"/>
            <w:tcBorders>
              <w:top w:val="single" w:sz="12" w:space="0" w:color="auto"/>
              <w:bottom w:val="single" w:sz="6" w:space="0" w:color="auto"/>
            </w:tcBorders>
            <w:shd w:val="clear" w:color="auto" w:fill="FFD200"/>
            <w:vAlign w:val="center"/>
          </w:tcPr>
          <w:p>
            <w:pPr>
              <w:keepNext/>
              <w:widowControl w:val="0"/>
              <w:spacing w:before="20" w:after="20"/>
              <w:ind w:left="-142" w:right="-107"/>
              <w:jc w:val="center"/>
              <w:rPr>
                <w:rFonts w:ascii="Arial" w:eastAsia="Times New Roman" w:hAnsi="Arial"/>
                <w:b/>
                <w:caps/>
                <w:sz w:val="16"/>
                <w:szCs w:val="16"/>
                <w:u w:color="000000"/>
              </w:rPr>
            </w:pPr>
            <w:r>
              <w:rPr>
                <w:rFonts w:ascii="Arial" w:eastAsia="Times New Roman" w:hAnsi="Arial"/>
                <w:b/>
                <w:caps/>
                <w:sz w:val="16"/>
                <w:szCs w:val="16"/>
                <w:u w:color="000000"/>
              </w:rPr>
              <w:t>№ п/п</w:t>
            </w:r>
          </w:p>
        </w:tc>
        <w:tc>
          <w:tcPr>
            <w:tcW w:w="1151" w:type="pct"/>
            <w:vMerge w:val="restart"/>
            <w:tcBorders>
              <w:top w:val="single" w:sz="12" w:space="0" w:color="auto"/>
              <w:bottom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испытание</w:t>
            </w:r>
          </w:p>
        </w:tc>
        <w:tc>
          <w:tcPr>
            <w:tcW w:w="791" w:type="pct"/>
            <w:vMerge w:val="restart"/>
            <w:tcBorders>
              <w:top w:val="single" w:sz="12" w:space="0" w:color="auto"/>
              <w:bottom w:val="single" w:sz="6" w:space="0" w:color="auto"/>
            </w:tcBorders>
            <w:shd w:val="clear" w:color="auto" w:fill="FFD200"/>
            <w:vAlign w:val="center"/>
          </w:tcPr>
          <w:p>
            <w:pPr>
              <w:keepNext/>
              <w:widowControl w:val="0"/>
              <w:spacing w:before="20" w:after="20"/>
              <w:ind w:left="-109" w:right="-107"/>
              <w:jc w:val="center"/>
              <w:rPr>
                <w:rFonts w:ascii="Arial" w:eastAsia="Times New Roman" w:hAnsi="Arial"/>
                <w:b/>
                <w:caps/>
                <w:sz w:val="16"/>
                <w:szCs w:val="16"/>
                <w:u w:color="000000"/>
              </w:rPr>
            </w:pPr>
            <w:r>
              <w:rPr>
                <w:rFonts w:ascii="Arial" w:eastAsia="Times New Roman" w:hAnsi="Arial"/>
                <w:b/>
                <w:caps/>
                <w:sz w:val="16"/>
                <w:szCs w:val="16"/>
                <w:u w:color="000000"/>
              </w:rPr>
              <w:t>испытательная среда/</w:t>
            </w:r>
          </w:p>
          <w:p>
            <w:pPr>
              <w:keepNext/>
              <w:widowControl w:val="0"/>
              <w:spacing w:before="20" w:after="20"/>
              <w:ind w:left="-109" w:right="-107"/>
              <w:jc w:val="center"/>
              <w:rPr>
                <w:rFonts w:ascii="Arial" w:eastAsia="Times New Roman" w:hAnsi="Arial"/>
                <w:b/>
                <w:caps/>
                <w:sz w:val="16"/>
                <w:szCs w:val="16"/>
                <w:u w:color="000000"/>
              </w:rPr>
            </w:pPr>
            <w:r>
              <w:rPr>
                <w:rFonts w:ascii="Arial" w:eastAsia="Times New Roman" w:hAnsi="Arial"/>
                <w:b/>
                <w:caps/>
                <w:sz w:val="16"/>
                <w:szCs w:val="16"/>
                <w:u w:color="000000"/>
              </w:rPr>
              <w:t>величина давления</w:t>
            </w:r>
          </w:p>
        </w:tc>
        <w:tc>
          <w:tcPr>
            <w:tcW w:w="1733" w:type="pct"/>
            <w:gridSpan w:val="3"/>
            <w:tcBorders>
              <w:top w:val="single" w:sz="12" w:space="0" w:color="auto"/>
              <w:bottom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время выдержки арматуры при установившемся давлении перед началом контроля, С, не менее****</w:t>
            </w:r>
          </w:p>
        </w:tc>
        <w:tc>
          <w:tcPr>
            <w:tcW w:w="1126" w:type="pct"/>
            <w:gridSpan w:val="2"/>
            <w:tcBorders>
              <w:top w:val="single" w:sz="12" w:space="0" w:color="auto"/>
              <w:bottom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время контроля (измерения), с, не менее</w:t>
            </w:r>
          </w:p>
        </w:tc>
      </w:tr>
      <w:tr>
        <w:trPr>
          <w:tblHeader/>
        </w:trPr>
        <w:tc>
          <w:tcPr>
            <w:tcW w:w="199" w:type="pct"/>
            <w:vMerge/>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p>
        </w:tc>
        <w:tc>
          <w:tcPr>
            <w:tcW w:w="1151" w:type="pct"/>
            <w:vMerge/>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p>
        </w:tc>
        <w:tc>
          <w:tcPr>
            <w:tcW w:w="791" w:type="pct"/>
            <w:vMerge/>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p>
        </w:tc>
        <w:tc>
          <w:tcPr>
            <w:tcW w:w="432"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4"/>
                <w:szCs w:val="14"/>
                <w:lang w:val="en-US"/>
              </w:rPr>
            </w:pPr>
            <w:r>
              <w:rPr>
                <w:rFonts w:ascii="Arial" w:eastAsia="Times New Roman" w:hAnsi="Arial"/>
                <w:b/>
                <w:caps/>
                <w:sz w:val="14"/>
                <w:szCs w:val="14"/>
              </w:rPr>
              <w:t>DN </w:t>
            </w:r>
            <w:r>
              <w:rPr>
                <w:rFonts w:ascii="Arial" w:eastAsia="Times New Roman" w:hAnsi="Arial" w:cs="Arial"/>
                <w:b/>
                <w:caps/>
                <w:sz w:val="14"/>
                <w:szCs w:val="14"/>
                <w:lang w:val="en-US"/>
              </w:rPr>
              <w:t>&lt;</w:t>
            </w:r>
            <w:r>
              <w:rPr>
                <w:rFonts w:ascii="Arial" w:eastAsia="Times New Roman" w:hAnsi="Arial"/>
                <w:b/>
                <w:caps/>
                <w:sz w:val="14"/>
                <w:szCs w:val="14"/>
              </w:rPr>
              <w:t> </w:t>
            </w:r>
            <w:r>
              <w:rPr>
                <w:rFonts w:ascii="Arial" w:eastAsia="Times New Roman" w:hAnsi="Arial"/>
                <w:b/>
                <w:caps/>
                <w:sz w:val="14"/>
                <w:szCs w:val="14"/>
                <w:lang w:val="en-US"/>
              </w:rPr>
              <w:t>100</w:t>
            </w:r>
          </w:p>
        </w:tc>
        <w:tc>
          <w:tcPr>
            <w:tcW w:w="863" w:type="pct"/>
            <w:tcBorders>
              <w:top w:val="single" w:sz="6" w:space="0" w:color="auto"/>
              <w:bottom w:val="single" w:sz="12" w:space="0" w:color="auto"/>
            </w:tcBorders>
            <w:shd w:val="clear" w:color="auto" w:fill="FFD200"/>
            <w:vAlign w:val="center"/>
          </w:tcPr>
          <w:p>
            <w:pPr>
              <w:keepNext/>
              <w:widowControl w:val="0"/>
              <w:spacing w:before="20" w:after="20"/>
              <w:ind w:left="-110" w:right="-93"/>
              <w:jc w:val="center"/>
              <w:rPr>
                <w:rFonts w:ascii="Arial" w:eastAsia="Times New Roman" w:hAnsi="Arial"/>
                <w:b/>
                <w:caps/>
                <w:sz w:val="14"/>
                <w:szCs w:val="14"/>
              </w:rPr>
            </w:pPr>
            <w:r>
              <w:rPr>
                <w:rFonts w:ascii="Arial" w:eastAsia="Times New Roman" w:hAnsi="Arial"/>
                <w:b/>
                <w:caps/>
                <w:sz w:val="14"/>
                <w:szCs w:val="14"/>
              </w:rPr>
              <w:t>ОТ DN 100 ДО DN 300 ВКЛЮЧИТЕЛЬНО</w:t>
            </w:r>
          </w:p>
        </w:tc>
        <w:tc>
          <w:tcPr>
            <w:tcW w:w="438"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4"/>
                <w:szCs w:val="14"/>
                <w:lang w:val="en-US"/>
              </w:rPr>
            </w:pPr>
            <w:r>
              <w:rPr>
                <w:rFonts w:ascii="Arial" w:eastAsia="Times New Roman" w:hAnsi="Arial"/>
                <w:b/>
                <w:caps/>
                <w:sz w:val="14"/>
                <w:szCs w:val="14"/>
              </w:rPr>
              <w:t>DN </w:t>
            </w:r>
            <w:r>
              <w:rPr>
                <w:rFonts w:ascii="Arial" w:eastAsia="Times New Roman" w:hAnsi="Arial" w:cs="Arial"/>
                <w:b/>
                <w:caps/>
                <w:sz w:val="14"/>
                <w:szCs w:val="14"/>
                <w:lang w:val="en-US"/>
              </w:rPr>
              <w:t>&gt;</w:t>
            </w:r>
            <w:r>
              <w:rPr>
                <w:rFonts w:ascii="Arial" w:eastAsia="Times New Roman" w:hAnsi="Arial"/>
                <w:b/>
                <w:caps/>
                <w:sz w:val="14"/>
                <w:szCs w:val="14"/>
              </w:rPr>
              <w:t> 3</w:t>
            </w:r>
            <w:r>
              <w:rPr>
                <w:rFonts w:ascii="Arial" w:eastAsia="Times New Roman" w:hAnsi="Arial"/>
                <w:b/>
                <w:caps/>
                <w:sz w:val="14"/>
                <w:szCs w:val="14"/>
                <w:lang w:val="en-US"/>
              </w:rPr>
              <w:t>0</w:t>
            </w:r>
            <w:r>
              <w:rPr>
                <w:rFonts w:ascii="Arial" w:eastAsia="Times New Roman" w:hAnsi="Arial"/>
                <w:b/>
                <w:caps/>
                <w:sz w:val="14"/>
                <w:szCs w:val="14"/>
              </w:rPr>
              <w:t>0</w:t>
            </w:r>
          </w:p>
        </w:tc>
        <w:tc>
          <w:tcPr>
            <w:tcW w:w="573"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4"/>
                <w:szCs w:val="14"/>
                <w:lang w:val="en-US"/>
              </w:rPr>
            </w:pPr>
            <w:r>
              <w:rPr>
                <w:rFonts w:ascii="Arial" w:eastAsia="Times New Roman" w:hAnsi="Arial"/>
                <w:b/>
                <w:caps/>
                <w:sz w:val="14"/>
                <w:szCs w:val="14"/>
              </w:rPr>
              <w:t>DN </w:t>
            </w:r>
            <w:r>
              <w:rPr>
                <w:rFonts w:ascii="Arial" w:eastAsia="Times New Roman" w:hAnsi="Arial" w:cs="Arial"/>
                <w:b/>
                <w:caps/>
                <w:sz w:val="14"/>
                <w:szCs w:val="14"/>
              </w:rPr>
              <w:t>≤</w:t>
            </w:r>
            <w:r>
              <w:rPr>
                <w:rFonts w:ascii="Arial" w:eastAsia="Times New Roman" w:hAnsi="Arial"/>
                <w:b/>
                <w:caps/>
                <w:sz w:val="14"/>
                <w:szCs w:val="14"/>
              </w:rPr>
              <w:t> 100</w:t>
            </w:r>
          </w:p>
        </w:tc>
        <w:tc>
          <w:tcPr>
            <w:tcW w:w="553" w:type="pct"/>
            <w:tcBorders>
              <w:top w:val="single" w:sz="6"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4"/>
                <w:szCs w:val="14"/>
                <w:lang w:val="en-US"/>
              </w:rPr>
            </w:pPr>
            <w:r>
              <w:rPr>
                <w:rFonts w:ascii="Arial" w:eastAsia="Times New Roman" w:hAnsi="Arial"/>
                <w:b/>
                <w:caps/>
                <w:sz w:val="14"/>
                <w:szCs w:val="14"/>
              </w:rPr>
              <w:t>DN </w:t>
            </w:r>
            <w:r>
              <w:rPr>
                <w:rFonts w:ascii="Arial" w:eastAsia="Times New Roman" w:hAnsi="Arial"/>
                <w:b/>
                <w:caps/>
                <w:sz w:val="14"/>
                <w:szCs w:val="14"/>
                <w:lang w:val="en-US"/>
              </w:rPr>
              <w:t>&gt;</w:t>
            </w:r>
            <w:r>
              <w:rPr>
                <w:rFonts w:ascii="Arial" w:eastAsia="Times New Roman" w:hAnsi="Arial"/>
                <w:b/>
                <w:caps/>
                <w:sz w:val="14"/>
                <w:szCs w:val="14"/>
              </w:rPr>
              <w:t> 100</w:t>
            </w:r>
          </w:p>
        </w:tc>
      </w:tr>
      <w:tr>
        <w:trPr>
          <w:trHeight w:val="255"/>
          <w:tblHeader/>
        </w:trPr>
        <w:tc>
          <w:tcPr>
            <w:tcW w:w="199"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1</w:t>
            </w:r>
          </w:p>
        </w:tc>
        <w:tc>
          <w:tcPr>
            <w:tcW w:w="1151"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2</w:t>
            </w:r>
          </w:p>
        </w:tc>
        <w:tc>
          <w:tcPr>
            <w:tcW w:w="791"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3</w:t>
            </w:r>
          </w:p>
        </w:tc>
        <w:tc>
          <w:tcPr>
            <w:tcW w:w="432"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4</w:t>
            </w:r>
          </w:p>
        </w:tc>
        <w:tc>
          <w:tcPr>
            <w:tcW w:w="863"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5</w:t>
            </w:r>
          </w:p>
        </w:tc>
        <w:tc>
          <w:tcPr>
            <w:tcW w:w="438" w:type="pct"/>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6</w:t>
            </w:r>
          </w:p>
        </w:tc>
        <w:tc>
          <w:tcPr>
            <w:tcW w:w="1126" w:type="pct"/>
            <w:gridSpan w:val="2"/>
            <w:tcBorders>
              <w:top w:val="single" w:sz="12" w:space="0" w:color="auto"/>
              <w:bottom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u w:color="000000"/>
              </w:rPr>
            </w:pPr>
            <w:r>
              <w:rPr>
                <w:rFonts w:ascii="Arial" w:eastAsia="Times New Roman" w:hAnsi="Arial"/>
                <w:b/>
                <w:caps/>
                <w:sz w:val="16"/>
                <w:szCs w:val="16"/>
                <w:u w:color="000000"/>
              </w:rPr>
              <w:t>7</w:t>
            </w:r>
          </w:p>
        </w:tc>
      </w:tr>
      <w:tr>
        <w:trPr>
          <w:trHeight w:val="255"/>
        </w:trPr>
        <w:tc>
          <w:tcPr>
            <w:tcW w:w="199" w:type="pct"/>
            <w:tcBorders>
              <w:top w:val="single" w:sz="12" w:space="0" w:color="auto"/>
              <w:bottom w:val="single" w:sz="6" w:space="0" w:color="auto"/>
            </w:tcBorders>
            <w:shd w:val="clear" w:color="auto" w:fill="FFFFFF"/>
          </w:tcPr>
          <w:p>
            <w:pPr>
              <w:rPr>
                <w:rFonts w:eastAsia="Times New Roman"/>
                <w:sz w:val="20"/>
                <w:szCs w:val="20"/>
              </w:rPr>
            </w:pPr>
            <w:r>
              <w:rPr>
                <w:rFonts w:eastAsia="Times New Roman"/>
                <w:sz w:val="20"/>
                <w:szCs w:val="20"/>
              </w:rPr>
              <w:t>1</w:t>
            </w:r>
          </w:p>
        </w:tc>
        <w:tc>
          <w:tcPr>
            <w:tcW w:w="1151" w:type="pct"/>
            <w:tcBorders>
              <w:top w:val="single" w:sz="12" w:space="0" w:color="auto"/>
              <w:bottom w:val="single" w:sz="6" w:space="0" w:color="auto"/>
            </w:tcBorders>
            <w:shd w:val="clear" w:color="auto" w:fill="FFFFFF"/>
          </w:tcPr>
          <w:p>
            <w:pPr>
              <w:ind w:right="33"/>
              <w:jc w:val="left"/>
              <w:rPr>
                <w:rFonts w:eastAsia="Times New Roman"/>
                <w:sz w:val="20"/>
                <w:szCs w:val="16"/>
              </w:rPr>
            </w:pPr>
            <w:r>
              <w:rPr>
                <w:rFonts w:eastAsia="Times New Roman"/>
                <w:sz w:val="20"/>
                <w:szCs w:val="16"/>
              </w:rPr>
              <w:t>Прочность и плотность материала корпусных деталей и сварных швов</w:t>
            </w:r>
          </w:p>
        </w:tc>
        <w:tc>
          <w:tcPr>
            <w:tcW w:w="791" w:type="pct"/>
            <w:tcBorders>
              <w:top w:val="single" w:sz="12" w:space="0" w:color="auto"/>
              <w:bottom w:val="single" w:sz="6" w:space="0" w:color="auto"/>
            </w:tcBorders>
            <w:shd w:val="clear" w:color="auto" w:fill="FFFFFF"/>
          </w:tcPr>
          <w:p>
            <w:pPr>
              <w:ind w:right="-107"/>
              <w:jc w:val="left"/>
              <w:rPr>
                <w:rFonts w:eastAsia="Times New Roman"/>
                <w:sz w:val="20"/>
                <w:szCs w:val="16"/>
              </w:rPr>
            </w:pPr>
            <w:r>
              <w:rPr>
                <w:rFonts w:eastAsia="Times New Roman"/>
                <w:sz w:val="20"/>
                <w:szCs w:val="16"/>
              </w:rPr>
              <w:t>Вода*/Таблица 1 ГОСТ</w:t>
            </w:r>
            <w:r>
              <w:rPr>
                <w:rFonts w:eastAsia="Times New Roman"/>
                <w:sz w:val="20"/>
                <w:szCs w:val="16"/>
                <w:lang w:val="en-US"/>
              </w:rPr>
              <w:t> </w:t>
            </w:r>
            <w:r>
              <w:rPr>
                <w:rFonts w:eastAsia="Times New Roman"/>
                <w:sz w:val="20"/>
                <w:szCs w:val="16"/>
              </w:rPr>
              <w:t>356-80 или воздух /0,6 МПа**</w:t>
            </w:r>
          </w:p>
        </w:tc>
        <w:tc>
          <w:tcPr>
            <w:tcW w:w="432" w:type="pct"/>
            <w:tcBorders>
              <w:top w:val="single" w:sz="12" w:space="0" w:color="auto"/>
              <w:bottom w:val="single" w:sz="6" w:space="0" w:color="auto"/>
            </w:tcBorders>
            <w:shd w:val="clear" w:color="auto" w:fill="FFFFFF"/>
          </w:tcPr>
          <w:p>
            <w:pPr>
              <w:jc w:val="left"/>
              <w:rPr>
                <w:rFonts w:eastAsia="PMingLiU"/>
                <w:bCs/>
                <w:sz w:val="20"/>
                <w:szCs w:val="16"/>
                <w:lang w:val="en-US" w:eastAsia="en-US"/>
              </w:rPr>
            </w:pPr>
            <w:r>
              <w:rPr>
                <w:rFonts w:eastAsia="PMingLiU"/>
                <w:bCs/>
                <w:sz w:val="20"/>
                <w:szCs w:val="16"/>
                <w:lang w:val="en-US" w:eastAsia="en-US"/>
              </w:rPr>
              <w:t>120</w:t>
            </w:r>
          </w:p>
        </w:tc>
        <w:tc>
          <w:tcPr>
            <w:tcW w:w="863" w:type="pct"/>
            <w:tcBorders>
              <w:top w:val="single" w:sz="12" w:space="0" w:color="auto"/>
              <w:bottom w:val="single" w:sz="6" w:space="0" w:color="auto"/>
            </w:tcBorders>
            <w:shd w:val="clear" w:color="auto" w:fill="FFFFFF"/>
          </w:tcPr>
          <w:p>
            <w:pPr>
              <w:jc w:val="left"/>
              <w:rPr>
                <w:rFonts w:eastAsia="PMingLiU"/>
                <w:bCs/>
                <w:sz w:val="20"/>
                <w:szCs w:val="16"/>
                <w:lang w:val="en-US" w:eastAsia="en-US"/>
              </w:rPr>
            </w:pPr>
            <w:r>
              <w:rPr>
                <w:rFonts w:eastAsia="PMingLiU"/>
                <w:bCs/>
                <w:sz w:val="20"/>
                <w:szCs w:val="16"/>
                <w:lang w:val="en-US" w:eastAsia="en-US"/>
              </w:rPr>
              <w:t>180</w:t>
            </w:r>
          </w:p>
        </w:tc>
        <w:tc>
          <w:tcPr>
            <w:tcW w:w="438" w:type="pct"/>
            <w:tcBorders>
              <w:top w:val="single" w:sz="12"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300</w:t>
            </w:r>
          </w:p>
        </w:tc>
        <w:tc>
          <w:tcPr>
            <w:tcW w:w="1126" w:type="pct"/>
            <w:gridSpan w:val="2"/>
            <w:tcBorders>
              <w:top w:val="single" w:sz="12"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Время, достаточное для осмотра после выдержки и понижения давления до PN, но не менее 60</w:t>
            </w:r>
          </w:p>
        </w:tc>
      </w:tr>
      <w:tr>
        <w:trPr>
          <w:trHeight w:val="255"/>
        </w:trPr>
        <w:tc>
          <w:tcPr>
            <w:tcW w:w="199" w:type="pct"/>
            <w:tcBorders>
              <w:top w:val="single" w:sz="6" w:space="0" w:color="auto"/>
              <w:bottom w:val="single" w:sz="6" w:space="0" w:color="auto"/>
            </w:tcBorders>
            <w:shd w:val="clear" w:color="auto" w:fill="FFFFFF"/>
          </w:tcPr>
          <w:p>
            <w:pPr>
              <w:rPr>
                <w:rFonts w:eastAsia="Times New Roman"/>
                <w:sz w:val="20"/>
                <w:szCs w:val="20"/>
              </w:rPr>
            </w:pPr>
            <w:r>
              <w:rPr>
                <w:rFonts w:eastAsia="Times New Roman"/>
                <w:sz w:val="20"/>
                <w:szCs w:val="20"/>
              </w:rPr>
              <w:t>2</w:t>
            </w:r>
          </w:p>
        </w:tc>
        <w:tc>
          <w:tcPr>
            <w:tcW w:w="1151" w:type="pct"/>
            <w:tcBorders>
              <w:top w:val="single" w:sz="6" w:space="0" w:color="auto"/>
              <w:bottom w:val="single" w:sz="6" w:space="0" w:color="auto"/>
            </w:tcBorders>
            <w:shd w:val="clear" w:color="auto" w:fill="FFFFFF"/>
          </w:tcPr>
          <w:p>
            <w:pPr>
              <w:ind w:right="33"/>
              <w:jc w:val="left"/>
              <w:rPr>
                <w:rFonts w:eastAsia="Times New Roman"/>
                <w:sz w:val="20"/>
                <w:szCs w:val="16"/>
              </w:rPr>
            </w:pPr>
            <w:r>
              <w:rPr>
                <w:rFonts w:eastAsia="Times New Roman"/>
                <w:sz w:val="20"/>
                <w:szCs w:val="16"/>
              </w:rPr>
              <w:t>Герметичность относительно внешней среды по уплотнению подвижных соединений и неподвижных соединений***</w:t>
            </w:r>
          </w:p>
        </w:tc>
        <w:tc>
          <w:tcPr>
            <w:tcW w:w="791" w:type="pct"/>
            <w:tcBorders>
              <w:top w:val="single" w:sz="6" w:space="0" w:color="auto"/>
              <w:bottom w:val="single" w:sz="6" w:space="0" w:color="auto"/>
            </w:tcBorders>
            <w:shd w:val="clear" w:color="auto" w:fill="FFFFFF"/>
          </w:tcPr>
          <w:p>
            <w:pPr>
              <w:ind w:right="-107"/>
              <w:jc w:val="left"/>
              <w:rPr>
                <w:rFonts w:eastAsia="Times New Roman"/>
                <w:sz w:val="20"/>
                <w:szCs w:val="16"/>
              </w:rPr>
            </w:pPr>
            <w:r>
              <w:rPr>
                <w:rFonts w:eastAsia="Times New Roman"/>
                <w:sz w:val="20"/>
                <w:szCs w:val="16"/>
              </w:rPr>
              <w:t>Вода*/1,1 РN или воздух /0,6 МПа**</w:t>
            </w:r>
          </w:p>
        </w:tc>
        <w:tc>
          <w:tcPr>
            <w:tcW w:w="1733" w:type="pct"/>
            <w:gridSpan w:val="3"/>
            <w:tcBorders>
              <w:top w:val="single" w:sz="6"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60</w:t>
            </w:r>
          </w:p>
        </w:tc>
        <w:tc>
          <w:tcPr>
            <w:tcW w:w="1126" w:type="pct"/>
            <w:gridSpan w:val="2"/>
            <w:tcBorders>
              <w:top w:val="single" w:sz="6"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Время, достаточное для осмотра, но не менее 60</w:t>
            </w:r>
          </w:p>
        </w:tc>
      </w:tr>
      <w:tr>
        <w:trPr>
          <w:trHeight w:val="255"/>
        </w:trPr>
        <w:tc>
          <w:tcPr>
            <w:tcW w:w="199" w:type="pct"/>
            <w:vMerge w:val="restart"/>
            <w:tcBorders>
              <w:top w:val="single" w:sz="6" w:space="0" w:color="auto"/>
              <w:bottom w:val="single" w:sz="6" w:space="0" w:color="auto"/>
            </w:tcBorders>
            <w:shd w:val="clear" w:color="auto" w:fill="FFFFFF"/>
          </w:tcPr>
          <w:p>
            <w:pPr>
              <w:rPr>
                <w:rFonts w:eastAsia="Times New Roman"/>
                <w:sz w:val="20"/>
                <w:szCs w:val="20"/>
              </w:rPr>
            </w:pPr>
            <w:r>
              <w:rPr>
                <w:rFonts w:eastAsia="Times New Roman"/>
                <w:sz w:val="20"/>
                <w:szCs w:val="20"/>
              </w:rPr>
              <w:t>3</w:t>
            </w:r>
          </w:p>
        </w:tc>
        <w:tc>
          <w:tcPr>
            <w:tcW w:w="1151" w:type="pct"/>
            <w:vMerge w:val="restart"/>
            <w:tcBorders>
              <w:top w:val="single" w:sz="6" w:space="0" w:color="auto"/>
              <w:bottom w:val="single" w:sz="6" w:space="0" w:color="auto"/>
            </w:tcBorders>
            <w:shd w:val="clear" w:color="auto" w:fill="FFFFFF"/>
          </w:tcPr>
          <w:p>
            <w:pPr>
              <w:ind w:right="33"/>
              <w:jc w:val="left"/>
              <w:rPr>
                <w:rFonts w:eastAsia="Times New Roman"/>
                <w:sz w:val="20"/>
                <w:szCs w:val="16"/>
              </w:rPr>
            </w:pPr>
            <w:r>
              <w:rPr>
                <w:rFonts w:eastAsia="Times New Roman"/>
                <w:sz w:val="20"/>
                <w:szCs w:val="16"/>
              </w:rPr>
              <w:t>Герметичность затвора</w:t>
            </w:r>
          </w:p>
        </w:tc>
        <w:tc>
          <w:tcPr>
            <w:tcW w:w="791" w:type="pct"/>
            <w:tcBorders>
              <w:top w:val="single" w:sz="6" w:space="0" w:color="auto"/>
              <w:bottom w:val="single" w:sz="6" w:space="0" w:color="auto"/>
            </w:tcBorders>
            <w:shd w:val="clear" w:color="auto" w:fill="FFFFFF"/>
          </w:tcPr>
          <w:p>
            <w:pPr>
              <w:ind w:right="-107"/>
              <w:jc w:val="left"/>
              <w:rPr>
                <w:rFonts w:eastAsia="Times New Roman"/>
                <w:sz w:val="20"/>
                <w:szCs w:val="16"/>
              </w:rPr>
            </w:pPr>
            <w:r>
              <w:rPr>
                <w:rFonts w:eastAsia="Times New Roman"/>
                <w:sz w:val="20"/>
                <w:szCs w:val="16"/>
              </w:rPr>
              <w:t>Вода*/1,1 РN</w:t>
            </w:r>
          </w:p>
        </w:tc>
        <w:tc>
          <w:tcPr>
            <w:tcW w:w="1733" w:type="pct"/>
            <w:gridSpan w:val="3"/>
            <w:vMerge w:val="restart"/>
            <w:tcBorders>
              <w:top w:val="single" w:sz="6" w:space="0" w:color="auto"/>
            </w:tcBorders>
            <w:shd w:val="clear" w:color="auto" w:fill="FFFFFF"/>
          </w:tcPr>
          <w:p>
            <w:pPr>
              <w:jc w:val="left"/>
              <w:rPr>
                <w:rFonts w:eastAsia="PMingLiU"/>
                <w:bCs/>
                <w:sz w:val="20"/>
                <w:szCs w:val="16"/>
                <w:lang w:val="en-US" w:eastAsia="en-US"/>
              </w:rPr>
            </w:pPr>
            <w:r>
              <w:rPr>
                <w:rFonts w:eastAsia="PMingLiU"/>
                <w:bCs/>
                <w:sz w:val="20"/>
                <w:szCs w:val="16"/>
                <w:lang w:val="en-US" w:eastAsia="en-US"/>
              </w:rPr>
              <w:t>300</w:t>
            </w:r>
          </w:p>
        </w:tc>
        <w:tc>
          <w:tcPr>
            <w:tcW w:w="573" w:type="pct"/>
            <w:tcBorders>
              <w:top w:val="single" w:sz="6"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60</w:t>
            </w:r>
          </w:p>
        </w:tc>
        <w:tc>
          <w:tcPr>
            <w:tcW w:w="553" w:type="pct"/>
            <w:tcBorders>
              <w:top w:val="single" w:sz="6" w:space="0" w:color="auto"/>
              <w:bottom w:val="single" w:sz="6" w:space="0" w:color="auto"/>
            </w:tcBorders>
            <w:shd w:val="clear" w:color="auto" w:fill="FFFFFF"/>
          </w:tcPr>
          <w:p>
            <w:pPr>
              <w:jc w:val="left"/>
              <w:rPr>
                <w:rFonts w:eastAsia="PMingLiU"/>
                <w:bCs/>
                <w:sz w:val="20"/>
                <w:szCs w:val="16"/>
                <w:lang w:eastAsia="en-US"/>
              </w:rPr>
            </w:pPr>
            <w:r>
              <w:rPr>
                <w:rFonts w:eastAsia="PMingLiU"/>
                <w:bCs/>
                <w:sz w:val="20"/>
                <w:szCs w:val="16"/>
                <w:lang w:eastAsia="en-US"/>
              </w:rPr>
              <w:t>120</w:t>
            </w:r>
          </w:p>
        </w:tc>
      </w:tr>
      <w:tr>
        <w:trPr>
          <w:trHeight w:val="255"/>
        </w:trPr>
        <w:tc>
          <w:tcPr>
            <w:tcW w:w="199" w:type="pct"/>
            <w:vMerge/>
            <w:tcBorders>
              <w:top w:val="single" w:sz="6" w:space="0" w:color="auto"/>
              <w:bottom w:val="single" w:sz="12" w:space="0" w:color="auto"/>
            </w:tcBorders>
            <w:shd w:val="clear" w:color="auto" w:fill="FFFFFF"/>
          </w:tcPr>
          <w:p>
            <w:pPr>
              <w:jc w:val="left"/>
              <w:rPr>
                <w:rFonts w:ascii="Arial" w:eastAsia="PMingLiU" w:hAnsi="Arial" w:cs="Arial"/>
                <w:sz w:val="20"/>
                <w:szCs w:val="16"/>
                <w:lang w:eastAsia="en-US"/>
              </w:rPr>
            </w:pPr>
          </w:p>
        </w:tc>
        <w:tc>
          <w:tcPr>
            <w:tcW w:w="1151" w:type="pct"/>
            <w:vMerge/>
            <w:tcBorders>
              <w:top w:val="single" w:sz="6" w:space="0" w:color="auto"/>
              <w:bottom w:val="single" w:sz="12" w:space="0" w:color="auto"/>
            </w:tcBorders>
            <w:shd w:val="clear" w:color="auto" w:fill="FFFFFF"/>
          </w:tcPr>
          <w:p>
            <w:pPr>
              <w:jc w:val="left"/>
              <w:rPr>
                <w:rFonts w:eastAsia="PMingLiU"/>
                <w:b/>
                <w:sz w:val="20"/>
                <w:lang w:eastAsia="en-US"/>
              </w:rPr>
            </w:pPr>
          </w:p>
        </w:tc>
        <w:tc>
          <w:tcPr>
            <w:tcW w:w="791" w:type="pct"/>
            <w:tcBorders>
              <w:top w:val="single" w:sz="6" w:space="0" w:color="auto"/>
              <w:bottom w:val="single" w:sz="12" w:space="0" w:color="auto"/>
            </w:tcBorders>
            <w:shd w:val="clear" w:color="auto" w:fill="FFFFFF"/>
          </w:tcPr>
          <w:p>
            <w:pPr>
              <w:ind w:right="-107"/>
              <w:jc w:val="left"/>
              <w:rPr>
                <w:rFonts w:eastAsia="Times New Roman"/>
                <w:sz w:val="20"/>
                <w:szCs w:val="16"/>
              </w:rPr>
            </w:pPr>
            <w:r>
              <w:rPr>
                <w:rFonts w:eastAsia="Times New Roman"/>
                <w:sz w:val="20"/>
                <w:szCs w:val="16"/>
              </w:rPr>
              <w:t>Воздух /0,6 МПа**</w:t>
            </w:r>
          </w:p>
        </w:tc>
        <w:tc>
          <w:tcPr>
            <w:tcW w:w="1733" w:type="pct"/>
            <w:gridSpan w:val="3"/>
            <w:vMerge/>
            <w:tcBorders>
              <w:bottom w:val="single" w:sz="12" w:space="0" w:color="auto"/>
            </w:tcBorders>
            <w:shd w:val="clear" w:color="auto" w:fill="FFFFFF"/>
          </w:tcPr>
          <w:p>
            <w:pPr>
              <w:numPr>
                <w:ilvl w:val="0"/>
                <w:numId w:val="23"/>
              </w:numPr>
              <w:ind w:left="0" w:firstLine="0"/>
              <w:jc w:val="left"/>
              <w:rPr>
                <w:rFonts w:eastAsia="PMingLiU"/>
                <w:bCs/>
                <w:sz w:val="20"/>
                <w:szCs w:val="16"/>
                <w:lang w:eastAsia="en-US"/>
              </w:rPr>
            </w:pPr>
          </w:p>
        </w:tc>
        <w:tc>
          <w:tcPr>
            <w:tcW w:w="573" w:type="pct"/>
            <w:tcBorders>
              <w:top w:val="single" w:sz="6" w:space="0" w:color="auto"/>
              <w:bottom w:val="single" w:sz="12" w:space="0" w:color="auto"/>
            </w:tcBorders>
            <w:shd w:val="clear" w:color="auto" w:fill="FFFFFF"/>
          </w:tcPr>
          <w:p>
            <w:pPr>
              <w:jc w:val="left"/>
              <w:rPr>
                <w:rFonts w:eastAsia="PMingLiU"/>
                <w:bCs/>
                <w:sz w:val="20"/>
                <w:szCs w:val="16"/>
                <w:lang w:eastAsia="en-US"/>
              </w:rPr>
            </w:pPr>
            <w:r>
              <w:rPr>
                <w:rFonts w:eastAsia="PMingLiU"/>
                <w:bCs/>
                <w:sz w:val="20"/>
                <w:szCs w:val="16"/>
                <w:lang w:eastAsia="en-US"/>
              </w:rPr>
              <w:t>30</w:t>
            </w:r>
          </w:p>
        </w:tc>
        <w:tc>
          <w:tcPr>
            <w:tcW w:w="553" w:type="pct"/>
            <w:tcBorders>
              <w:top w:val="single" w:sz="6" w:space="0" w:color="auto"/>
              <w:bottom w:val="single" w:sz="12" w:space="0" w:color="auto"/>
            </w:tcBorders>
            <w:shd w:val="clear" w:color="auto" w:fill="FFFFFF"/>
          </w:tcPr>
          <w:p>
            <w:pPr>
              <w:jc w:val="left"/>
              <w:rPr>
                <w:rFonts w:eastAsia="PMingLiU"/>
                <w:bCs/>
                <w:sz w:val="20"/>
                <w:szCs w:val="16"/>
                <w:lang w:eastAsia="en-US"/>
              </w:rPr>
            </w:pPr>
            <w:r>
              <w:rPr>
                <w:rFonts w:eastAsia="PMingLiU"/>
                <w:bCs/>
                <w:sz w:val="20"/>
                <w:szCs w:val="16"/>
                <w:lang w:eastAsia="en-US"/>
              </w:rPr>
              <w:t>60</w:t>
            </w:r>
          </w:p>
        </w:tc>
      </w:tr>
    </w:tbl>
    <w:p>
      <w:pPr>
        <w:ind w:left="567"/>
        <w:rPr>
          <w:rFonts w:eastAsia="PMingLiU"/>
          <w:bCs/>
          <w:i/>
          <w:u w:val="single"/>
          <w:lang w:eastAsia="en-US"/>
        </w:rPr>
      </w:pPr>
    </w:p>
    <w:p>
      <w:pPr>
        <w:ind w:left="567"/>
        <w:rPr>
          <w:rFonts w:eastAsia="PMingLiU"/>
          <w:i/>
          <w:spacing w:val="1"/>
          <w:lang w:eastAsia="en-US"/>
        </w:rPr>
      </w:pPr>
      <w:r>
        <w:rPr>
          <w:rFonts w:eastAsia="PMingLiU"/>
          <w:bCs/>
          <w:i/>
          <w:u w:val="single"/>
          <w:lang w:eastAsia="en-US"/>
        </w:rPr>
        <w:t>Примечание:</w:t>
      </w:r>
      <w:r>
        <w:rPr>
          <w:rFonts w:eastAsia="PMingLiU"/>
          <w:bCs/>
          <w:i/>
          <w:lang w:eastAsia="en-US"/>
        </w:rPr>
        <w:t xml:space="preserve">* </w:t>
      </w:r>
      <w:r>
        <w:rPr>
          <w:rFonts w:eastAsia="PMingLiU"/>
          <w:i/>
          <w:lang w:eastAsia="en-US"/>
        </w:rPr>
        <w:t xml:space="preserve">Вода </w:t>
      </w:r>
      <w:r>
        <w:rPr>
          <w:rFonts w:eastAsia="TimesNewRomanPSMT"/>
          <w:i/>
        </w:rPr>
        <w:t>водопроводная без примесей температурой от плюс 5 до плюс 40 °С</w:t>
      </w:r>
      <w:r>
        <w:rPr>
          <w:rFonts w:eastAsia="PMingLiU"/>
          <w:i/>
          <w:lang w:eastAsia="en-US"/>
        </w:rPr>
        <w:t>. Допускается добавление ингибитора коррозии (для</w:t>
      </w:r>
      <w:r>
        <w:rPr>
          <w:rFonts w:eastAsia="PMingLiU"/>
          <w:i/>
          <w:spacing w:val="11"/>
          <w:lang w:eastAsia="en-US"/>
        </w:rPr>
        <w:t xml:space="preserve"> </w:t>
      </w:r>
      <w:r>
        <w:rPr>
          <w:rFonts w:eastAsia="PMingLiU"/>
          <w:i/>
          <w:spacing w:val="1"/>
          <w:lang w:eastAsia="en-US"/>
        </w:rPr>
        <w:t>снижения</w:t>
      </w:r>
      <w:r>
        <w:rPr>
          <w:rFonts w:eastAsia="PMingLiU"/>
          <w:i/>
          <w:spacing w:val="9"/>
          <w:lang w:eastAsia="en-US"/>
        </w:rPr>
        <w:t xml:space="preserve"> </w:t>
      </w:r>
      <w:r>
        <w:rPr>
          <w:rFonts w:eastAsia="PMingLiU"/>
          <w:i/>
          <w:lang w:eastAsia="en-US"/>
        </w:rPr>
        <w:t>коррозионного</w:t>
      </w:r>
      <w:r>
        <w:rPr>
          <w:rFonts w:eastAsia="PMingLiU"/>
          <w:i/>
          <w:spacing w:val="12"/>
          <w:lang w:eastAsia="en-US"/>
        </w:rPr>
        <w:t xml:space="preserve"> </w:t>
      </w:r>
      <w:r>
        <w:rPr>
          <w:rFonts w:eastAsia="PMingLiU"/>
          <w:i/>
          <w:lang w:eastAsia="en-US"/>
        </w:rPr>
        <w:t>воздействия</w:t>
      </w:r>
      <w:r>
        <w:rPr>
          <w:rFonts w:eastAsia="PMingLiU"/>
          <w:i/>
          <w:spacing w:val="9"/>
          <w:lang w:eastAsia="en-US"/>
        </w:rPr>
        <w:t xml:space="preserve"> </w:t>
      </w:r>
      <w:r>
        <w:rPr>
          <w:rFonts w:eastAsia="PMingLiU"/>
          <w:i/>
          <w:lang w:eastAsia="en-US"/>
        </w:rPr>
        <w:t xml:space="preserve">на внутренние полости </w:t>
      </w:r>
      <w:r>
        <w:rPr>
          <w:rFonts w:eastAsia="PMingLiU"/>
          <w:i/>
          <w:spacing w:val="1"/>
          <w:lang w:eastAsia="en-US"/>
        </w:rPr>
        <w:t>крана шарового</w:t>
      </w:r>
      <w:r>
        <w:rPr>
          <w:rFonts w:eastAsia="PMingLiU"/>
          <w:i/>
          <w:spacing w:val="3"/>
          <w:lang w:eastAsia="en-US"/>
        </w:rPr>
        <w:t xml:space="preserve"> </w:t>
      </w:r>
      <w:r>
        <w:rPr>
          <w:rFonts w:eastAsia="PMingLiU"/>
          <w:i/>
          <w:lang w:eastAsia="en-US"/>
        </w:rPr>
        <w:t>и</w:t>
      </w:r>
      <w:r>
        <w:rPr>
          <w:rFonts w:eastAsia="PMingLiU"/>
          <w:i/>
          <w:spacing w:val="4"/>
          <w:lang w:eastAsia="en-US"/>
        </w:rPr>
        <w:t xml:space="preserve"> </w:t>
      </w:r>
      <w:r>
        <w:rPr>
          <w:rFonts w:eastAsia="PMingLiU"/>
          <w:i/>
          <w:lang w:eastAsia="en-US"/>
        </w:rPr>
        <w:t>испытательный</w:t>
      </w:r>
      <w:r>
        <w:rPr>
          <w:rFonts w:eastAsia="PMingLiU"/>
          <w:i/>
          <w:spacing w:val="4"/>
          <w:lang w:eastAsia="en-US"/>
        </w:rPr>
        <w:t xml:space="preserve"> </w:t>
      </w:r>
      <w:r>
        <w:rPr>
          <w:rFonts w:eastAsia="PMingLiU"/>
          <w:i/>
          <w:spacing w:val="1"/>
          <w:lang w:eastAsia="en-US"/>
        </w:rPr>
        <w:t>стенд).</w:t>
      </w:r>
    </w:p>
    <w:p>
      <w:pPr>
        <w:ind w:left="567"/>
        <w:rPr>
          <w:rFonts w:eastAsia="PMingLiU"/>
          <w:i/>
          <w:spacing w:val="1"/>
          <w:lang w:eastAsia="en-US"/>
        </w:rPr>
      </w:pPr>
    </w:p>
    <w:p>
      <w:pPr>
        <w:ind w:left="567"/>
        <w:rPr>
          <w:rFonts w:eastAsia="PMingLiU"/>
          <w:i/>
          <w:lang w:eastAsia="en-US"/>
        </w:rPr>
      </w:pPr>
      <w:r>
        <w:rPr>
          <w:rFonts w:eastAsia="PMingLiU"/>
          <w:bCs/>
          <w:i/>
          <w:u w:val="single"/>
          <w:lang w:eastAsia="en-US"/>
        </w:rPr>
        <w:t>Примечание:</w:t>
      </w:r>
      <w:r>
        <w:rPr>
          <w:rFonts w:eastAsia="PMingLiU"/>
          <w:bCs/>
          <w:i/>
          <w:lang w:eastAsia="en-US"/>
        </w:rPr>
        <w:t xml:space="preserve">** </w:t>
      </w:r>
      <w:r>
        <w:rPr>
          <w:rFonts w:eastAsia="PMingLiU"/>
          <w:i/>
          <w:lang w:eastAsia="en-US"/>
        </w:rPr>
        <w:t>Для арматуры, предназначенной для работы на газообразных средах, а также на жидких и газожидкостных средах дополнительно к испытаниям водой.</w:t>
      </w:r>
    </w:p>
    <w:p>
      <w:pPr>
        <w:ind w:left="567"/>
        <w:rPr>
          <w:rFonts w:eastAsia="PMingLiU"/>
          <w:i/>
          <w:lang w:eastAsia="en-US"/>
        </w:rPr>
      </w:pPr>
    </w:p>
    <w:p>
      <w:pPr>
        <w:ind w:left="567"/>
        <w:rPr>
          <w:rFonts w:eastAsia="PMingLiU"/>
          <w:i/>
          <w:lang w:eastAsia="en-US"/>
        </w:rPr>
      </w:pPr>
      <w:r>
        <w:rPr>
          <w:rFonts w:eastAsia="PMingLiU"/>
          <w:bCs/>
          <w:i/>
          <w:u w:val="single"/>
          <w:lang w:eastAsia="en-US"/>
        </w:rPr>
        <w:t>Примечание:</w:t>
      </w:r>
      <w:r>
        <w:rPr>
          <w:rFonts w:eastAsia="PMingLiU"/>
          <w:bCs/>
          <w:i/>
          <w:lang w:eastAsia="en-US"/>
        </w:rPr>
        <w:t xml:space="preserve">*** </w:t>
      </w:r>
      <w:r>
        <w:rPr>
          <w:rFonts w:eastAsia="PMingLiU"/>
          <w:i/>
          <w:lang w:eastAsia="en-US"/>
        </w:rPr>
        <w:t>Проверка на герметичность уплотнения во фланцевых соединениях и сальникового уплотнений. Пропуск среды через фланцевые соединения и уплотнение сальника не допускается.</w:t>
      </w:r>
    </w:p>
    <w:p>
      <w:pPr>
        <w:ind w:left="567"/>
        <w:rPr>
          <w:rFonts w:eastAsia="PMingLiU"/>
          <w:i/>
          <w:lang w:eastAsia="en-US"/>
        </w:rPr>
      </w:pPr>
    </w:p>
    <w:p>
      <w:pPr>
        <w:ind w:left="567"/>
        <w:rPr>
          <w:rFonts w:eastAsia="PMingLiU"/>
          <w:i/>
          <w:lang w:eastAsia="en-US"/>
        </w:rPr>
      </w:pPr>
      <w:r>
        <w:rPr>
          <w:rFonts w:eastAsia="PMingLiU"/>
          <w:bCs/>
          <w:i/>
          <w:u w:val="single"/>
          <w:lang w:eastAsia="en-US"/>
        </w:rPr>
        <w:t>Примечание:</w:t>
      </w:r>
      <w:r>
        <w:rPr>
          <w:rFonts w:eastAsia="PMingLiU"/>
          <w:bCs/>
          <w:i/>
          <w:lang w:eastAsia="en-US"/>
        </w:rPr>
        <w:t xml:space="preserve">**** </w:t>
      </w:r>
      <w:r>
        <w:rPr>
          <w:rFonts w:eastAsia="PMingLiU"/>
          <w:i/>
          <w:lang w:eastAsia="en-US"/>
        </w:rPr>
        <w:t>Допускается увеличение времени выдержки при установившемся давлении перед началом контроля.</w:t>
      </w:r>
    </w:p>
    <w:p>
      <w:pPr>
        <w:widowControl w:val="0"/>
        <w:tabs>
          <w:tab w:val="left" w:pos="1134"/>
        </w:tabs>
        <w:ind w:right="103"/>
        <w:rPr>
          <w:rFonts w:eastAsia="PMingLiU"/>
          <w:spacing w:val="-4"/>
          <w:lang w:eastAsia="en-US"/>
        </w:rPr>
      </w:pPr>
    </w:p>
    <w:p>
      <w:pPr>
        <w:widowControl w:val="0"/>
        <w:tabs>
          <w:tab w:val="left" w:pos="1134"/>
        </w:tabs>
        <w:ind w:right="103"/>
        <w:rPr>
          <w:rFonts w:eastAsia="PMingLiU"/>
          <w:spacing w:val="-4"/>
          <w:lang w:eastAsia="en-US"/>
        </w:rPr>
      </w:pPr>
      <w:r>
        <w:rPr>
          <w:rFonts w:eastAsia="PMingLiU"/>
          <w:spacing w:val="-4"/>
          <w:lang w:eastAsia="en-US"/>
        </w:rPr>
        <w:t>Испытательные среды: вода – ГОСТ Р 51232, воздух ГОСТ 17433, класс 7.</w:t>
      </w:r>
    </w:p>
    <w:p>
      <w:pPr>
        <w:widowControl w:val="0"/>
        <w:tabs>
          <w:tab w:val="left" w:pos="1134"/>
        </w:tabs>
        <w:ind w:right="103"/>
        <w:rPr>
          <w:rFonts w:eastAsia="PMingLiU"/>
          <w:spacing w:val="-4"/>
          <w:lang w:eastAsia="en-US"/>
        </w:rPr>
      </w:pPr>
    </w:p>
    <w:p>
      <w:pPr>
        <w:widowControl w:val="0"/>
        <w:tabs>
          <w:tab w:val="left" w:pos="1134"/>
        </w:tabs>
        <w:ind w:right="-1"/>
        <w:rPr>
          <w:rFonts w:eastAsia="PMingLiU"/>
          <w:spacing w:val="-4"/>
          <w:lang w:eastAsia="en-US"/>
        </w:rPr>
      </w:pPr>
      <w:r>
        <w:rPr>
          <w:rFonts w:eastAsia="PMingLiU"/>
          <w:spacing w:val="-4"/>
          <w:lang w:eastAsia="en-US"/>
        </w:rPr>
        <w:t>Результаты приемо-сдаточных испытаний отражаются в протоколе приемо-сдаточных испытаний (по форме 1 Приложения «В» ГОСТ 15.309-98), прилагаемому к паспорту.</w:t>
      </w:r>
    </w:p>
    <w:p>
      <w:pPr>
        <w:widowControl w:val="0"/>
        <w:tabs>
          <w:tab w:val="left" w:pos="1134"/>
        </w:tabs>
        <w:ind w:right="103"/>
        <w:rPr>
          <w:rFonts w:eastAsia="PMingLiU"/>
          <w:spacing w:val="-4"/>
          <w:lang w:eastAsia="en-US"/>
        </w:rPr>
      </w:pPr>
    </w:p>
    <w:p>
      <w:pPr>
        <w:widowControl w:val="0"/>
        <w:tabs>
          <w:tab w:val="left" w:pos="1134"/>
        </w:tabs>
        <w:ind w:right="-1"/>
        <w:rPr>
          <w:rFonts w:eastAsia="PMingLiU"/>
          <w:spacing w:val="-4"/>
          <w:lang w:eastAsia="en-US"/>
        </w:rPr>
      </w:pPr>
      <w:r>
        <w:rPr>
          <w:rFonts w:eastAsia="PMingLiU"/>
          <w:spacing w:val="-4"/>
          <w:lang w:eastAsia="en-US"/>
        </w:rPr>
        <w:t>Если при приемо-сдаточных испытаниях будет обнаружено несоответствие крана шарового хотя бы по одному пункту ПМ приемо-сдаточных испытаний, то они бракуются до выявления причин возникновения несоответствий и их устранения – в соответствии с ГОСТ</w:t>
      </w:r>
      <w:r>
        <w:rPr>
          <w:rFonts w:eastAsia="PMingLiU"/>
          <w:spacing w:val="-4"/>
          <w:lang w:val="en-US" w:eastAsia="en-US"/>
        </w:rPr>
        <w:t> </w:t>
      </w:r>
      <w:r>
        <w:rPr>
          <w:rFonts w:eastAsia="PMingLiU"/>
          <w:spacing w:val="-4"/>
          <w:lang w:eastAsia="en-US"/>
        </w:rPr>
        <w:t>15.309.</w:t>
      </w:r>
    </w:p>
    <w:p>
      <w:pPr>
        <w:rPr>
          <w:rFonts w:eastAsia="PMingLiU"/>
          <w:szCs w:val="22"/>
          <w:lang w:eastAsia="en-US"/>
        </w:rPr>
      </w:pPr>
    </w:p>
    <w:p>
      <w:pPr>
        <w:tabs>
          <w:tab w:val="left" w:pos="0"/>
          <w:tab w:val="left" w:pos="993"/>
        </w:tabs>
        <w:rPr>
          <w:rFonts w:eastAsia="PMingLiU"/>
          <w:szCs w:val="22"/>
          <w:lang w:eastAsia="en-US"/>
        </w:rPr>
      </w:pPr>
      <w:r>
        <w:rPr>
          <w:rFonts w:eastAsia="PMingLiU"/>
          <w:szCs w:val="22"/>
          <w:lang w:eastAsia="en-US"/>
        </w:rPr>
        <w:t xml:space="preserve">Методы </w:t>
      </w:r>
      <w:r>
        <w:rPr>
          <w:rFonts w:eastAsia="PMingLiU"/>
          <w:szCs w:val="22"/>
          <w:shd w:val="clear" w:color="auto" w:fill="FFFFFF" w:themeFill="background1"/>
          <w:lang w:eastAsia="en-US"/>
        </w:rPr>
        <w:t>контроля и испытаний должны соответствовать требованиям ГОСТ</w:t>
      </w:r>
      <w:r>
        <w:rPr>
          <w:rFonts w:eastAsia="PMingLiU"/>
          <w:szCs w:val="22"/>
          <w:shd w:val="clear" w:color="auto" w:fill="FFFFFF" w:themeFill="background1"/>
          <w:lang w:val="en-US" w:eastAsia="en-US"/>
        </w:rPr>
        <w:t> </w:t>
      </w:r>
      <w:r>
        <w:rPr>
          <w:bCs/>
        </w:rPr>
        <w:t>33257</w:t>
      </w:r>
      <w:r>
        <w:rPr>
          <w:rFonts w:eastAsia="PMingLiU"/>
          <w:szCs w:val="22"/>
          <w:shd w:val="clear" w:color="auto" w:fill="FFFFFF" w:themeFill="background1"/>
          <w:lang w:eastAsia="en-US"/>
        </w:rPr>
        <w:t>, ГОСТ 21345 дол</w:t>
      </w:r>
      <w:r>
        <w:rPr>
          <w:rFonts w:eastAsia="PMingLiU"/>
          <w:szCs w:val="22"/>
          <w:lang w:eastAsia="en-US"/>
        </w:rPr>
        <w:t>жны быть внесены в КД.</w:t>
      </w:r>
    </w:p>
    <w:p>
      <w:pPr>
        <w:tabs>
          <w:tab w:val="left" w:pos="0"/>
          <w:tab w:val="left" w:pos="993"/>
        </w:tabs>
        <w:rPr>
          <w:rFonts w:eastAsia="PMingLiU"/>
          <w:szCs w:val="22"/>
          <w:lang w:eastAsia="en-US"/>
        </w:rPr>
      </w:pPr>
    </w:p>
    <w:p>
      <w:pPr>
        <w:tabs>
          <w:tab w:val="left" w:pos="0"/>
          <w:tab w:val="left" w:pos="993"/>
        </w:tabs>
        <w:rPr>
          <w:rFonts w:eastAsia="PMingLiU"/>
          <w:szCs w:val="22"/>
          <w:highlight w:val="yellow"/>
          <w:lang w:eastAsia="en-US"/>
        </w:rPr>
      </w:pPr>
      <w:r>
        <w:rPr>
          <w:rFonts w:eastAsia="PMingLiU"/>
          <w:szCs w:val="22"/>
          <w:lang w:eastAsia="en-US"/>
        </w:rPr>
        <w:t xml:space="preserve">Перечень испытаний материалов основных сборочных единиц и деталей кранов шаровых приведен в </w:t>
      </w:r>
      <w:hyperlink w:anchor="_ПРИЛОЖЕНИЕ_5._ПЕРЕЧЕНЬ" w:history="1">
        <w:r>
          <w:rPr>
            <w:rStyle w:val="a6"/>
            <w:rFonts w:eastAsia="PMingLiU"/>
            <w:szCs w:val="22"/>
            <w:lang w:eastAsia="en-US"/>
          </w:rPr>
          <w:t>Приложении 4</w:t>
        </w:r>
      </w:hyperlink>
      <w:r>
        <w:rPr>
          <w:rFonts w:eastAsia="PMingLiU"/>
          <w:szCs w:val="22"/>
          <w:lang w:eastAsia="en-US"/>
        </w:rPr>
        <w:t xml:space="preserve"> настоящих Методических указаний.</w:t>
      </w:r>
    </w:p>
    <w:p>
      <w:pPr>
        <w:tabs>
          <w:tab w:val="left" w:pos="0"/>
          <w:tab w:val="left" w:pos="993"/>
        </w:tabs>
        <w:rPr>
          <w:rFonts w:eastAsia="PMingLiU"/>
          <w:szCs w:val="22"/>
          <w:lang w:eastAsia="en-US"/>
        </w:rPr>
      </w:pPr>
    </w:p>
    <w:p>
      <w:pPr>
        <w:tabs>
          <w:tab w:val="left" w:pos="0"/>
          <w:tab w:val="left" w:pos="993"/>
        </w:tabs>
        <w:rPr>
          <w:rFonts w:eastAsia="PMingLiU"/>
          <w:szCs w:val="22"/>
          <w:lang w:eastAsia="en-US"/>
        </w:rPr>
      </w:pPr>
      <w:r>
        <w:rPr>
          <w:rFonts w:eastAsia="PMingLiU"/>
          <w:szCs w:val="22"/>
          <w:lang w:eastAsia="en-US"/>
        </w:rPr>
        <w:lastRenderedPageBreak/>
        <w:t xml:space="preserve">Результаты испытаний должны оформляться в виде одного или ряда заключений и являются действительными в течение 3 лет с даты получения их заводом-изготовителем от </w:t>
      </w:r>
      <w:r>
        <w:t>СМО</w:t>
      </w:r>
      <w:r>
        <w:rPr>
          <w:rFonts w:eastAsia="PMingLiU"/>
          <w:szCs w:val="22"/>
          <w:lang w:eastAsia="en-US"/>
        </w:rPr>
        <w:t>, аккредитованной на соответствие требованиям ГОСТ</w:t>
      </w:r>
      <w:r>
        <w:rPr>
          <w:rFonts w:eastAsia="PMingLiU"/>
          <w:szCs w:val="22"/>
          <w:lang w:val="en-US" w:eastAsia="en-US"/>
        </w:rPr>
        <w:t> </w:t>
      </w:r>
      <w:r>
        <w:rPr>
          <w:rFonts w:eastAsia="PMingLiU"/>
          <w:szCs w:val="22"/>
          <w:lang w:eastAsia="en-US"/>
        </w:rPr>
        <w:t>ИСО/МЭК</w:t>
      </w:r>
      <w:r>
        <w:rPr>
          <w:rFonts w:eastAsia="PMingLiU"/>
          <w:szCs w:val="22"/>
          <w:lang w:val="en-US" w:eastAsia="en-US"/>
        </w:rPr>
        <w:t> </w:t>
      </w:r>
      <w:r>
        <w:rPr>
          <w:rFonts w:eastAsia="PMingLiU"/>
          <w:szCs w:val="22"/>
          <w:lang w:eastAsia="en-US"/>
        </w:rPr>
        <w:t>17025.</w:t>
      </w:r>
    </w:p>
    <w:p>
      <w:pPr>
        <w:tabs>
          <w:tab w:val="left" w:pos="0"/>
          <w:tab w:val="left" w:pos="993"/>
        </w:tabs>
        <w:rPr>
          <w:rFonts w:eastAsia="PMingLiU"/>
          <w:szCs w:val="22"/>
          <w:lang w:eastAsia="en-US"/>
        </w:rPr>
      </w:pPr>
    </w:p>
    <w:p>
      <w:pPr>
        <w:tabs>
          <w:tab w:val="left" w:pos="0"/>
          <w:tab w:val="left" w:pos="993"/>
        </w:tabs>
        <w:rPr>
          <w:rFonts w:eastAsia="PMingLiU"/>
          <w:szCs w:val="22"/>
          <w:lang w:eastAsia="en-US"/>
        </w:rPr>
      </w:pPr>
      <w:r>
        <w:rPr>
          <w:rFonts w:eastAsia="PMingLiU"/>
          <w:szCs w:val="22"/>
          <w:lang w:eastAsia="en-US"/>
        </w:rPr>
        <w:t>При изготовлении изделий необходимо проводить измерение твердости материала уплотнительных поверхностей запирающего элемента и элементов седла корпуса на соответствие КД.</w:t>
      </w:r>
    </w:p>
    <w:p>
      <w:pPr>
        <w:tabs>
          <w:tab w:val="left" w:pos="0"/>
          <w:tab w:val="left" w:pos="993"/>
        </w:tabs>
        <w:rPr>
          <w:rFonts w:eastAsia="PMingLiU"/>
          <w:szCs w:val="22"/>
          <w:lang w:eastAsia="en-US"/>
        </w:rPr>
      </w:pPr>
    </w:p>
    <w:p>
      <w:pPr>
        <w:tabs>
          <w:tab w:val="left" w:pos="0"/>
          <w:tab w:val="left" w:pos="993"/>
        </w:tabs>
        <w:rPr>
          <w:rFonts w:eastAsia="PMingLiU"/>
          <w:szCs w:val="22"/>
          <w:lang w:eastAsia="en-US"/>
        </w:rPr>
      </w:pPr>
      <w:r>
        <w:rPr>
          <w:rFonts w:eastAsia="PMingLiU"/>
          <w:szCs w:val="22"/>
          <w:lang w:eastAsia="en-US"/>
        </w:rPr>
        <w:t>Измерение твердости уплотнительных кольцевых вставок из эластомеров необходимо проводить в соответствии с требованиями ГОСТ</w:t>
      </w:r>
      <w:r>
        <w:rPr>
          <w:rFonts w:eastAsia="PMingLiU"/>
          <w:szCs w:val="22"/>
          <w:lang w:val="en-US" w:eastAsia="en-US"/>
        </w:rPr>
        <w:t> </w:t>
      </w:r>
      <w:r>
        <w:rPr>
          <w:rFonts w:eastAsia="PMingLiU"/>
          <w:szCs w:val="22"/>
          <w:lang w:eastAsia="en-US"/>
        </w:rPr>
        <w:t xml:space="preserve">263 </w:t>
      </w:r>
      <w:r>
        <w:rPr>
          <w:rFonts w:eastAsia="Times New Roman"/>
          <w:szCs w:val="20"/>
        </w:rPr>
        <w:t>твердомерами с диапазоном измерения 0 - 100 Sh A (единиц по Шору А)</w:t>
      </w:r>
      <w:r>
        <w:rPr>
          <w:rFonts w:eastAsia="PMingLiU"/>
          <w:szCs w:val="22"/>
          <w:lang w:eastAsia="en-US"/>
        </w:rPr>
        <w:t>.</w:t>
      </w:r>
    </w:p>
    <w:p>
      <w:pPr>
        <w:tabs>
          <w:tab w:val="left" w:pos="0"/>
          <w:tab w:val="left" w:pos="993"/>
        </w:tabs>
        <w:rPr>
          <w:rFonts w:eastAsia="PMingLiU"/>
          <w:szCs w:val="22"/>
          <w:lang w:eastAsia="en-US"/>
        </w:rPr>
      </w:pPr>
    </w:p>
    <w:p>
      <w:pPr>
        <w:tabs>
          <w:tab w:val="left" w:pos="0"/>
          <w:tab w:val="left" w:pos="993"/>
        </w:tabs>
        <w:rPr>
          <w:rFonts w:eastAsia="PMingLiU"/>
          <w:szCs w:val="22"/>
          <w:lang w:eastAsia="en-US"/>
        </w:rPr>
      </w:pPr>
      <w:r>
        <w:rPr>
          <w:rFonts w:eastAsia="PMingLiU"/>
          <w:szCs w:val="22"/>
          <w:lang w:eastAsia="en-US"/>
        </w:rPr>
        <w:t>При уплотнении «металл по металлу» измерение твердости материала уплотнительных поверхностей должно проводиться поверенными в установленном порядке твердомерами с диапазоном измерения в пределах 20</w:t>
      </w:r>
      <w:r>
        <w:rPr>
          <w:rFonts w:eastAsia="Times New Roman"/>
          <w:szCs w:val="20"/>
        </w:rPr>
        <w:t> </w:t>
      </w:r>
      <w:r>
        <w:rPr>
          <w:rFonts w:eastAsia="PMingLiU"/>
          <w:szCs w:val="22"/>
          <w:lang w:eastAsia="en-US"/>
        </w:rPr>
        <w:t>-</w:t>
      </w:r>
      <w:r>
        <w:rPr>
          <w:rFonts w:eastAsia="Times New Roman"/>
          <w:szCs w:val="20"/>
        </w:rPr>
        <w:t> </w:t>
      </w:r>
      <w:r>
        <w:rPr>
          <w:rFonts w:eastAsia="PMingLiU"/>
          <w:szCs w:val="22"/>
          <w:lang w:eastAsia="en-US"/>
        </w:rPr>
        <w:t>80 HRC.</w:t>
      </w:r>
    </w:p>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sz w:val="20"/>
          <w:szCs w:val="20"/>
        </w:rPr>
      </w:pPr>
      <w:r>
        <w:rPr>
          <w:rFonts w:eastAsia="Times New Roman"/>
          <w:szCs w:val="20"/>
        </w:rPr>
        <w:t>Величины пробных давлений устанавливаются в соответствии с ГОСТ</w:t>
      </w:r>
      <w:r>
        <w:rPr>
          <w:rFonts w:eastAsia="Times New Roman"/>
          <w:szCs w:val="20"/>
          <w:lang w:val="en-US"/>
        </w:rPr>
        <w:t> </w:t>
      </w:r>
      <w:r>
        <w:rPr>
          <w:rFonts w:eastAsia="Times New Roman"/>
          <w:szCs w:val="20"/>
        </w:rPr>
        <w:t>356, указываются на чертежах и в ЭД.</w:t>
      </w:r>
    </w:p>
    <w:p>
      <w:pPr>
        <w:widowControl w:val="0"/>
        <w:shd w:val="clear" w:color="auto" w:fill="FFFFFF"/>
        <w:autoSpaceDE w:val="0"/>
        <w:autoSpaceDN w:val="0"/>
        <w:adjustRightInd w:val="0"/>
        <w:rPr>
          <w:rFonts w:eastAsia="Times New Roman"/>
          <w:sz w:val="20"/>
          <w:szCs w:val="20"/>
        </w:rPr>
      </w:pPr>
    </w:p>
    <w:p>
      <w:pPr>
        <w:widowControl w:val="0"/>
        <w:shd w:val="clear" w:color="auto" w:fill="FFFFFF"/>
        <w:autoSpaceDE w:val="0"/>
        <w:autoSpaceDN w:val="0"/>
        <w:adjustRightInd w:val="0"/>
        <w:rPr>
          <w:rFonts w:eastAsia="Times New Roman"/>
          <w:sz w:val="20"/>
          <w:szCs w:val="20"/>
        </w:rPr>
      </w:pPr>
      <w:r>
        <w:rPr>
          <w:rFonts w:eastAsia="Times New Roman"/>
          <w:szCs w:val="20"/>
        </w:rPr>
        <w:t>Метод контроля - гидростатический, компрессионным способом по ГОСТ</w:t>
      </w:r>
      <w:r>
        <w:rPr>
          <w:rFonts w:eastAsia="Times New Roman"/>
          <w:szCs w:val="20"/>
          <w:lang w:val="en-US"/>
        </w:rPr>
        <w:t> </w:t>
      </w:r>
      <w:r>
        <w:rPr>
          <w:rFonts w:eastAsia="Times New Roman"/>
          <w:szCs w:val="20"/>
        </w:rPr>
        <w:t>24054.</w:t>
      </w:r>
    </w:p>
    <w:p>
      <w:pPr>
        <w:widowControl w:val="0"/>
        <w:tabs>
          <w:tab w:val="left" w:pos="1134"/>
        </w:tabs>
        <w:ind w:right="103"/>
        <w:rPr>
          <w:rFonts w:eastAsia="PMingLiU"/>
          <w:szCs w:val="22"/>
          <w:lang w:eastAsia="en-US"/>
        </w:rPr>
      </w:pPr>
    </w:p>
    <w:p>
      <w:pPr>
        <w:widowControl w:val="0"/>
        <w:tabs>
          <w:tab w:val="left" w:pos="1134"/>
        </w:tabs>
        <w:ind w:right="-1"/>
        <w:rPr>
          <w:rFonts w:eastAsia="Times New Roman"/>
        </w:rPr>
      </w:pPr>
      <w:r>
        <w:rPr>
          <w:rFonts w:eastAsia="Times New Roman"/>
        </w:rPr>
        <w:t xml:space="preserve">Испытания металла крепежных изделий (гаек, шпилек) для корпусных деталей крана шарового должно проводиться на образцах металла по </w:t>
      </w:r>
      <w:r>
        <w:rPr>
          <w:rFonts w:eastAsia="Times New Roman"/>
          <w:iCs/>
        </w:rPr>
        <w:t>KCV</w:t>
      </w:r>
      <w:r>
        <w:rPr>
          <w:rFonts w:eastAsia="Times New Roman"/>
        </w:rPr>
        <w:t xml:space="preserve">, при этом значения ударной вязкости при всех температурах испытаний должны быть не менее 29,4 Дж/см² </w:t>
      </w:r>
      <w:r>
        <w:rPr>
          <w:rFonts w:eastAsia="Times New Roman"/>
        </w:rPr>
        <w:br/>
        <w:t>(3,0 кгс*м/см²).</w:t>
      </w:r>
    </w:p>
    <w:p>
      <w:pPr>
        <w:widowControl w:val="0"/>
        <w:tabs>
          <w:tab w:val="left" w:pos="1134"/>
        </w:tabs>
        <w:ind w:right="-1"/>
        <w:rPr>
          <w:rFonts w:eastAsia="PMingLiU"/>
          <w:szCs w:val="22"/>
          <w:lang w:eastAsia="en-US"/>
        </w:rPr>
      </w:pPr>
    </w:p>
    <w:p>
      <w:pPr>
        <w:widowControl w:val="0"/>
        <w:shd w:val="clear" w:color="auto" w:fill="FFFFFF"/>
        <w:autoSpaceDE w:val="0"/>
        <w:autoSpaceDN w:val="0"/>
        <w:adjustRightInd w:val="0"/>
        <w:rPr>
          <w:rFonts w:eastAsia="Times New Roman"/>
          <w:sz w:val="20"/>
          <w:szCs w:val="20"/>
        </w:rPr>
      </w:pPr>
      <w:r>
        <w:rPr>
          <w:rFonts w:eastAsia="Times New Roman"/>
          <w:szCs w:val="20"/>
        </w:rPr>
        <w:t>При испытании воздухом контроль плотности материала деталей и сварных швов проводится пузырьковым методом, способ реализации метода - компрессионный либо обмыливанием по ГОСТ</w:t>
      </w:r>
      <w:r>
        <w:rPr>
          <w:rFonts w:eastAsia="Times New Roman"/>
          <w:szCs w:val="20"/>
          <w:lang w:val="en-US"/>
        </w:rPr>
        <w:t> </w:t>
      </w:r>
      <w:r>
        <w:rPr>
          <w:rFonts w:eastAsia="Times New Roman"/>
          <w:szCs w:val="20"/>
        </w:rPr>
        <w:t>24054.</w:t>
      </w:r>
    </w:p>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sz w:val="20"/>
          <w:szCs w:val="20"/>
        </w:rPr>
      </w:pPr>
      <w:r>
        <w:rPr>
          <w:rFonts w:eastAsia="Times New Roman"/>
          <w:szCs w:val="20"/>
        </w:rPr>
        <w:t>Испытания на герметичность сальниковых уплотнений, мест разъемных соединений и верхнего уплотнения проводят водой или воздухом. Давление испытаний – 1,1</w:t>
      </w:r>
      <w:r>
        <w:rPr>
          <w:rFonts w:eastAsia="Times New Roman"/>
          <w:szCs w:val="20"/>
          <w:lang w:val="en-US"/>
        </w:rPr>
        <w:t>PN</w:t>
      </w:r>
      <w:r>
        <w:rPr>
          <w:rFonts w:eastAsia="Times New Roman"/>
          <w:i/>
          <w:iCs/>
          <w:szCs w:val="20"/>
        </w:rPr>
        <w:t>.</w:t>
      </w:r>
    </w:p>
    <w:p>
      <w:pPr>
        <w:widowControl w:val="0"/>
        <w:shd w:val="clear" w:color="auto" w:fill="FFFFFF"/>
        <w:autoSpaceDE w:val="0"/>
        <w:autoSpaceDN w:val="0"/>
        <w:adjustRightInd w:val="0"/>
        <w:rPr>
          <w:rFonts w:eastAsia="Times New Roman"/>
          <w:szCs w:val="20"/>
        </w:rPr>
      </w:pPr>
    </w:p>
    <w:p>
      <w:pPr>
        <w:widowControl w:val="0"/>
        <w:shd w:val="clear" w:color="auto" w:fill="FFFFFF"/>
        <w:autoSpaceDE w:val="0"/>
        <w:autoSpaceDN w:val="0"/>
        <w:adjustRightInd w:val="0"/>
        <w:rPr>
          <w:rFonts w:eastAsia="Times New Roman"/>
          <w:szCs w:val="20"/>
        </w:rPr>
      </w:pPr>
      <w:r>
        <w:rPr>
          <w:rFonts w:eastAsia="Times New Roman"/>
          <w:szCs w:val="20"/>
        </w:rPr>
        <w:t>При испытании сальникового уплотнения производится перекрытие затвора на весь рабочий ход. Если это невозможно, то перед испытанием необходимо выполнить перестановку затвора не менее чем на 1 полный цикл.</w:t>
      </w:r>
    </w:p>
    <w:p>
      <w:pPr>
        <w:pStyle w:val="M"/>
      </w:pPr>
    </w:p>
    <w:p>
      <w:pPr>
        <w:pStyle w:val="M"/>
      </w:pPr>
    </w:p>
    <w:p>
      <w:pPr>
        <w:pStyle w:val="S20"/>
        <w:numPr>
          <w:ilvl w:val="1"/>
          <w:numId w:val="26"/>
        </w:numPr>
        <w:rPr>
          <w:rFonts w:eastAsia="Calibri" w:cs="Arial"/>
          <w:bCs/>
          <w:iCs/>
          <w:caps w:val="0"/>
          <w:szCs w:val="28"/>
        </w:rPr>
      </w:pPr>
      <w:bookmarkStart w:id="182" w:name="_Toc392607780"/>
      <w:bookmarkStart w:id="183" w:name="_Toc392695958"/>
      <w:bookmarkStart w:id="184" w:name="_Toc392696014"/>
      <w:bookmarkStart w:id="185" w:name="_Toc392752878"/>
      <w:bookmarkStart w:id="186" w:name="_Toc404615355"/>
      <w:bookmarkStart w:id="187" w:name="_Toc481662397"/>
      <w:bookmarkStart w:id="188" w:name="_Toc514169529"/>
      <w:r>
        <w:rPr>
          <w:rFonts w:eastAsia="Calibri" w:cs="Arial"/>
          <w:bCs/>
          <w:iCs/>
          <w:caps w:val="0"/>
          <w:szCs w:val="28"/>
        </w:rPr>
        <w:t>ТРЕБОВАНИЯ К ПОКАЗАТЕЛЯМ НАДЕЖНОСТИ</w:t>
      </w:r>
      <w:bookmarkEnd w:id="182"/>
      <w:bookmarkEnd w:id="183"/>
      <w:bookmarkEnd w:id="184"/>
      <w:bookmarkEnd w:id="185"/>
      <w:bookmarkEnd w:id="186"/>
      <w:bookmarkEnd w:id="187"/>
      <w:bookmarkEnd w:id="188"/>
    </w:p>
    <w:p>
      <w:pPr>
        <w:widowControl w:val="0"/>
        <w:tabs>
          <w:tab w:val="left" w:pos="993"/>
        </w:tabs>
        <w:ind w:right="107"/>
        <w:rPr>
          <w:rFonts w:eastAsia="PMingLiU"/>
          <w:szCs w:val="22"/>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Количественные значения показателей надежности и назначенных показателей безопасности должны быть указаны в Таблице 26.</w:t>
      </w:r>
    </w:p>
    <w:p>
      <w:pPr>
        <w:pStyle w:val="S0"/>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bookmarkStart w:id="189" w:name="_Ref458609799"/>
      <w:r>
        <w:rPr>
          <w:rFonts w:ascii="Arial" w:eastAsia="Times New Roman" w:hAnsi="Arial" w:cs="Arial"/>
          <w:b/>
          <w:bCs/>
          <w:noProof/>
          <w:sz w:val="20"/>
          <w:szCs w:val="20"/>
        </w:rPr>
        <w:t>26</w:t>
      </w:r>
      <w:bookmarkEnd w:id="189"/>
      <w:r>
        <w:rPr>
          <w:rFonts w:ascii="Arial" w:eastAsia="Times New Roman" w:hAnsi="Arial" w:cs="Arial"/>
          <w:b/>
          <w:bCs/>
          <w:sz w:val="20"/>
          <w:szCs w:val="20"/>
        </w:rPr>
        <w:fldChar w:fldCharType="end"/>
      </w:r>
    </w:p>
    <w:p>
      <w:pPr>
        <w:keepNext/>
        <w:widowControl w:val="0"/>
        <w:spacing w:after="60"/>
        <w:jc w:val="right"/>
        <w:rPr>
          <w:rFonts w:ascii="Arial" w:eastAsia="Times New Roman" w:hAnsi="Arial"/>
          <w:b/>
          <w:sz w:val="20"/>
        </w:rPr>
      </w:pPr>
      <w:r>
        <w:rPr>
          <w:rFonts w:ascii="Arial" w:eastAsia="Times New Roman" w:hAnsi="Arial"/>
          <w:b/>
          <w:sz w:val="20"/>
        </w:rPr>
        <w:t>Количественные значения показателей надежности и показателей безопасности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532"/>
        <w:gridCol w:w="3404"/>
        <w:gridCol w:w="3543"/>
        <w:gridCol w:w="2375"/>
      </w:tblGrid>
      <w:tr>
        <w:trPr>
          <w:cantSplit/>
          <w:trHeight w:val="567"/>
          <w:tblHeader/>
        </w:trPr>
        <w:tc>
          <w:tcPr>
            <w:tcW w:w="270" w:type="pct"/>
            <w:tcBorders>
              <w:bottom w:val="single" w:sz="6" w:space="0" w:color="auto"/>
              <w:right w:val="single" w:sz="6" w:space="0" w:color="auto"/>
            </w:tcBorders>
            <w:shd w:val="clear" w:color="auto" w:fill="FFD200"/>
            <w:vAlign w:val="center"/>
          </w:tcPr>
          <w:p>
            <w:pPr>
              <w:widowControl w:val="0"/>
              <w:jc w:val="center"/>
              <w:rPr>
                <w:rFonts w:ascii="Arial" w:eastAsia="Times New Roman" w:hAnsi="Arial" w:cs="Arial"/>
                <w:b/>
                <w:sz w:val="16"/>
                <w:szCs w:val="20"/>
              </w:rPr>
            </w:pPr>
            <w:r>
              <w:rPr>
                <w:rFonts w:ascii="Arial" w:eastAsia="Times New Roman" w:hAnsi="Arial" w:cs="Arial"/>
                <w:b/>
                <w:sz w:val="16"/>
                <w:szCs w:val="20"/>
              </w:rPr>
              <w:t>№</w:t>
            </w:r>
          </w:p>
          <w:p>
            <w:pPr>
              <w:widowControl w:val="0"/>
              <w:jc w:val="center"/>
              <w:rPr>
                <w:rFonts w:ascii="Arial" w:eastAsia="Times New Roman" w:hAnsi="Arial" w:cs="Arial"/>
                <w:b/>
                <w:sz w:val="16"/>
                <w:szCs w:val="20"/>
              </w:rPr>
            </w:pPr>
            <w:r>
              <w:rPr>
                <w:rFonts w:ascii="Arial" w:eastAsia="Times New Roman" w:hAnsi="Arial" w:cs="Arial"/>
                <w:b/>
                <w:sz w:val="16"/>
                <w:szCs w:val="20"/>
              </w:rPr>
              <w:t>П/П</w:t>
            </w:r>
          </w:p>
        </w:tc>
        <w:tc>
          <w:tcPr>
            <w:tcW w:w="3525" w:type="pct"/>
            <w:gridSpan w:val="2"/>
            <w:tcBorders>
              <w:left w:val="single" w:sz="6" w:space="0" w:color="auto"/>
              <w:bottom w:val="single" w:sz="6" w:space="0" w:color="auto"/>
              <w:right w:val="single" w:sz="6" w:space="0" w:color="auto"/>
            </w:tcBorders>
            <w:shd w:val="clear" w:color="auto" w:fill="FFD200"/>
            <w:vAlign w:val="center"/>
          </w:tcPr>
          <w:p>
            <w:pPr>
              <w:widowControl w:val="0"/>
              <w:jc w:val="center"/>
              <w:rPr>
                <w:rFonts w:ascii="Arial" w:eastAsia="Times New Roman" w:hAnsi="Arial" w:cs="Arial"/>
                <w:b/>
                <w:sz w:val="16"/>
                <w:szCs w:val="20"/>
              </w:rPr>
            </w:pPr>
            <w:r>
              <w:rPr>
                <w:rFonts w:ascii="Arial" w:eastAsia="Times New Roman" w:hAnsi="Arial" w:cs="Arial"/>
                <w:b/>
                <w:sz w:val="16"/>
                <w:szCs w:val="20"/>
              </w:rPr>
              <w:t>НАИМЕНОВАНИЕ ПОКАЗАТЕЛЯ</w:t>
            </w:r>
          </w:p>
        </w:tc>
        <w:tc>
          <w:tcPr>
            <w:tcW w:w="1205" w:type="pct"/>
            <w:tcBorders>
              <w:left w:val="single" w:sz="6" w:space="0" w:color="auto"/>
              <w:bottom w:val="single" w:sz="6" w:space="0" w:color="auto"/>
            </w:tcBorders>
            <w:shd w:val="clear" w:color="auto" w:fill="FFD200"/>
            <w:vAlign w:val="center"/>
          </w:tcPr>
          <w:p>
            <w:pPr>
              <w:widowControl w:val="0"/>
              <w:jc w:val="center"/>
              <w:rPr>
                <w:rFonts w:ascii="Arial" w:eastAsia="Times New Roman" w:hAnsi="Arial" w:cs="Arial"/>
                <w:b/>
                <w:sz w:val="16"/>
                <w:szCs w:val="20"/>
              </w:rPr>
            </w:pPr>
            <w:r>
              <w:rPr>
                <w:rFonts w:ascii="Arial" w:eastAsia="Times New Roman" w:hAnsi="Arial" w:cs="Arial"/>
                <w:b/>
                <w:sz w:val="16"/>
                <w:szCs w:val="20"/>
              </w:rPr>
              <w:t>ЗНАЧЕНИЕ ИЛИ</w:t>
            </w:r>
          </w:p>
          <w:p>
            <w:pPr>
              <w:widowControl w:val="0"/>
              <w:jc w:val="center"/>
              <w:rPr>
                <w:rFonts w:ascii="Arial" w:eastAsia="Times New Roman" w:hAnsi="Arial" w:cs="Arial"/>
                <w:b/>
                <w:sz w:val="16"/>
                <w:szCs w:val="20"/>
              </w:rPr>
            </w:pPr>
            <w:r>
              <w:rPr>
                <w:rFonts w:ascii="Arial" w:eastAsia="Times New Roman" w:hAnsi="Arial" w:cs="Arial"/>
                <w:b/>
                <w:sz w:val="16"/>
                <w:szCs w:val="20"/>
              </w:rPr>
              <w:t>ОПРЕДЕЛЯЮЩИЙ ПОКАЗАТЕЛЬ</w:t>
            </w:r>
          </w:p>
        </w:tc>
      </w:tr>
      <w:tr>
        <w:trPr>
          <w:cantSplit/>
          <w:trHeight w:val="227"/>
          <w:tblHeader/>
        </w:trPr>
        <w:tc>
          <w:tcPr>
            <w:tcW w:w="270" w:type="pct"/>
            <w:tcBorders>
              <w:bottom w:val="single" w:sz="12" w:space="0" w:color="auto"/>
              <w:right w:val="single" w:sz="6" w:space="0" w:color="auto"/>
            </w:tcBorders>
            <w:shd w:val="clear" w:color="auto" w:fill="FFD200"/>
            <w:vAlign w:val="center"/>
          </w:tcPr>
          <w:p>
            <w:pPr>
              <w:widowControl w:val="0"/>
              <w:jc w:val="center"/>
              <w:rPr>
                <w:rFonts w:ascii="Arial" w:eastAsia="Times New Roman" w:hAnsi="Arial"/>
                <w:b/>
                <w:caps/>
                <w:sz w:val="16"/>
                <w:szCs w:val="16"/>
                <w:u w:color="000000"/>
              </w:rPr>
            </w:pPr>
            <w:r>
              <w:rPr>
                <w:rFonts w:ascii="Arial" w:eastAsia="Times New Roman" w:hAnsi="Arial"/>
                <w:b/>
                <w:caps/>
                <w:sz w:val="16"/>
                <w:szCs w:val="16"/>
                <w:u w:color="000000"/>
              </w:rPr>
              <w:t>1</w:t>
            </w:r>
          </w:p>
        </w:tc>
        <w:tc>
          <w:tcPr>
            <w:tcW w:w="3525" w:type="pct"/>
            <w:gridSpan w:val="2"/>
            <w:tcBorders>
              <w:left w:val="single" w:sz="6" w:space="0" w:color="auto"/>
              <w:bottom w:val="single" w:sz="12" w:space="0" w:color="auto"/>
              <w:right w:val="single" w:sz="6" w:space="0" w:color="auto"/>
            </w:tcBorders>
            <w:shd w:val="clear" w:color="auto" w:fill="FFD200"/>
            <w:vAlign w:val="center"/>
          </w:tcPr>
          <w:p>
            <w:pPr>
              <w:widowControl w:val="0"/>
              <w:jc w:val="center"/>
              <w:rPr>
                <w:rFonts w:ascii="Arial" w:eastAsia="Times New Roman" w:hAnsi="Arial"/>
                <w:b/>
                <w:caps/>
                <w:sz w:val="16"/>
                <w:szCs w:val="16"/>
                <w:u w:color="000000"/>
              </w:rPr>
            </w:pPr>
            <w:r>
              <w:rPr>
                <w:rFonts w:ascii="Arial" w:eastAsia="Times New Roman" w:hAnsi="Arial"/>
                <w:b/>
                <w:caps/>
                <w:sz w:val="16"/>
                <w:szCs w:val="16"/>
                <w:u w:color="000000"/>
              </w:rPr>
              <w:t>2</w:t>
            </w:r>
          </w:p>
        </w:tc>
        <w:tc>
          <w:tcPr>
            <w:tcW w:w="1205" w:type="pct"/>
            <w:tcBorders>
              <w:left w:val="single" w:sz="6" w:space="0" w:color="auto"/>
              <w:bottom w:val="single" w:sz="12" w:space="0" w:color="auto"/>
            </w:tcBorders>
            <w:shd w:val="clear" w:color="auto" w:fill="FFD200"/>
            <w:vAlign w:val="center"/>
          </w:tcPr>
          <w:p>
            <w:pPr>
              <w:widowControl w:val="0"/>
              <w:jc w:val="center"/>
              <w:rPr>
                <w:rFonts w:ascii="Arial" w:eastAsia="Times New Roman" w:hAnsi="Arial"/>
                <w:b/>
                <w:caps/>
                <w:sz w:val="16"/>
                <w:szCs w:val="16"/>
                <w:u w:color="000000"/>
              </w:rPr>
            </w:pPr>
            <w:r>
              <w:rPr>
                <w:rFonts w:ascii="Arial" w:eastAsia="Times New Roman" w:hAnsi="Arial"/>
                <w:b/>
                <w:caps/>
                <w:sz w:val="16"/>
                <w:szCs w:val="16"/>
                <w:u w:color="000000"/>
              </w:rPr>
              <w:t>3</w:t>
            </w:r>
          </w:p>
        </w:tc>
      </w:tr>
      <w:tr>
        <w:trPr>
          <w:cantSplit/>
          <w:trHeight w:val="255"/>
        </w:trPr>
        <w:tc>
          <w:tcPr>
            <w:tcW w:w="270" w:type="pct"/>
            <w:tcBorders>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Calibri"/>
                <w:spacing w:val="-1"/>
                <w:sz w:val="20"/>
                <w:szCs w:val="20"/>
                <w:lang w:eastAsia="en-US"/>
              </w:rPr>
              <w:t>1</w:t>
            </w:r>
          </w:p>
        </w:tc>
        <w:tc>
          <w:tcPr>
            <w:tcW w:w="3525" w:type="pct"/>
            <w:gridSpan w:val="2"/>
            <w:tcBorders>
              <w:left w:val="single" w:sz="6" w:space="0" w:color="auto"/>
              <w:bottom w:val="single" w:sz="6" w:space="0" w:color="auto"/>
              <w:right w:val="single" w:sz="6" w:space="0" w:color="auto"/>
            </w:tcBorders>
            <w:shd w:val="clear" w:color="auto" w:fill="FFFFFF"/>
          </w:tcPr>
          <w:p>
            <w:pPr>
              <w:widowControl w:val="0"/>
              <w:ind w:left="33" w:right="143"/>
              <w:jc w:val="left"/>
              <w:rPr>
                <w:rFonts w:eastAsia="Times New Roman"/>
                <w:sz w:val="20"/>
                <w:szCs w:val="20"/>
                <w:lang w:val="en-US" w:eastAsia="en-US"/>
              </w:rPr>
            </w:pPr>
            <w:r>
              <w:rPr>
                <w:rFonts w:eastAsia="Calibri"/>
                <w:spacing w:val="-1"/>
                <w:sz w:val="20"/>
                <w:szCs w:val="20"/>
                <w:lang w:eastAsia="en-US"/>
              </w:rPr>
              <w:t>Назначенный срок службы, лет</w:t>
            </w:r>
          </w:p>
        </w:tc>
        <w:tc>
          <w:tcPr>
            <w:tcW w:w="1205" w:type="pct"/>
            <w:tcBorders>
              <w:left w:val="single" w:sz="6" w:space="0" w:color="auto"/>
              <w:bottom w:val="single" w:sz="6" w:space="0" w:color="auto"/>
            </w:tcBorders>
            <w:shd w:val="clear" w:color="auto" w:fill="FFFFFF"/>
          </w:tcPr>
          <w:p>
            <w:pPr>
              <w:widowControl w:val="0"/>
              <w:jc w:val="left"/>
              <w:rPr>
                <w:rFonts w:eastAsia="PMingLiU"/>
                <w:bCs/>
                <w:sz w:val="20"/>
                <w:szCs w:val="20"/>
                <w:lang w:eastAsia="en-US"/>
              </w:rPr>
            </w:pPr>
            <w:r>
              <w:rPr>
                <w:rFonts w:eastAsia="PMingLiU"/>
                <w:bCs/>
                <w:sz w:val="20"/>
                <w:szCs w:val="20"/>
                <w:lang w:eastAsia="en-US"/>
              </w:rPr>
              <w:t>20</w:t>
            </w:r>
          </w:p>
        </w:tc>
      </w:tr>
      <w:tr>
        <w:trPr>
          <w:cantSplit/>
          <w:trHeight w:val="255"/>
        </w:trPr>
        <w:tc>
          <w:tcPr>
            <w:tcW w:w="270" w:type="pct"/>
            <w:vMerge w:val="restart"/>
            <w:tcBorders>
              <w:top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Calibri"/>
                <w:spacing w:val="-1"/>
                <w:sz w:val="20"/>
                <w:szCs w:val="20"/>
                <w:lang w:eastAsia="en-US"/>
              </w:rPr>
              <w:t>2</w:t>
            </w:r>
          </w:p>
        </w:tc>
        <w:tc>
          <w:tcPr>
            <w:tcW w:w="1727" w:type="pct"/>
            <w:vMerge w:val="restart"/>
            <w:tcBorders>
              <w:top w:val="single" w:sz="6" w:space="0" w:color="auto"/>
              <w:left w:val="single" w:sz="6" w:space="0" w:color="auto"/>
              <w:right w:val="single" w:sz="6" w:space="0" w:color="auto"/>
            </w:tcBorders>
            <w:shd w:val="clear" w:color="auto" w:fill="FFFFFF"/>
          </w:tcPr>
          <w:p>
            <w:pPr>
              <w:widowControl w:val="0"/>
              <w:ind w:left="33" w:right="143"/>
              <w:jc w:val="left"/>
              <w:rPr>
                <w:rFonts w:eastAsia="Times New Roman"/>
                <w:sz w:val="20"/>
                <w:szCs w:val="20"/>
                <w:lang w:eastAsia="en-US"/>
              </w:rPr>
            </w:pPr>
            <w:r>
              <w:rPr>
                <w:rFonts w:eastAsia="Calibri"/>
                <w:spacing w:val="-1"/>
                <w:sz w:val="20"/>
                <w:szCs w:val="20"/>
                <w:lang w:eastAsia="en-US"/>
              </w:rPr>
              <w:t xml:space="preserve">Назначенный ресурс, циклов </w:t>
            </w:r>
          </w:p>
        </w:tc>
        <w:tc>
          <w:tcPr>
            <w:tcW w:w="1798" w:type="pct"/>
            <w:tcBorders>
              <w:top w:val="single" w:sz="6" w:space="0" w:color="auto"/>
              <w:left w:val="single" w:sz="6" w:space="0" w:color="auto"/>
              <w:bottom w:val="single" w:sz="6" w:space="0" w:color="auto"/>
              <w:right w:val="single" w:sz="6" w:space="0" w:color="auto"/>
            </w:tcBorders>
            <w:shd w:val="clear" w:color="auto" w:fill="FFFFFF"/>
          </w:tcPr>
          <w:p>
            <w:pPr>
              <w:widowControl w:val="0"/>
              <w:ind w:left="33" w:right="143"/>
              <w:jc w:val="left"/>
              <w:rPr>
                <w:rFonts w:eastAsia="Times New Roman"/>
                <w:sz w:val="20"/>
                <w:szCs w:val="20"/>
                <w:lang w:eastAsia="en-US"/>
              </w:rPr>
            </w:pPr>
            <w:r>
              <w:rPr>
                <w:rFonts w:eastAsia="Times New Roman"/>
                <w:sz w:val="20"/>
                <w:szCs w:val="20"/>
                <w:lang w:eastAsia="en-US"/>
              </w:rPr>
              <w:t xml:space="preserve">Для кранов шаровых </w:t>
            </w:r>
            <w:r>
              <w:rPr>
                <w:rFonts w:eastAsia="Times New Roman"/>
                <w:sz w:val="20"/>
                <w:szCs w:val="20"/>
                <w:lang w:val="en-US" w:eastAsia="en-US"/>
              </w:rPr>
              <w:t>DN</w:t>
            </w:r>
            <w:r>
              <w:rPr>
                <w:rFonts w:eastAsia="Times New Roman"/>
                <w:sz w:val="20"/>
                <w:szCs w:val="20"/>
                <w:lang w:eastAsia="en-US"/>
              </w:rPr>
              <w:t>≤ 250</w:t>
            </w:r>
          </w:p>
        </w:tc>
        <w:tc>
          <w:tcPr>
            <w:tcW w:w="1205" w:type="pct"/>
            <w:tcBorders>
              <w:top w:val="single" w:sz="6" w:space="0" w:color="auto"/>
              <w:left w:val="single" w:sz="6" w:space="0" w:color="auto"/>
              <w:bottom w:val="single" w:sz="4" w:space="0" w:color="auto"/>
            </w:tcBorders>
            <w:shd w:val="clear" w:color="auto" w:fill="FFFFFF"/>
          </w:tcPr>
          <w:p>
            <w:pPr>
              <w:widowControl w:val="0"/>
              <w:jc w:val="left"/>
              <w:rPr>
                <w:rFonts w:eastAsia="PMingLiU"/>
                <w:bCs/>
                <w:sz w:val="20"/>
                <w:szCs w:val="20"/>
                <w:lang w:eastAsia="en-US"/>
              </w:rPr>
            </w:pPr>
            <w:r>
              <w:rPr>
                <w:rFonts w:eastAsia="PMingLiU"/>
                <w:bCs/>
                <w:sz w:val="20"/>
                <w:szCs w:val="20"/>
                <w:lang w:eastAsia="en-US"/>
              </w:rPr>
              <w:t>Не менее 4000</w:t>
            </w:r>
          </w:p>
        </w:tc>
      </w:tr>
      <w:tr>
        <w:trPr>
          <w:cantSplit/>
          <w:trHeight w:val="255"/>
        </w:trPr>
        <w:tc>
          <w:tcPr>
            <w:tcW w:w="270" w:type="pct"/>
            <w:vMerge/>
            <w:tcBorders>
              <w:right w:val="single" w:sz="6" w:space="0" w:color="auto"/>
            </w:tcBorders>
            <w:shd w:val="clear" w:color="auto" w:fill="FFFFFF"/>
          </w:tcPr>
          <w:p>
            <w:pPr>
              <w:widowControl w:val="0"/>
              <w:ind w:left="33" w:right="143"/>
              <w:jc w:val="left"/>
              <w:rPr>
                <w:rFonts w:eastAsia="Calibri"/>
                <w:spacing w:val="-1"/>
                <w:sz w:val="20"/>
                <w:szCs w:val="20"/>
                <w:lang w:eastAsia="en-US"/>
              </w:rPr>
            </w:pPr>
          </w:p>
        </w:tc>
        <w:tc>
          <w:tcPr>
            <w:tcW w:w="1727" w:type="pct"/>
            <w:vMerge/>
            <w:tcBorders>
              <w:left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p>
        </w:tc>
        <w:tc>
          <w:tcPr>
            <w:tcW w:w="1798" w:type="pct"/>
            <w:tcBorders>
              <w:top w:val="single" w:sz="4" w:space="0" w:color="auto"/>
              <w:left w:val="single" w:sz="6" w:space="0" w:color="auto"/>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Times New Roman"/>
                <w:sz w:val="20"/>
                <w:szCs w:val="20"/>
                <w:lang w:eastAsia="en-US"/>
              </w:rPr>
              <w:t xml:space="preserve">Для кранов шаровых </w:t>
            </w:r>
            <w:r>
              <w:rPr>
                <w:rFonts w:eastAsia="Times New Roman"/>
                <w:sz w:val="20"/>
                <w:szCs w:val="20"/>
                <w:lang w:val="en-US" w:eastAsia="en-US"/>
              </w:rPr>
              <w:t>DN</w:t>
            </w:r>
            <w:r>
              <w:rPr>
                <w:rFonts w:eastAsia="Times New Roman"/>
                <w:sz w:val="20"/>
                <w:szCs w:val="20"/>
                <w:lang w:eastAsia="en-US"/>
              </w:rPr>
              <w:t xml:space="preserve"> 300÷1000</w:t>
            </w:r>
          </w:p>
        </w:tc>
        <w:tc>
          <w:tcPr>
            <w:tcW w:w="1205" w:type="pct"/>
            <w:tcBorders>
              <w:top w:val="single" w:sz="4" w:space="0" w:color="auto"/>
              <w:left w:val="single" w:sz="6" w:space="0" w:color="auto"/>
              <w:bottom w:val="single" w:sz="6" w:space="0" w:color="auto"/>
            </w:tcBorders>
            <w:shd w:val="clear" w:color="auto" w:fill="FFFFFF"/>
          </w:tcPr>
          <w:p>
            <w:pPr>
              <w:widowControl w:val="0"/>
              <w:jc w:val="left"/>
              <w:rPr>
                <w:rFonts w:eastAsia="PMingLiU"/>
                <w:bCs/>
                <w:sz w:val="20"/>
                <w:szCs w:val="20"/>
                <w:lang w:eastAsia="en-US"/>
              </w:rPr>
            </w:pPr>
            <w:r>
              <w:rPr>
                <w:rFonts w:eastAsia="PMingLiU"/>
                <w:bCs/>
                <w:sz w:val="20"/>
                <w:szCs w:val="20"/>
                <w:lang w:eastAsia="en-US"/>
              </w:rPr>
              <w:t>Не менее 2000</w:t>
            </w:r>
          </w:p>
        </w:tc>
      </w:tr>
      <w:tr>
        <w:trPr>
          <w:cantSplit/>
          <w:trHeight w:val="255"/>
        </w:trPr>
        <w:tc>
          <w:tcPr>
            <w:tcW w:w="270" w:type="pct"/>
            <w:vMerge/>
            <w:tcBorders>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p>
        </w:tc>
        <w:tc>
          <w:tcPr>
            <w:tcW w:w="1727" w:type="pct"/>
            <w:vMerge/>
            <w:tcBorders>
              <w:left w:val="single" w:sz="6" w:space="0" w:color="auto"/>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p>
        </w:tc>
        <w:tc>
          <w:tcPr>
            <w:tcW w:w="1798" w:type="pct"/>
            <w:tcBorders>
              <w:top w:val="single" w:sz="4" w:space="0" w:color="auto"/>
              <w:left w:val="single" w:sz="6" w:space="0" w:color="auto"/>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Times New Roman"/>
                <w:sz w:val="20"/>
                <w:szCs w:val="20"/>
                <w:lang w:eastAsia="en-US"/>
              </w:rPr>
              <w:t xml:space="preserve">Для кранов шаровых </w:t>
            </w:r>
            <w:r>
              <w:rPr>
                <w:rFonts w:eastAsia="Times New Roman"/>
                <w:sz w:val="20"/>
                <w:szCs w:val="20"/>
                <w:lang w:val="en-US" w:eastAsia="en-US"/>
              </w:rPr>
              <w:t>DN</w:t>
            </w:r>
            <w:r>
              <w:rPr>
                <w:rFonts w:eastAsia="Times New Roman"/>
                <w:sz w:val="20"/>
                <w:szCs w:val="20"/>
                <w:lang w:eastAsia="en-US"/>
              </w:rPr>
              <w:t xml:space="preserve"> </w:t>
            </w:r>
            <w:r>
              <w:rPr>
                <w:rFonts w:eastAsia="Times New Roman"/>
                <w:sz w:val="20"/>
                <w:szCs w:val="20"/>
                <w:lang w:val="en-US" w:eastAsia="en-US"/>
              </w:rPr>
              <w:t>DN</w:t>
            </w:r>
            <w:r>
              <w:rPr>
                <w:rFonts w:eastAsia="Times New Roman"/>
                <w:sz w:val="20"/>
                <w:szCs w:val="20"/>
                <w:lang w:eastAsia="en-US"/>
              </w:rPr>
              <w:t>≥1200</w:t>
            </w:r>
          </w:p>
        </w:tc>
        <w:tc>
          <w:tcPr>
            <w:tcW w:w="1205" w:type="pct"/>
            <w:tcBorders>
              <w:top w:val="single" w:sz="4" w:space="0" w:color="auto"/>
              <w:left w:val="single" w:sz="6" w:space="0" w:color="auto"/>
              <w:bottom w:val="single" w:sz="6" w:space="0" w:color="auto"/>
            </w:tcBorders>
            <w:shd w:val="clear" w:color="auto" w:fill="FFFFFF"/>
          </w:tcPr>
          <w:p>
            <w:pPr>
              <w:widowControl w:val="0"/>
              <w:jc w:val="left"/>
              <w:rPr>
                <w:rFonts w:eastAsia="PMingLiU"/>
                <w:bCs/>
                <w:sz w:val="20"/>
                <w:szCs w:val="20"/>
                <w:lang w:eastAsia="en-US"/>
              </w:rPr>
            </w:pPr>
            <w:r>
              <w:rPr>
                <w:rFonts w:eastAsia="PMingLiU"/>
                <w:bCs/>
                <w:sz w:val="20"/>
                <w:szCs w:val="20"/>
                <w:lang w:eastAsia="en-US"/>
              </w:rPr>
              <w:t>Не менее 500</w:t>
            </w:r>
          </w:p>
        </w:tc>
      </w:tr>
      <w:tr>
        <w:trPr>
          <w:cantSplit/>
          <w:trHeight w:val="255"/>
        </w:trPr>
        <w:tc>
          <w:tcPr>
            <w:tcW w:w="270" w:type="pct"/>
            <w:tcBorders>
              <w:top w:val="single" w:sz="6" w:space="0" w:color="auto"/>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Calibri"/>
                <w:spacing w:val="-1"/>
                <w:sz w:val="20"/>
                <w:szCs w:val="20"/>
                <w:lang w:eastAsia="en-US"/>
              </w:rPr>
              <w:t>3</w:t>
            </w:r>
          </w:p>
        </w:tc>
        <w:tc>
          <w:tcPr>
            <w:tcW w:w="3525" w:type="pct"/>
            <w:gridSpan w:val="2"/>
            <w:tcBorders>
              <w:top w:val="single" w:sz="6" w:space="0" w:color="auto"/>
              <w:left w:val="single" w:sz="6" w:space="0" w:color="auto"/>
              <w:bottom w:val="single" w:sz="6" w:space="0" w:color="auto"/>
              <w:right w:val="single" w:sz="6" w:space="0" w:color="auto"/>
            </w:tcBorders>
            <w:shd w:val="clear" w:color="auto" w:fill="FFFFFF"/>
          </w:tcPr>
          <w:p>
            <w:pPr>
              <w:widowControl w:val="0"/>
              <w:ind w:left="33" w:right="143"/>
              <w:jc w:val="left"/>
              <w:rPr>
                <w:rFonts w:eastAsia="Times New Roman"/>
                <w:sz w:val="20"/>
                <w:szCs w:val="20"/>
                <w:lang w:eastAsia="en-US"/>
              </w:rPr>
            </w:pPr>
            <w:r>
              <w:rPr>
                <w:rFonts w:eastAsia="Times New Roman"/>
                <w:sz w:val="20"/>
                <w:szCs w:val="20"/>
                <w:lang w:eastAsia="en-US"/>
              </w:rPr>
              <w:t>Ресурс до списания, часов</w:t>
            </w:r>
          </w:p>
        </w:tc>
        <w:tc>
          <w:tcPr>
            <w:tcW w:w="1205" w:type="pct"/>
            <w:tcBorders>
              <w:top w:val="single" w:sz="6" w:space="0" w:color="auto"/>
              <w:left w:val="single" w:sz="6" w:space="0" w:color="auto"/>
              <w:bottom w:val="single" w:sz="6" w:space="0" w:color="auto"/>
            </w:tcBorders>
            <w:shd w:val="clear" w:color="auto" w:fill="FFFFFF"/>
          </w:tcPr>
          <w:p>
            <w:pPr>
              <w:widowControl w:val="0"/>
              <w:ind w:left="536" w:hanging="536"/>
              <w:jc w:val="left"/>
              <w:rPr>
                <w:rFonts w:eastAsia="Times New Roman"/>
                <w:sz w:val="20"/>
                <w:szCs w:val="20"/>
                <w:lang w:eastAsia="en-US"/>
              </w:rPr>
            </w:pPr>
            <w:r>
              <w:rPr>
                <w:rFonts w:eastAsia="Times New Roman"/>
                <w:sz w:val="20"/>
                <w:szCs w:val="20"/>
                <w:lang w:eastAsia="en-US"/>
              </w:rPr>
              <w:t>Не менее 175 000</w:t>
            </w:r>
          </w:p>
        </w:tc>
      </w:tr>
      <w:tr>
        <w:trPr>
          <w:cantSplit/>
          <w:trHeight w:val="255"/>
        </w:trPr>
        <w:tc>
          <w:tcPr>
            <w:tcW w:w="270" w:type="pct"/>
            <w:tcBorders>
              <w:top w:val="single" w:sz="6" w:space="0" w:color="auto"/>
              <w:bottom w:val="single" w:sz="6"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Calibri"/>
                <w:spacing w:val="-1"/>
                <w:sz w:val="20"/>
                <w:szCs w:val="20"/>
                <w:lang w:eastAsia="en-US"/>
              </w:rPr>
              <w:t>4</w:t>
            </w:r>
          </w:p>
        </w:tc>
        <w:tc>
          <w:tcPr>
            <w:tcW w:w="3525" w:type="pct"/>
            <w:gridSpan w:val="2"/>
            <w:tcBorders>
              <w:top w:val="single" w:sz="6" w:space="0" w:color="auto"/>
              <w:left w:val="single" w:sz="6" w:space="0" w:color="auto"/>
              <w:bottom w:val="single" w:sz="6" w:space="0" w:color="auto"/>
              <w:right w:val="single" w:sz="6" w:space="0" w:color="auto"/>
            </w:tcBorders>
            <w:shd w:val="clear" w:color="auto" w:fill="FFFFFF"/>
          </w:tcPr>
          <w:p>
            <w:pPr>
              <w:widowControl w:val="0"/>
              <w:ind w:left="33" w:right="143"/>
              <w:jc w:val="left"/>
              <w:rPr>
                <w:rFonts w:eastAsia="Times New Roman"/>
                <w:sz w:val="20"/>
                <w:szCs w:val="20"/>
                <w:lang w:eastAsia="en-US"/>
              </w:rPr>
            </w:pPr>
            <w:r>
              <w:rPr>
                <w:rFonts w:eastAsia="Calibri"/>
                <w:spacing w:val="-1"/>
                <w:sz w:val="20"/>
                <w:szCs w:val="20"/>
                <w:lang w:eastAsia="en-US"/>
              </w:rPr>
              <w:t>Вероятность</w:t>
            </w:r>
            <w:r>
              <w:rPr>
                <w:rFonts w:eastAsia="Calibri"/>
                <w:sz w:val="20"/>
                <w:szCs w:val="20"/>
                <w:lang w:eastAsia="en-US"/>
              </w:rPr>
              <w:t xml:space="preserve"> </w:t>
            </w:r>
            <w:r>
              <w:rPr>
                <w:rFonts w:eastAsia="Calibri"/>
                <w:spacing w:val="-1"/>
                <w:sz w:val="20"/>
                <w:szCs w:val="20"/>
                <w:lang w:eastAsia="en-US"/>
              </w:rPr>
              <w:t>безотказной</w:t>
            </w:r>
            <w:r>
              <w:rPr>
                <w:rFonts w:eastAsia="Calibri"/>
                <w:spacing w:val="-3"/>
                <w:sz w:val="20"/>
                <w:szCs w:val="20"/>
                <w:lang w:eastAsia="en-US"/>
              </w:rPr>
              <w:t xml:space="preserve"> </w:t>
            </w:r>
            <w:r>
              <w:rPr>
                <w:rFonts w:eastAsia="Calibri"/>
                <w:spacing w:val="-1"/>
                <w:sz w:val="20"/>
                <w:szCs w:val="20"/>
                <w:lang w:eastAsia="en-US"/>
              </w:rPr>
              <w:t>работы</w:t>
            </w:r>
            <w:r>
              <w:rPr>
                <w:rFonts w:eastAsia="Calibri"/>
                <w:spacing w:val="40"/>
                <w:sz w:val="20"/>
                <w:szCs w:val="20"/>
                <w:lang w:eastAsia="en-US"/>
              </w:rPr>
              <w:t xml:space="preserve"> </w:t>
            </w:r>
            <w:r>
              <w:rPr>
                <w:rFonts w:eastAsia="Calibri"/>
                <w:sz w:val="20"/>
                <w:szCs w:val="20"/>
                <w:lang w:eastAsia="en-US"/>
              </w:rPr>
              <w:t xml:space="preserve">по отношению к </w:t>
            </w:r>
            <w:r>
              <w:rPr>
                <w:rFonts w:eastAsia="Calibri"/>
                <w:spacing w:val="-1"/>
                <w:sz w:val="20"/>
                <w:szCs w:val="20"/>
                <w:lang w:eastAsia="en-US"/>
              </w:rPr>
              <w:t>критическому</w:t>
            </w:r>
            <w:r>
              <w:rPr>
                <w:rFonts w:eastAsia="Calibri"/>
                <w:spacing w:val="-3"/>
                <w:sz w:val="20"/>
                <w:szCs w:val="20"/>
                <w:lang w:eastAsia="en-US"/>
              </w:rPr>
              <w:t xml:space="preserve"> </w:t>
            </w:r>
            <w:r>
              <w:rPr>
                <w:rFonts w:eastAsia="Calibri"/>
                <w:sz w:val="20"/>
                <w:szCs w:val="20"/>
                <w:lang w:eastAsia="en-US"/>
              </w:rPr>
              <w:t>отказу</w:t>
            </w:r>
            <w:r>
              <w:rPr>
                <w:rFonts w:eastAsia="Calibri"/>
                <w:spacing w:val="-1"/>
                <w:sz w:val="20"/>
                <w:szCs w:val="20"/>
                <w:lang w:eastAsia="en-US"/>
              </w:rPr>
              <w:t xml:space="preserve"> «невыполнение</w:t>
            </w:r>
            <w:r>
              <w:rPr>
                <w:rFonts w:eastAsia="Calibri"/>
                <w:sz w:val="20"/>
                <w:szCs w:val="20"/>
                <w:lang w:eastAsia="en-US"/>
              </w:rPr>
              <w:t xml:space="preserve"> </w:t>
            </w:r>
            <w:r>
              <w:rPr>
                <w:rFonts w:eastAsia="Calibri"/>
                <w:spacing w:val="-1"/>
                <w:sz w:val="20"/>
                <w:szCs w:val="20"/>
                <w:lang w:eastAsia="en-US"/>
              </w:rPr>
              <w:t>функции</w:t>
            </w:r>
            <w:r>
              <w:rPr>
                <w:rFonts w:eastAsia="Calibri"/>
                <w:sz w:val="20"/>
                <w:szCs w:val="20"/>
                <w:lang w:eastAsia="en-US"/>
              </w:rPr>
              <w:t xml:space="preserve"> </w:t>
            </w:r>
            <w:r>
              <w:rPr>
                <w:rFonts w:eastAsia="Calibri"/>
                <w:spacing w:val="-1"/>
                <w:sz w:val="20"/>
                <w:szCs w:val="20"/>
                <w:lang w:eastAsia="en-US"/>
              </w:rPr>
              <w:t>«закрытие»</w:t>
            </w:r>
            <w:r>
              <w:rPr>
                <w:rFonts w:eastAsia="Calibri"/>
                <w:spacing w:val="-5"/>
                <w:sz w:val="20"/>
                <w:szCs w:val="20"/>
                <w:lang w:eastAsia="en-US"/>
              </w:rPr>
              <w:t xml:space="preserve"> </w:t>
            </w:r>
            <w:r>
              <w:rPr>
                <w:rFonts w:eastAsia="Calibri"/>
                <w:sz w:val="20"/>
                <w:szCs w:val="20"/>
                <w:lang w:eastAsia="en-US"/>
              </w:rPr>
              <w:t>в</w:t>
            </w:r>
            <w:r>
              <w:rPr>
                <w:rFonts w:eastAsia="Calibri"/>
                <w:spacing w:val="27"/>
                <w:sz w:val="20"/>
                <w:szCs w:val="20"/>
                <w:lang w:eastAsia="en-US"/>
              </w:rPr>
              <w:t xml:space="preserve"> </w:t>
            </w:r>
            <w:r>
              <w:rPr>
                <w:rFonts w:eastAsia="Calibri"/>
                <w:spacing w:val="-1"/>
                <w:sz w:val="20"/>
                <w:szCs w:val="20"/>
                <w:lang w:eastAsia="en-US"/>
              </w:rPr>
              <w:t>течение</w:t>
            </w:r>
            <w:r>
              <w:rPr>
                <w:rFonts w:eastAsia="Calibri"/>
                <w:sz w:val="20"/>
                <w:szCs w:val="20"/>
                <w:lang w:eastAsia="en-US"/>
              </w:rPr>
              <w:t xml:space="preserve"> </w:t>
            </w:r>
            <w:r>
              <w:rPr>
                <w:rFonts w:eastAsia="Calibri"/>
                <w:spacing w:val="-1"/>
                <w:sz w:val="20"/>
                <w:szCs w:val="20"/>
                <w:lang w:eastAsia="en-US"/>
              </w:rPr>
              <w:t>назначенного</w:t>
            </w:r>
            <w:r>
              <w:rPr>
                <w:rFonts w:eastAsia="Calibri"/>
                <w:sz w:val="20"/>
                <w:szCs w:val="20"/>
                <w:lang w:eastAsia="en-US"/>
              </w:rPr>
              <w:t xml:space="preserve"> </w:t>
            </w:r>
            <w:r>
              <w:rPr>
                <w:rFonts w:eastAsia="Calibri"/>
                <w:spacing w:val="-1"/>
                <w:sz w:val="20"/>
                <w:szCs w:val="20"/>
                <w:lang w:eastAsia="en-US"/>
              </w:rPr>
              <w:t>ресурса</w:t>
            </w:r>
          </w:p>
        </w:tc>
        <w:tc>
          <w:tcPr>
            <w:tcW w:w="1205" w:type="pct"/>
            <w:tcBorders>
              <w:top w:val="single" w:sz="6" w:space="0" w:color="auto"/>
              <w:left w:val="single" w:sz="6" w:space="0" w:color="auto"/>
              <w:bottom w:val="single" w:sz="6" w:space="0" w:color="auto"/>
            </w:tcBorders>
            <w:shd w:val="clear" w:color="auto" w:fill="FFFFFF"/>
          </w:tcPr>
          <w:p>
            <w:pPr>
              <w:widowControl w:val="0"/>
              <w:ind w:left="536" w:hanging="536"/>
              <w:jc w:val="left"/>
              <w:rPr>
                <w:rFonts w:eastAsia="Times New Roman"/>
                <w:sz w:val="20"/>
                <w:szCs w:val="20"/>
                <w:lang w:eastAsia="en-US"/>
              </w:rPr>
            </w:pPr>
            <w:r>
              <w:rPr>
                <w:rFonts w:eastAsia="Calibri"/>
                <w:sz w:val="20"/>
                <w:szCs w:val="20"/>
                <w:lang w:eastAsia="en-US"/>
              </w:rPr>
              <w:t xml:space="preserve">Не менее </w:t>
            </w:r>
            <w:r>
              <w:rPr>
                <w:rFonts w:eastAsia="Calibri"/>
                <w:spacing w:val="-1"/>
                <w:sz w:val="20"/>
                <w:szCs w:val="20"/>
                <w:lang w:val="en-US" w:eastAsia="en-US"/>
              </w:rPr>
              <w:t>0,99</w:t>
            </w:r>
            <w:r>
              <w:rPr>
                <w:rFonts w:eastAsia="Calibri"/>
                <w:spacing w:val="-1"/>
                <w:sz w:val="20"/>
                <w:szCs w:val="20"/>
                <w:lang w:eastAsia="en-US"/>
              </w:rPr>
              <w:t>8</w:t>
            </w:r>
          </w:p>
        </w:tc>
      </w:tr>
      <w:tr>
        <w:trPr>
          <w:cantSplit/>
          <w:trHeight w:val="255"/>
        </w:trPr>
        <w:tc>
          <w:tcPr>
            <w:tcW w:w="270" w:type="pct"/>
            <w:tcBorders>
              <w:top w:val="single" w:sz="6" w:space="0" w:color="auto"/>
              <w:bottom w:val="single" w:sz="12" w:space="0" w:color="auto"/>
              <w:right w:val="single" w:sz="6" w:space="0" w:color="auto"/>
            </w:tcBorders>
            <w:shd w:val="clear" w:color="auto" w:fill="FFFFFF"/>
          </w:tcPr>
          <w:p>
            <w:pPr>
              <w:widowControl w:val="0"/>
              <w:ind w:left="33" w:right="143"/>
              <w:jc w:val="left"/>
              <w:rPr>
                <w:rFonts w:eastAsia="Calibri"/>
                <w:spacing w:val="-1"/>
                <w:sz w:val="20"/>
                <w:szCs w:val="20"/>
                <w:lang w:eastAsia="en-US"/>
              </w:rPr>
            </w:pPr>
            <w:r>
              <w:rPr>
                <w:rFonts w:eastAsia="Calibri"/>
                <w:spacing w:val="-1"/>
                <w:sz w:val="20"/>
                <w:szCs w:val="20"/>
                <w:lang w:eastAsia="en-US"/>
              </w:rPr>
              <w:t>5</w:t>
            </w:r>
          </w:p>
        </w:tc>
        <w:tc>
          <w:tcPr>
            <w:tcW w:w="3525" w:type="pct"/>
            <w:gridSpan w:val="2"/>
            <w:tcBorders>
              <w:top w:val="single" w:sz="6" w:space="0" w:color="auto"/>
              <w:left w:val="single" w:sz="6" w:space="0" w:color="auto"/>
              <w:bottom w:val="single" w:sz="12" w:space="0" w:color="auto"/>
              <w:right w:val="single" w:sz="6" w:space="0" w:color="auto"/>
            </w:tcBorders>
            <w:shd w:val="clear" w:color="auto" w:fill="FFFFFF"/>
          </w:tcPr>
          <w:p>
            <w:pPr>
              <w:widowControl w:val="0"/>
              <w:ind w:left="33" w:right="143"/>
              <w:jc w:val="left"/>
              <w:rPr>
                <w:rFonts w:eastAsia="Times New Roman"/>
                <w:sz w:val="20"/>
                <w:szCs w:val="20"/>
                <w:lang w:eastAsia="en-US"/>
              </w:rPr>
            </w:pPr>
            <w:r>
              <w:rPr>
                <w:rFonts w:eastAsia="Calibri"/>
                <w:spacing w:val="-1"/>
                <w:sz w:val="20"/>
                <w:szCs w:val="20"/>
                <w:lang w:eastAsia="en-US"/>
              </w:rPr>
              <w:t>Коэффициент</w:t>
            </w:r>
            <w:r>
              <w:rPr>
                <w:rFonts w:eastAsia="Calibri"/>
                <w:sz w:val="20"/>
                <w:szCs w:val="20"/>
                <w:lang w:eastAsia="en-US"/>
              </w:rPr>
              <w:t xml:space="preserve"> </w:t>
            </w:r>
            <w:r>
              <w:rPr>
                <w:rFonts w:eastAsia="Calibri"/>
                <w:spacing w:val="-1"/>
                <w:sz w:val="20"/>
                <w:szCs w:val="20"/>
                <w:lang w:eastAsia="en-US"/>
              </w:rPr>
              <w:t>оперативной</w:t>
            </w:r>
            <w:r>
              <w:rPr>
                <w:rFonts w:eastAsia="Calibri"/>
                <w:sz w:val="20"/>
                <w:szCs w:val="20"/>
                <w:lang w:eastAsia="en-US"/>
              </w:rPr>
              <w:t xml:space="preserve"> го</w:t>
            </w:r>
            <w:r>
              <w:rPr>
                <w:rFonts w:eastAsia="Calibri"/>
                <w:spacing w:val="-1"/>
                <w:sz w:val="20"/>
                <w:szCs w:val="20"/>
                <w:lang w:eastAsia="en-US"/>
              </w:rPr>
              <w:t xml:space="preserve">товности </w:t>
            </w:r>
            <w:r>
              <w:rPr>
                <w:rFonts w:eastAsia="Times New Roman"/>
                <w:sz w:val="20"/>
                <w:szCs w:val="20"/>
              </w:rPr>
              <w:t>по критическому отказу «невыполнение функции закрытие» в течение ресурса</w:t>
            </w:r>
          </w:p>
        </w:tc>
        <w:tc>
          <w:tcPr>
            <w:tcW w:w="1205" w:type="pct"/>
            <w:tcBorders>
              <w:top w:val="single" w:sz="6" w:space="0" w:color="auto"/>
              <w:left w:val="single" w:sz="6" w:space="0" w:color="auto"/>
              <w:bottom w:val="single" w:sz="12" w:space="0" w:color="auto"/>
            </w:tcBorders>
            <w:shd w:val="clear" w:color="auto" w:fill="FFFFFF"/>
          </w:tcPr>
          <w:p>
            <w:pPr>
              <w:widowControl w:val="0"/>
              <w:ind w:left="33" w:firstLine="1"/>
              <w:jc w:val="left"/>
              <w:rPr>
                <w:rFonts w:eastAsia="Times New Roman"/>
                <w:sz w:val="20"/>
                <w:szCs w:val="20"/>
                <w:lang w:eastAsia="en-US"/>
              </w:rPr>
            </w:pPr>
            <w:r>
              <w:rPr>
                <w:rFonts w:eastAsia="Calibri"/>
                <w:sz w:val="20"/>
                <w:szCs w:val="20"/>
                <w:lang w:eastAsia="en-US"/>
              </w:rPr>
              <w:t>Не менее</w:t>
            </w:r>
            <w:r>
              <w:rPr>
                <w:rFonts w:eastAsia="Calibri"/>
                <w:sz w:val="20"/>
                <w:szCs w:val="20"/>
                <w:lang w:val="en-US" w:eastAsia="en-US"/>
              </w:rPr>
              <w:t xml:space="preserve"> </w:t>
            </w:r>
            <w:r>
              <w:rPr>
                <w:rFonts w:eastAsia="Calibri"/>
                <w:spacing w:val="-1"/>
                <w:sz w:val="20"/>
                <w:szCs w:val="20"/>
                <w:lang w:val="en-US" w:eastAsia="en-US"/>
              </w:rPr>
              <w:t>0,9999</w:t>
            </w:r>
            <w:r>
              <w:rPr>
                <w:rFonts w:eastAsia="Calibri"/>
                <w:spacing w:val="-1"/>
                <w:sz w:val="20"/>
                <w:szCs w:val="20"/>
                <w:lang w:eastAsia="en-US"/>
              </w:rPr>
              <w:t>8</w:t>
            </w:r>
          </w:p>
        </w:tc>
      </w:tr>
    </w:tbl>
    <w:p>
      <w:pPr>
        <w:widowControl w:val="0"/>
        <w:tabs>
          <w:tab w:val="left" w:pos="1407"/>
        </w:tabs>
        <w:ind w:right="104"/>
        <w:rPr>
          <w:rFonts w:eastAsia="PMingLiU"/>
          <w:spacing w:val="18"/>
          <w:szCs w:val="22"/>
          <w:lang w:eastAsia="en-US"/>
        </w:rPr>
      </w:pPr>
    </w:p>
    <w:p>
      <w:pPr>
        <w:widowControl w:val="0"/>
        <w:tabs>
          <w:tab w:val="left" w:pos="1407"/>
        </w:tabs>
        <w:ind w:right="-1"/>
        <w:rPr>
          <w:rFonts w:eastAsia="PMingLiU"/>
          <w:szCs w:val="22"/>
          <w:lang w:eastAsia="en-US"/>
        </w:rPr>
      </w:pPr>
      <w:r>
        <w:rPr>
          <w:rFonts w:eastAsia="PMingLiU"/>
          <w:spacing w:val="-1"/>
          <w:szCs w:val="22"/>
          <w:lang w:eastAsia="en-US"/>
        </w:rPr>
        <w:t>Показатели</w:t>
      </w:r>
      <w:r>
        <w:rPr>
          <w:rFonts w:eastAsia="PMingLiU"/>
          <w:spacing w:val="31"/>
          <w:szCs w:val="22"/>
          <w:lang w:eastAsia="en-US"/>
        </w:rPr>
        <w:t xml:space="preserve"> </w:t>
      </w:r>
      <w:r>
        <w:rPr>
          <w:rFonts w:eastAsia="PMingLiU"/>
          <w:spacing w:val="-1"/>
          <w:szCs w:val="22"/>
          <w:lang w:eastAsia="en-US"/>
        </w:rPr>
        <w:t>надежности</w:t>
      </w:r>
      <w:r>
        <w:rPr>
          <w:rFonts w:eastAsia="PMingLiU"/>
          <w:spacing w:val="31"/>
          <w:szCs w:val="22"/>
          <w:lang w:eastAsia="en-US"/>
        </w:rPr>
        <w:t xml:space="preserve"> </w:t>
      </w:r>
      <w:r>
        <w:rPr>
          <w:rFonts w:eastAsia="PMingLiU"/>
          <w:szCs w:val="22"/>
          <w:lang w:eastAsia="en-US"/>
        </w:rPr>
        <w:t>и</w:t>
      </w:r>
      <w:r>
        <w:rPr>
          <w:rFonts w:eastAsia="PMingLiU"/>
          <w:spacing w:val="31"/>
          <w:szCs w:val="22"/>
          <w:lang w:eastAsia="en-US"/>
        </w:rPr>
        <w:t xml:space="preserve"> </w:t>
      </w:r>
      <w:r>
        <w:rPr>
          <w:rFonts w:eastAsia="PMingLiU"/>
          <w:spacing w:val="-1"/>
          <w:szCs w:val="22"/>
          <w:lang w:eastAsia="en-US"/>
        </w:rPr>
        <w:t>показатели</w:t>
      </w:r>
      <w:r>
        <w:rPr>
          <w:rFonts w:eastAsia="PMingLiU"/>
          <w:spacing w:val="33"/>
          <w:szCs w:val="22"/>
          <w:lang w:eastAsia="en-US"/>
        </w:rPr>
        <w:t xml:space="preserve"> </w:t>
      </w:r>
      <w:r>
        <w:rPr>
          <w:rFonts w:eastAsia="PMingLiU"/>
          <w:spacing w:val="-1"/>
          <w:szCs w:val="22"/>
          <w:lang w:eastAsia="en-US"/>
        </w:rPr>
        <w:t>безопасности</w:t>
      </w:r>
      <w:r>
        <w:rPr>
          <w:rFonts w:eastAsia="PMingLiU"/>
          <w:spacing w:val="38"/>
          <w:szCs w:val="22"/>
          <w:lang w:eastAsia="en-US"/>
        </w:rPr>
        <w:t xml:space="preserve"> </w:t>
      </w:r>
      <w:r>
        <w:rPr>
          <w:rFonts w:eastAsia="PMingLiU"/>
          <w:spacing w:val="-1"/>
          <w:szCs w:val="22"/>
          <w:lang w:eastAsia="en-US"/>
        </w:rPr>
        <w:t>изделий</w:t>
      </w:r>
      <w:r>
        <w:rPr>
          <w:rFonts w:eastAsia="PMingLiU"/>
          <w:spacing w:val="33"/>
          <w:szCs w:val="22"/>
          <w:lang w:eastAsia="en-US"/>
        </w:rPr>
        <w:t xml:space="preserve"> </w:t>
      </w:r>
      <w:r>
        <w:rPr>
          <w:rFonts w:eastAsia="PMingLiU"/>
          <w:szCs w:val="22"/>
          <w:lang w:eastAsia="en-US"/>
        </w:rPr>
        <w:t>необходимо</w:t>
      </w:r>
      <w:r>
        <w:rPr>
          <w:rFonts w:eastAsia="PMingLiU"/>
          <w:spacing w:val="-1"/>
          <w:szCs w:val="22"/>
          <w:lang w:eastAsia="en-US"/>
        </w:rPr>
        <w:t xml:space="preserve"> обеспечить </w:t>
      </w:r>
      <w:r>
        <w:rPr>
          <w:rFonts w:eastAsia="PMingLiU"/>
          <w:szCs w:val="22"/>
          <w:lang w:eastAsia="en-US"/>
        </w:rPr>
        <w:t xml:space="preserve">на </w:t>
      </w:r>
      <w:r>
        <w:rPr>
          <w:rFonts w:eastAsia="PMingLiU"/>
          <w:spacing w:val="-1"/>
          <w:szCs w:val="22"/>
          <w:lang w:eastAsia="en-US"/>
        </w:rPr>
        <w:t>этапе</w:t>
      </w:r>
      <w:r>
        <w:rPr>
          <w:rFonts w:eastAsia="PMingLiU"/>
          <w:spacing w:val="-3"/>
          <w:szCs w:val="22"/>
          <w:lang w:eastAsia="en-US"/>
        </w:rPr>
        <w:t xml:space="preserve"> </w:t>
      </w:r>
      <w:r>
        <w:rPr>
          <w:rFonts w:eastAsia="PMingLiU"/>
          <w:spacing w:val="-1"/>
          <w:szCs w:val="22"/>
          <w:lang w:eastAsia="en-US"/>
        </w:rPr>
        <w:t>проектирования:</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правильным выбором материалов основных деталей, отвечающих требованиям условий эксплуатации (параметрам и характеристикам рабочей и окружающей среды, внешним воздействиям) и уплотнительных элементов, обеспечивающих герметичность затвора относительно внешней среды;</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использованием узлов и деталей, апробированных в условиях эксплуатации или прошедших отработку в составе макетов и опытных образцов;</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расчетом на прочность основных элементов конструкции с обеспечением запасов прочности с учетом сейсмических нагрузок и нагрузок от трубопровода.</w:t>
      </w:r>
    </w:p>
    <w:p>
      <w:pPr>
        <w:rPr>
          <w:rFonts w:eastAsia="PMingLiU"/>
          <w:szCs w:val="22"/>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Показатели надежности и показатели безопасности в процессе изготовления обеспечить стабильным технологическим процессом изготовления и системой контроля, с подтверждениями всеми видами испытаний.</w:t>
      </w:r>
    </w:p>
    <w:p>
      <w:pPr>
        <w:widowControl w:val="0"/>
        <w:tabs>
          <w:tab w:val="left" w:pos="993"/>
        </w:tabs>
        <w:ind w:right="-1"/>
        <w:rPr>
          <w:rFonts w:eastAsia="PMingLiU"/>
          <w:spacing w:val="-1"/>
          <w:szCs w:val="22"/>
          <w:lang w:eastAsia="en-US"/>
        </w:rPr>
      </w:pPr>
    </w:p>
    <w:p>
      <w:pPr>
        <w:tabs>
          <w:tab w:val="left" w:pos="709"/>
          <w:tab w:val="left" w:pos="993"/>
        </w:tabs>
        <w:contextualSpacing/>
        <w:rPr>
          <w:rFonts w:eastAsia="Times New Roman"/>
        </w:rPr>
      </w:pPr>
      <w:r>
        <w:rPr>
          <w:rFonts w:eastAsia="Times New Roman"/>
        </w:rPr>
        <w:t>Гарантийная наработка – не менее 500 циклов в пределах гарантийного срока эксплуатации.</w:t>
      </w:r>
    </w:p>
    <w:p>
      <w:pPr>
        <w:widowControl w:val="0"/>
        <w:tabs>
          <w:tab w:val="left" w:pos="993"/>
        </w:tabs>
        <w:ind w:right="107"/>
        <w:rPr>
          <w:rFonts w:eastAsia="PMingLiU"/>
          <w:spacing w:val="-1"/>
          <w:szCs w:val="22"/>
          <w:lang w:eastAsia="en-US"/>
        </w:rPr>
      </w:pPr>
    </w:p>
    <w:p>
      <w:pPr>
        <w:widowControl w:val="0"/>
        <w:tabs>
          <w:tab w:val="left" w:pos="993"/>
        </w:tabs>
        <w:ind w:right="107"/>
        <w:rPr>
          <w:rFonts w:eastAsia="PMingLiU"/>
          <w:spacing w:val="-1"/>
          <w:szCs w:val="22"/>
          <w:lang w:eastAsia="en-US"/>
        </w:rPr>
      </w:pPr>
      <w:r>
        <w:rPr>
          <w:rFonts w:eastAsia="PMingLiU"/>
          <w:spacing w:val="-1"/>
          <w:szCs w:val="22"/>
          <w:lang w:eastAsia="en-US"/>
        </w:rPr>
        <w:t>Назначенный ресурс в циклах подтверждать при приемочных испытаниях.</w:t>
      </w:r>
    </w:p>
    <w:p>
      <w:pPr>
        <w:widowControl w:val="0"/>
        <w:rPr>
          <w:rFonts w:eastAsia="Times New Roman"/>
        </w:rPr>
      </w:pPr>
    </w:p>
    <w:p>
      <w:pPr>
        <w:tabs>
          <w:tab w:val="left" w:pos="0"/>
          <w:tab w:val="left" w:pos="993"/>
        </w:tabs>
        <w:contextualSpacing/>
        <w:rPr>
          <w:rFonts w:eastAsia="Times New Roman"/>
        </w:rPr>
      </w:pPr>
      <w:r>
        <w:rPr>
          <w:rFonts w:eastAsia="Times New Roman"/>
        </w:rPr>
        <w:t>Завод-изготовитель гарантирует поставку кранов шаровых новых и не бывших в употреблении.</w:t>
      </w:r>
    </w:p>
    <w:p>
      <w:pPr>
        <w:tabs>
          <w:tab w:val="left" w:pos="0"/>
          <w:tab w:val="left" w:pos="993"/>
        </w:tabs>
        <w:contextualSpacing/>
        <w:rPr>
          <w:rFonts w:eastAsia="Times New Roman"/>
        </w:rPr>
      </w:pPr>
    </w:p>
    <w:p>
      <w:pPr>
        <w:tabs>
          <w:tab w:val="left" w:pos="0"/>
          <w:tab w:val="left" w:pos="993"/>
        </w:tabs>
        <w:contextualSpacing/>
        <w:rPr>
          <w:rFonts w:eastAsia="Times New Roman"/>
        </w:rPr>
      </w:pPr>
      <w:r>
        <w:rPr>
          <w:rFonts w:eastAsia="Times New Roman"/>
        </w:rPr>
        <w:t>Завод-изготовитель должен гарантировать соответствие кранов шаровых требованиям настоящих Методических указаний, при соблюдении условий транспортирования, хранения, монтажа и эксплуатации.</w:t>
      </w:r>
    </w:p>
    <w:p>
      <w:pPr>
        <w:tabs>
          <w:tab w:val="left" w:pos="709"/>
          <w:tab w:val="left" w:pos="993"/>
        </w:tabs>
        <w:contextualSpacing/>
        <w:rPr>
          <w:rFonts w:eastAsia="Times New Roman"/>
        </w:rPr>
      </w:pPr>
    </w:p>
    <w:p>
      <w:pPr>
        <w:tabs>
          <w:tab w:val="left" w:pos="709"/>
          <w:tab w:val="left" w:pos="993"/>
        </w:tabs>
        <w:contextualSpacing/>
        <w:rPr>
          <w:rFonts w:eastAsia="Times New Roman"/>
        </w:rPr>
      </w:pPr>
      <w:r>
        <w:rPr>
          <w:rFonts w:eastAsia="Times New Roman"/>
        </w:rPr>
        <w:t xml:space="preserve">Гарантийный срок эксплуатации – 24 месяца со дня ввода крана шарового в эксплуатацию и 36 месяцев </w:t>
      </w:r>
      <w:r>
        <w:rPr>
          <w:rFonts w:eastAsia="TimesNewRomanPSMT"/>
        </w:rPr>
        <w:t>с даты поставки</w:t>
      </w:r>
      <w:r>
        <w:rPr>
          <w:rFonts w:eastAsia="Times New Roman"/>
        </w:rPr>
        <w:t>.</w:t>
      </w:r>
    </w:p>
    <w:p>
      <w:pPr>
        <w:tabs>
          <w:tab w:val="left" w:pos="709"/>
          <w:tab w:val="left" w:pos="993"/>
        </w:tabs>
        <w:contextualSpacing/>
        <w:rPr>
          <w:rFonts w:eastAsia="Times New Roman"/>
        </w:rPr>
      </w:pPr>
    </w:p>
    <w:p>
      <w:pPr>
        <w:tabs>
          <w:tab w:val="left" w:pos="993"/>
        </w:tabs>
        <w:contextualSpacing/>
        <w:rPr>
          <w:rFonts w:eastAsia="Times New Roman"/>
        </w:rPr>
      </w:pPr>
      <w:r>
        <w:rPr>
          <w:rFonts w:eastAsia="Times New Roman"/>
        </w:rPr>
        <w:t>Завод-изготовитель должен гарантировать возможность проведения гидравлических испытаний крана шарового совместно с примыкающими трубопроводами на прочность и плотность давлением не выше Р</w:t>
      </w:r>
      <w:r>
        <w:rPr>
          <w:rFonts w:eastAsia="Times New Roman"/>
          <w:vertAlign w:val="subscript"/>
        </w:rPr>
        <w:t>пр</w:t>
      </w:r>
      <w:r>
        <w:rPr>
          <w:rFonts w:eastAsia="Times New Roman"/>
        </w:rPr>
        <w:t xml:space="preserve">, указанного в </w:t>
      </w:r>
      <w:hyperlink r:id="rId43" w:tooltip="Арматура и детали трубопроводов. Давления условные пробные и рабочие. Ряды" w:history="1">
        <w:r>
          <w:rPr>
            <w:rFonts w:eastAsia="Times New Roman"/>
          </w:rPr>
          <w:t>ГОСТ</w:t>
        </w:r>
        <w:r>
          <w:rPr>
            <w:rFonts w:eastAsia="Times New Roman"/>
            <w:lang w:val="en-US"/>
          </w:rPr>
          <w:t> </w:t>
        </w:r>
        <w:r>
          <w:rPr>
            <w:rFonts w:eastAsia="Times New Roman"/>
          </w:rPr>
          <w:t>356</w:t>
        </w:r>
      </w:hyperlink>
      <w:r>
        <w:rPr>
          <w:rFonts w:eastAsia="Times New Roman"/>
        </w:rPr>
        <w:t>, с выдержкой в течение 24 часов и на герметичность давлением не выше PN, с выдержкой в течение 12 часов.</w:t>
      </w:r>
    </w:p>
    <w:p>
      <w:pPr>
        <w:tabs>
          <w:tab w:val="left" w:pos="993"/>
        </w:tabs>
        <w:contextualSpacing/>
        <w:rPr>
          <w:rFonts w:eastAsia="Times New Roman"/>
        </w:rPr>
      </w:pPr>
    </w:p>
    <w:p>
      <w:pPr>
        <w:tabs>
          <w:tab w:val="left" w:pos="993"/>
        </w:tabs>
        <w:contextualSpacing/>
        <w:rPr>
          <w:rFonts w:eastAsia="Times New Roman"/>
        </w:rPr>
      </w:pPr>
      <w:r>
        <w:rPr>
          <w:rFonts w:eastAsia="Times New Roman"/>
        </w:rPr>
        <w:t>Завод-изготовитель должен гарантировать возможность проведения пневматических испытаний кранов шаровых совместно с примыкающими трубопроводами на прочность давлением выше PN на 10 % с выдержкой в течение 24 часов и на герметичность давлением не выше PN с выдержкой в течение 12 часов при температуре окружающей среды до минус 40 °С.</w:t>
      </w:r>
    </w:p>
    <w:p>
      <w:pPr>
        <w:tabs>
          <w:tab w:val="left" w:pos="993"/>
        </w:tabs>
        <w:contextualSpacing/>
        <w:rPr>
          <w:rFonts w:eastAsia="Times New Roman"/>
        </w:rPr>
      </w:pPr>
    </w:p>
    <w:p>
      <w:pPr>
        <w:tabs>
          <w:tab w:val="left" w:pos="993"/>
        </w:tabs>
        <w:contextualSpacing/>
        <w:rPr>
          <w:rFonts w:eastAsia="Times New Roman"/>
        </w:rPr>
      </w:pPr>
      <w:r>
        <w:rPr>
          <w:rFonts w:eastAsia="Times New Roman"/>
        </w:rPr>
        <w:lastRenderedPageBreak/>
        <w:t xml:space="preserve">Гарантийный срок эксплуатации электропривода – 60 месяцев со дня ввода в эксплуатацию и 72 месяца </w:t>
      </w:r>
      <w:r>
        <w:rPr>
          <w:rFonts w:eastAsia="TimesNewRomanPSMT"/>
        </w:rPr>
        <w:t>с даты поставки.</w:t>
      </w:r>
    </w:p>
    <w:p>
      <w:pPr>
        <w:tabs>
          <w:tab w:val="left" w:pos="993"/>
        </w:tabs>
        <w:contextualSpacing/>
        <w:rPr>
          <w:rFonts w:eastAsia="Times New Roman"/>
        </w:rPr>
      </w:pPr>
    </w:p>
    <w:p>
      <w:pPr>
        <w:tabs>
          <w:tab w:val="left" w:pos="993"/>
        </w:tabs>
        <w:contextualSpacing/>
        <w:rPr>
          <w:rFonts w:eastAsia="Times New Roman"/>
        </w:rPr>
      </w:pPr>
      <w:r>
        <w:rPr>
          <w:rFonts w:eastAsia="Times New Roman"/>
        </w:rPr>
        <w:t>При обнаружении в гарантийный срок эксплуатации дефектов, вызванных некачественным изготовлением и подтвержденных актом установленной формы, составленным Заказчиком, завод-изготовитель должен устранить обнаруженные дефекты или заменить оборудование / изделие / элемент конструкции или полностью изделие.</w:t>
      </w:r>
    </w:p>
    <w:p>
      <w:pPr>
        <w:widowControl w:val="0"/>
        <w:tabs>
          <w:tab w:val="left" w:pos="567"/>
        </w:tabs>
        <w:ind w:right="103"/>
        <w:rPr>
          <w:rFonts w:eastAsia="PMingLiU"/>
          <w:szCs w:val="22"/>
          <w:lang w:eastAsia="en-US"/>
        </w:rPr>
      </w:pPr>
    </w:p>
    <w:p>
      <w:pPr>
        <w:widowControl w:val="0"/>
        <w:tabs>
          <w:tab w:val="left" w:pos="567"/>
        </w:tabs>
        <w:ind w:right="103"/>
        <w:rPr>
          <w:rFonts w:eastAsia="PMingLiU"/>
          <w:szCs w:val="22"/>
          <w:lang w:eastAsia="en-US"/>
        </w:rPr>
      </w:pPr>
    </w:p>
    <w:p>
      <w:pPr>
        <w:pStyle w:val="S20"/>
        <w:numPr>
          <w:ilvl w:val="1"/>
          <w:numId w:val="26"/>
        </w:numPr>
        <w:ind w:left="0" w:firstLine="0"/>
        <w:rPr>
          <w:rFonts w:eastAsia="Calibri" w:cs="Arial"/>
          <w:bCs/>
          <w:iCs/>
          <w:caps w:val="0"/>
          <w:szCs w:val="28"/>
        </w:rPr>
      </w:pPr>
      <w:bookmarkStart w:id="190" w:name="_Toc392607771"/>
      <w:bookmarkStart w:id="191" w:name="_Toc392695948"/>
      <w:bookmarkStart w:id="192" w:name="_Toc392696004"/>
      <w:bookmarkStart w:id="193" w:name="_Toc392752851"/>
      <w:bookmarkStart w:id="194" w:name="_Toc404615328"/>
      <w:bookmarkStart w:id="195" w:name="_Toc481662400"/>
      <w:bookmarkStart w:id="196" w:name="_Toc514169530"/>
      <w:r>
        <w:rPr>
          <w:rFonts w:eastAsia="Calibri" w:cs="Arial"/>
          <w:bCs/>
          <w:iCs/>
          <w:caps w:val="0"/>
          <w:szCs w:val="28"/>
        </w:rPr>
        <w:t>ТРЕБОВАНИЯ К ПОКРЫТИЯМ, МАРКИРОВКЕ И ВИЗУАЛЬНОЙ ИДЕНТИФИКАЦИ</w:t>
      </w:r>
      <w:bookmarkEnd w:id="190"/>
      <w:bookmarkEnd w:id="191"/>
      <w:bookmarkEnd w:id="192"/>
      <w:bookmarkEnd w:id="193"/>
      <w:bookmarkEnd w:id="194"/>
      <w:r>
        <w:rPr>
          <w:rFonts w:eastAsia="Calibri" w:cs="Arial"/>
          <w:bCs/>
          <w:iCs/>
          <w:caps w:val="0"/>
          <w:szCs w:val="28"/>
        </w:rPr>
        <w:t>И</w:t>
      </w:r>
      <w:bookmarkEnd w:id="195"/>
      <w:bookmarkEnd w:id="196"/>
    </w:p>
    <w:p>
      <w:pPr>
        <w:rPr>
          <w:rFonts w:eastAsia="PMingLiU"/>
          <w:lang w:eastAsia="en-US"/>
        </w:rPr>
      </w:pPr>
    </w:p>
    <w:p>
      <w:pPr>
        <w:widowControl w:val="0"/>
        <w:tabs>
          <w:tab w:val="left" w:pos="993"/>
        </w:tabs>
        <w:rPr>
          <w:rFonts w:eastAsia="PMingLiU"/>
          <w:spacing w:val="1"/>
          <w:lang w:eastAsia="en-US"/>
        </w:rPr>
      </w:pPr>
      <w:r>
        <w:rPr>
          <w:rFonts w:eastAsia="PMingLiU"/>
          <w:spacing w:val="1"/>
          <w:lang w:eastAsia="en-US"/>
        </w:rPr>
        <w:t>Краны шаровые должны иметь наружное АКП, выполненное в заводских условиях.</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 xml:space="preserve">Нанесение АКП на наружные поверхности основных корпусных узлов и деталей крана шарового производится в соответствии с требованиями Технологической инструкции Компании «Антикоррозионная защита металлических конструкций на объектах нефтегазодобычи, нефтегазопереработки и нефтепродуктообеспечения Компании» </w:t>
      </w:r>
      <w:r>
        <w:rPr>
          <w:rFonts w:eastAsia="PMingLiU"/>
          <w:spacing w:val="1"/>
          <w:lang w:eastAsia="en-US"/>
        </w:rPr>
        <w:br/>
        <w:t>№ П2-05 ТИ-0002.</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 xml:space="preserve">После нанесения системы АКП на кран шаровой проводится ее контроль по ПМ лакокрасочных покрытий на соответствие техническим требованиям Технологической инструкции Компании «Антикоррозионная защита металлических конструкций на объектах нефтегазодобычи, нефтегазопереработки и нефтепродуктообеспечения Компании» </w:t>
      </w:r>
      <w:r>
        <w:rPr>
          <w:rFonts w:eastAsia="PMingLiU"/>
          <w:spacing w:val="1"/>
          <w:lang w:eastAsia="en-US"/>
        </w:rPr>
        <w:br/>
        <w:t>№ П2-05 ТИ-0002.</w:t>
      </w:r>
    </w:p>
    <w:p>
      <w:pPr>
        <w:widowControl w:val="0"/>
        <w:tabs>
          <w:tab w:val="left" w:pos="993"/>
        </w:tabs>
        <w:rPr>
          <w:rFonts w:eastAsia="PMingLiU"/>
          <w:spacing w:val="1"/>
          <w:lang w:eastAsia="en-US"/>
        </w:rPr>
      </w:pPr>
    </w:p>
    <w:p>
      <w:pPr>
        <w:widowControl w:val="0"/>
        <w:tabs>
          <w:tab w:val="left" w:pos="993"/>
        </w:tabs>
        <w:rPr>
          <w:rFonts w:eastAsia="PMingLiU"/>
          <w:lang w:eastAsia="en-US"/>
        </w:rPr>
      </w:pPr>
      <w:r>
        <w:rPr>
          <w:rFonts w:eastAsia="PMingLiU"/>
          <w:spacing w:val="1"/>
          <w:lang w:eastAsia="en-US"/>
        </w:rPr>
        <w:t xml:space="preserve">Допустимые системы наружного АКП крана шарового для категории коррозионной активности – </w:t>
      </w:r>
      <w:r>
        <w:rPr>
          <w:rFonts w:eastAsia="PMingLiU"/>
          <w:lang w:eastAsia="en-US"/>
        </w:rPr>
        <w:t>С4 (высокая) сроком службы покрытия не менее 20 лет.</w:t>
      </w:r>
    </w:p>
    <w:p>
      <w:pPr>
        <w:rPr>
          <w:rFonts w:eastAsia="PMingLiU"/>
          <w:szCs w:val="22"/>
          <w:lang w:eastAsia="en-US"/>
        </w:rPr>
      </w:pPr>
    </w:p>
    <w:p>
      <w:pPr>
        <w:widowControl w:val="0"/>
        <w:tabs>
          <w:tab w:val="left" w:pos="993"/>
        </w:tabs>
        <w:rPr>
          <w:rFonts w:eastAsia="PMingLiU"/>
          <w:spacing w:val="1"/>
          <w:lang w:eastAsia="en-US"/>
        </w:rPr>
      </w:pPr>
      <w:r>
        <w:rPr>
          <w:rFonts w:eastAsia="PMingLiU"/>
          <w:spacing w:val="1"/>
          <w:lang w:eastAsia="en-US"/>
        </w:rPr>
        <w:t>Наружное АКП на кран шаровой, основные детали которой, изготовлены из аустенитных (нержавеющих) сплавов, не наносить.</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Концевые участки патрубков корпуса крана шарового под приварку к трубопроводу должны быть свободными от защитного покрытия.</w:t>
      </w:r>
    </w:p>
    <w:p>
      <w:pPr>
        <w:rPr>
          <w:rFonts w:eastAsia="PMingLiU"/>
          <w:szCs w:val="22"/>
          <w:lang w:eastAsia="en-US"/>
        </w:rPr>
      </w:pPr>
    </w:p>
    <w:p>
      <w:pPr>
        <w:rPr>
          <w:rFonts w:eastAsia="PMingLiU"/>
          <w:szCs w:val="22"/>
          <w:lang w:eastAsia="en-US"/>
        </w:rPr>
      </w:pPr>
      <w:r>
        <w:rPr>
          <w:rFonts w:eastAsia="PMingLiU"/>
          <w:szCs w:val="22"/>
          <w:lang w:eastAsia="en-US"/>
        </w:rPr>
        <w:t>Длина концевых участков патрубков корпуса крана шарового без покрытия должна составлять 100</w:t>
      </w:r>
      <w:r>
        <w:rPr>
          <w:rFonts w:eastAsia="Times New Roman"/>
        </w:rPr>
        <w:t> </w:t>
      </w:r>
      <w:r>
        <w:rPr>
          <w:rFonts w:eastAsia="PMingLiU"/>
          <w:szCs w:val="22"/>
          <w:lang w:eastAsia="en-US"/>
        </w:rPr>
        <w:t>±</w:t>
      </w:r>
      <w:r>
        <w:rPr>
          <w:rFonts w:eastAsia="Times New Roman"/>
        </w:rPr>
        <w:t> </w:t>
      </w:r>
      <w:r>
        <w:rPr>
          <w:rFonts w:eastAsia="PMingLiU"/>
          <w:szCs w:val="22"/>
          <w:lang w:eastAsia="en-US"/>
        </w:rPr>
        <w:t>50 мм.</w:t>
      </w:r>
    </w:p>
    <w:p>
      <w:pPr>
        <w:tabs>
          <w:tab w:val="left" w:pos="1701"/>
        </w:tabs>
        <w:autoSpaceDE w:val="0"/>
        <w:autoSpaceDN w:val="0"/>
        <w:adjustRightInd w:val="0"/>
        <w:contextualSpacing/>
        <w:rPr>
          <w:rFonts w:eastAsia="Times New Roman"/>
        </w:rPr>
      </w:pPr>
    </w:p>
    <w:p>
      <w:pPr>
        <w:tabs>
          <w:tab w:val="left" w:pos="1701"/>
        </w:tabs>
        <w:autoSpaceDE w:val="0"/>
        <w:autoSpaceDN w:val="0"/>
        <w:adjustRightInd w:val="0"/>
        <w:contextualSpacing/>
        <w:rPr>
          <w:rFonts w:eastAsia="Times New Roman"/>
        </w:rPr>
      </w:pPr>
      <w:r>
        <w:rPr>
          <w:rFonts w:eastAsia="Times New Roman"/>
        </w:rPr>
        <w:t>Концевые участки покрытия должны иметь плавный переход к металлической поверхности.</w:t>
      </w:r>
    </w:p>
    <w:p>
      <w:pPr>
        <w:tabs>
          <w:tab w:val="left" w:pos="1701"/>
        </w:tabs>
        <w:autoSpaceDE w:val="0"/>
        <w:autoSpaceDN w:val="0"/>
        <w:adjustRightInd w:val="0"/>
        <w:contextualSpacing/>
        <w:rPr>
          <w:rFonts w:eastAsia="Times New Roman"/>
        </w:rPr>
      </w:pPr>
    </w:p>
    <w:p>
      <w:pPr>
        <w:rPr>
          <w:rFonts w:eastAsia="PMingLiU"/>
          <w:szCs w:val="22"/>
          <w:lang w:eastAsia="en-US"/>
        </w:rPr>
      </w:pPr>
      <w:r>
        <w:rPr>
          <w:rFonts w:eastAsia="PMingLiU"/>
          <w:szCs w:val="22"/>
          <w:lang w:eastAsia="en-US"/>
        </w:rPr>
        <w:t>Угол скоса покрытия к металлической поверхности патрубка крана шарового не более 30</w:t>
      </w:r>
      <w:r>
        <w:rPr>
          <w:rFonts w:eastAsia="Times New Roman"/>
        </w:rPr>
        <w:t> </w:t>
      </w:r>
      <w:r>
        <w:rPr>
          <w:rFonts w:eastAsia="Times New Roman"/>
          <w:vertAlign w:val="superscript"/>
        </w:rPr>
        <w:t>о</w:t>
      </w:r>
      <w:r>
        <w:rPr>
          <w:rFonts w:eastAsia="PMingLiU"/>
          <w:szCs w:val="22"/>
          <w:lang w:eastAsia="en-US"/>
        </w:rPr>
        <w:t>.</w:t>
      </w:r>
    </w:p>
    <w:p>
      <w:pPr>
        <w:tabs>
          <w:tab w:val="left" w:pos="1701"/>
        </w:tabs>
        <w:autoSpaceDE w:val="0"/>
        <w:autoSpaceDN w:val="0"/>
        <w:adjustRightInd w:val="0"/>
        <w:contextualSpacing/>
        <w:rPr>
          <w:rFonts w:eastAsia="Times New Roman"/>
        </w:rPr>
      </w:pPr>
    </w:p>
    <w:p>
      <w:pPr>
        <w:tabs>
          <w:tab w:val="left" w:pos="1701"/>
        </w:tabs>
        <w:autoSpaceDE w:val="0"/>
        <w:autoSpaceDN w:val="0"/>
        <w:adjustRightInd w:val="0"/>
        <w:contextualSpacing/>
        <w:rPr>
          <w:rFonts w:eastAsia="Times New Roman"/>
        </w:rPr>
      </w:pPr>
      <w:r>
        <w:rPr>
          <w:rFonts w:eastAsia="Times New Roman"/>
        </w:rPr>
        <w:t>Покрытие крана шарового должно выдерживать обработку паром (пропарку) от отложений без повреждения покрытия в течение 20 мин. при температуре пара не более 160 </w:t>
      </w:r>
      <w:r>
        <w:rPr>
          <w:rFonts w:eastAsia="Times New Roman"/>
          <w:vertAlign w:val="superscript"/>
        </w:rPr>
        <w:t>о</w:t>
      </w:r>
      <w:r>
        <w:rPr>
          <w:rFonts w:eastAsia="Times New Roman"/>
        </w:rPr>
        <w:t>С и давлении пара не более 0,4 МПа.</w:t>
      </w:r>
    </w:p>
    <w:p>
      <w:pPr>
        <w:rPr>
          <w:rFonts w:eastAsia="PMingLiU"/>
          <w:szCs w:val="22"/>
          <w:lang w:eastAsia="en-US"/>
        </w:rPr>
      </w:pPr>
    </w:p>
    <w:p>
      <w:pPr>
        <w:widowControl w:val="0"/>
        <w:tabs>
          <w:tab w:val="left" w:pos="993"/>
        </w:tabs>
        <w:rPr>
          <w:rFonts w:eastAsia="PMingLiU"/>
          <w:spacing w:val="1"/>
          <w:lang w:eastAsia="en-US"/>
        </w:rPr>
      </w:pPr>
      <w:r>
        <w:rPr>
          <w:rFonts w:eastAsia="PMingLiU"/>
          <w:spacing w:val="1"/>
          <w:lang w:eastAsia="en-US"/>
        </w:rPr>
        <w:t>Маркировка крана шарового должна быть выполнена согласно требованиям настоящих Методических указаний и ГОСТ</w:t>
      </w:r>
      <w:r>
        <w:rPr>
          <w:rFonts w:eastAsia="PMingLiU"/>
          <w:spacing w:val="1"/>
          <w:lang w:val="en-US" w:eastAsia="en-US"/>
        </w:rPr>
        <w:t> </w:t>
      </w:r>
      <w:r>
        <w:t>4666</w:t>
      </w:r>
      <w:r>
        <w:rPr>
          <w:rFonts w:eastAsia="PMingLiU"/>
          <w:spacing w:val="1"/>
          <w:lang w:eastAsia="en-US"/>
        </w:rPr>
        <w:t>.</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 xml:space="preserve">Маркировка должна быть расположена на лицевой стороне корпуса крана шарового на видном месте (допускается наносить маркировку на верхнем фланце крышки) и на </w:t>
      </w:r>
      <w:r>
        <w:rPr>
          <w:rFonts w:eastAsia="PMingLiU"/>
          <w:spacing w:val="1"/>
          <w:lang w:eastAsia="en-US"/>
        </w:rPr>
        <w:lastRenderedPageBreak/>
        <w:t>металлической табличке из коррозионностойкой стали или цветных металлов и их сплавов.</w:t>
      </w:r>
    </w:p>
    <w:p>
      <w:pPr>
        <w:rPr>
          <w:rFonts w:eastAsia="PMingLiU"/>
          <w:szCs w:val="22"/>
          <w:lang w:eastAsia="en-US"/>
        </w:rPr>
      </w:pPr>
    </w:p>
    <w:p>
      <w:pPr>
        <w:rPr>
          <w:rFonts w:eastAsia="PMingLiU"/>
          <w:lang w:eastAsia="en-US"/>
        </w:rPr>
      </w:pPr>
      <w:r>
        <w:rPr>
          <w:rFonts w:eastAsia="PMingLiU"/>
          <w:szCs w:val="22"/>
          <w:lang w:eastAsia="en-US"/>
        </w:rPr>
        <w:t>С</w:t>
      </w:r>
      <w:r>
        <w:rPr>
          <w:rFonts w:eastAsia="PMingLiU"/>
          <w:spacing w:val="1"/>
          <w:lang w:eastAsia="en-US"/>
        </w:rPr>
        <w:t xml:space="preserve">пособ нанесения маркировки на корпусе крана шарового </w:t>
      </w:r>
      <w:r>
        <w:rPr>
          <w:rFonts w:eastAsia="PMingLiU"/>
          <w:lang w:eastAsia="en-US"/>
        </w:rPr>
        <w:t>для литых, литосварных и литоштампосварных корпусов – литьем или ударным способом.</w:t>
      </w:r>
    </w:p>
    <w:p>
      <w:pPr>
        <w:rPr>
          <w:rFonts w:eastAsia="PMingLiU"/>
          <w:szCs w:val="22"/>
          <w:lang w:eastAsia="en-US"/>
        </w:rPr>
      </w:pPr>
    </w:p>
    <w:p>
      <w:pPr>
        <w:widowControl w:val="0"/>
        <w:tabs>
          <w:tab w:val="left" w:pos="993"/>
        </w:tabs>
        <w:rPr>
          <w:rFonts w:eastAsia="PMingLiU"/>
          <w:spacing w:val="1"/>
          <w:lang w:eastAsia="en-US"/>
        </w:rPr>
      </w:pPr>
      <w:r>
        <w:rPr>
          <w:rFonts w:eastAsia="PMingLiU"/>
          <w:spacing w:val="1"/>
          <w:lang w:eastAsia="en-US"/>
        </w:rPr>
        <w:t>Табличка должна быть выполнена в соответствии с требованиями ГОСТ</w:t>
      </w:r>
      <w:r>
        <w:rPr>
          <w:rFonts w:eastAsia="PMingLiU"/>
          <w:spacing w:val="1"/>
          <w:lang w:val="en-US" w:eastAsia="en-US"/>
        </w:rPr>
        <w:t> </w:t>
      </w:r>
      <w:r>
        <w:rPr>
          <w:rFonts w:eastAsia="PMingLiU"/>
          <w:spacing w:val="1"/>
          <w:lang w:eastAsia="en-US"/>
        </w:rPr>
        <w:t>12971. Табличка должна быть размещена на видном месте. Для кранов шаровых не подлежащих теплоизоляции, табличка должна крепиться на стойке. Для кранов шаровых, подлежащих теплоизоляции, табличка должна крепиться к стойке на приварной скобе, планке или кронштейне, размеры (габариты) которых должны обеспечивать доступ к табличке после нанесения теплоизоляции.</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Содержание маркировки для кранов шаровых на корпусе и на табличке приведены в Таблице 27.</w:t>
      </w:r>
    </w:p>
    <w:p>
      <w:pPr>
        <w:widowControl w:val="0"/>
        <w:tabs>
          <w:tab w:val="left" w:pos="993"/>
        </w:tabs>
        <w:rPr>
          <w:rFonts w:eastAsia="PMingLiU"/>
          <w:spacing w:val="1"/>
          <w:lang w:eastAsia="en-US"/>
        </w:rPr>
      </w:pPr>
    </w:p>
    <w:p>
      <w:pPr>
        <w:pStyle w:val="af3"/>
        <w:keepNext/>
        <w:jc w:val="right"/>
        <w:rPr>
          <w:rFonts w:ascii="Arial" w:hAnsi="Arial" w:cs="Arial"/>
        </w:rPr>
      </w:pPr>
      <w:r>
        <w:rPr>
          <w:rFonts w:ascii="Arial" w:hAnsi="Arial" w:cs="Arial"/>
        </w:rPr>
        <w:t xml:space="preserve">Таблица </w:t>
      </w:r>
      <w:r>
        <w:rPr>
          <w:rFonts w:ascii="Arial" w:hAnsi="Arial" w:cs="Arial"/>
        </w:rPr>
        <w:fldChar w:fldCharType="begin"/>
      </w:r>
      <w:r>
        <w:rPr>
          <w:rFonts w:ascii="Arial" w:hAnsi="Arial" w:cs="Arial"/>
        </w:rPr>
        <w:instrText xml:space="preserve"> SEQ Таблица \* ARABIC </w:instrText>
      </w:r>
      <w:r>
        <w:rPr>
          <w:rFonts w:ascii="Arial" w:hAnsi="Arial" w:cs="Arial"/>
        </w:rPr>
        <w:fldChar w:fldCharType="separate"/>
      </w:r>
      <w:r>
        <w:rPr>
          <w:rFonts w:ascii="Arial" w:hAnsi="Arial" w:cs="Arial"/>
          <w:noProof/>
        </w:rPr>
        <w:t>27</w:t>
      </w:r>
      <w:r>
        <w:rPr>
          <w:rFonts w:ascii="Arial" w:hAnsi="Arial" w:cs="Arial"/>
        </w:rPr>
        <w:fldChar w:fldCharType="end"/>
      </w:r>
    </w:p>
    <w:p>
      <w:pPr>
        <w:widowControl w:val="0"/>
        <w:tabs>
          <w:tab w:val="left" w:pos="993"/>
        </w:tabs>
        <w:spacing w:after="60"/>
        <w:jc w:val="right"/>
        <w:rPr>
          <w:rFonts w:ascii="Arial" w:eastAsia="PMingLiU" w:hAnsi="Arial" w:cs="Arial"/>
          <w:b/>
          <w:spacing w:val="1"/>
          <w:sz w:val="20"/>
          <w:szCs w:val="20"/>
          <w:lang w:eastAsia="en-US"/>
        </w:rPr>
      </w:pPr>
      <w:r>
        <w:rPr>
          <w:rFonts w:ascii="Arial" w:eastAsia="PMingLiU" w:hAnsi="Arial" w:cs="Arial"/>
          <w:b/>
          <w:spacing w:val="1"/>
          <w:sz w:val="20"/>
          <w:szCs w:val="20"/>
          <w:lang w:eastAsia="en-US"/>
        </w:rPr>
        <w:t>Содержание маркировки для кранов шаровых на корпусе и на табличке</w:t>
      </w:r>
    </w:p>
    <w:tbl>
      <w:tblPr>
        <w:tblStyle w:val="Sf8"/>
        <w:tblW w:w="5000" w:type="pct"/>
        <w:tblLook w:val="04A0" w:firstRow="1" w:lastRow="0" w:firstColumn="1" w:lastColumn="0" w:noHBand="0" w:noVBand="1"/>
      </w:tblPr>
      <w:tblGrid>
        <w:gridCol w:w="569"/>
        <w:gridCol w:w="6202"/>
        <w:gridCol w:w="1701"/>
        <w:gridCol w:w="1382"/>
      </w:tblGrid>
      <w:tr>
        <w:trPr>
          <w:cnfStyle w:val="100000000000" w:firstRow="1" w:lastRow="0" w:firstColumn="0" w:lastColumn="0" w:oddVBand="0" w:evenVBand="0" w:oddHBand="0" w:evenHBand="0" w:firstRowFirstColumn="0" w:firstRowLastColumn="0" w:lastRowFirstColumn="0" w:lastRowLastColumn="0"/>
          <w:trHeight w:val="305"/>
          <w:tblHeader/>
        </w:trPr>
        <w:tc>
          <w:tcPr>
            <w:tcW w:w="289" w:type="pct"/>
            <w:vMerge w:val="restart"/>
            <w:tcBorders>
              <w:top w:val="single" w:sz="12" w:space="0" w:color="auto"/>
              <w:left w:val="single" w:sz="12" w:space="0" w:color="auto"/>
              <w:bottom w:val="single" w:sz="6" w:space="0" w:color="auto"/>
              <w:right w:val="single" w:sz="6"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 П/П</w:t>
            </w:r>
          </w:p>
        </w:tc>
        <w:tc>
          <w:tcPr>
            <w:tcW w:w="3147" w:type="pct"/>
            <w:vMerge w:val="restart"/>
            <w:tcBorders>
              <w:top w:val="single" w:sz="12" w:space="0" w:color="auto"/>
              <w:left w:val="single" w:sz="6" w:space="0" w:color="auto"/>
              <w:bottom w:val="single" w:sz="6" w:space="0" w:color="auto"/>
              <w:right w:val="single" w:sz="6"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НАИМЕНОВАНИЕ ПОКАЗАТЕЛЯ</w:t>
            </w:r>
          </w:p>
        </w:tc>
        <w:tc>
          <w:tcPr>
            <w:tcW w:w="1564" w:type="pct"/>
            <w:gridSpan w:val="2"/>
            <w:tcBorders>
              <w:top w:val="single" w:sz="12" w:space="0" w:color="auto"/>
              <w:left w:val="single" w:sz="6" w:space="0" w:color="auto"/>
              <w:bottom w:val="single" w:sz="6" w:space="0" w:color="auto"/>
              <w:right w:val="single" w:sz="12" w:space="0" w:color="auto"/>
            </w:tcBorders>
            <w:vAlign w:val="center"/>
          </w:tcPr>
          <w:p>
            <w:pPr>
              <w:widowControl w:val="0"/>
              <w:spacing w:line="276" w:lineRule="auto"/>
              <w:jc w:val="center"/>
              <w:rPr>
                <w:rFonts w:ascii="Arial" w:eastAsia="PMingLiU" w:hAnsi="Arial" w:cs="Arial"/>
                <w:spacing w:val="1"/>
                <w:szCs w:val="16"/>
                <w:lang w:eastAsia="en-US"/>
              </w:rPr>
            </w:pPr>
            <w:r>
              <w:rPr>
                <w:rFonts w:ascii="Arial" w:eastAsia="Calibri" w:hAnsi="Arial" w:cs="Arial"/>
                <w:bCs/>
                <w:sz w:val="16"/>
                <w:szCs w:val="16"/>
                <w:lang w:eastAsia="en-US"/>
              </w:rPr>
              <w:t>МЕСТО НАНЕСЕНИЯ МАРКИРОВКИ</w:t>
            </w:r>
          </w:p>
        </w:tc>
      </w:tr>
      <w:tr>
        <w:trPr>
          <w:cnfStyle w:val="100000000000" w:firstRow="1" w:lastRow="0" w:firstColumn="0" w:lastColumn="0" w:oddVBand="0" w:evenVBand="0" w:oddHBand="0" w:evenHBand="0" w:firstRowFirstColumn="0" w:firstRowLastColumn="0" w:lastRowFirstColumn="0" w:lastRowLastColumn="0"/>
          <w:trHeight w:val="267"/>
          <w:tblHeader/>
        </w:trPr>
        <w:tc>
          <w:tcPr>
            <w:tcW w:w="289" w:type="pct"/>
            <w:vMerge/>
            <w:tcBorders>
              <w:top w:val="single" w:sz="6" w:space="0" w:color="auto"/>
              <w:left w:val="single" w:sz="12" w:space="0" w:color="auto"/>
              <w:bottom w:val="single" w:sz="12" w:space="0" w:color="auto"/>
              <w:right w:val="single" w:sz="6" w:space="0" w:color="auto"/>
            </w:tcBorders>
            <w:vAlign w:val="center"/>
          </w:tcPr>
          <w:p>
            <w:pPr>
              <w:widowControl w:val="0"/>
              <w:tabs>
                <w:tab w:val="left" w:pos="993"/>
              </w:tabs>
              <w:jc w:val="center"/>
              <w:rPr>
                <w:rFonts w:ascii="Arial" w:eastAsia="PMingLiU" w:hAnsi="Arial" w:cs="Arial"/>
                <w:spacing w:val="1"/>
                <w:szCs w:val="16"/>
                <w:lang w:eastAsia="en-US"/>
              </w:rPr>
            </w:pPr>
          </w:p>
        </w:tc>
        <w:tc>
          <w:tcPr>
            <w:tcW w:w="3147" w:type="pct"/>
            <w:vMerge/>
            <w:tcBorders>
              <w:top w:val="single" w:sz="6" w:space="0" w:color="auto"/>
              <w:left w:val="single" w:sz="6" w:space="0" w:color="auto"/>
              <w:bottom w:val="single" w:sz="12" w:space="0" w:color="auto"/>
              <w:right w:val="single" w:sz="6" w:space="0" w:color="auto"/>
            </w:tcBorders>
            <w:vAlign w:val="center"/>
          </w:tcPr>
          <w:p>
            <w:pPr>
              <w:widowControl w:val="0"/>
              <w:tabs>
                <w:tab w:val="left" w:pos="993"/>
              </w:tabs>
              <w:jc w:val="center"/>
              <w:rPr>
                <w:rFonts w:ascii="Arial" w:eastAsia="PMingLiU" w:hAnsi="Arial" w:cs="Arial"/>
                <w:spacing w:val="1"/>
                <w:szCs w:val="16"/>
                <w:lang w:eastAsia="en-US"/>
              </w:rPr>
            </w:pPr>
          </w:p>
        </w:tc>
        <w:tc>
          <w:tcPr>
            <w:tcW w:w="863" w:type="pct"/>
            <w:tcBorders>
              <w:top w:val="single" w:sz="6" w:space="0" w:color="auto"/>
              <w:left w:val="single" w:sz="6" w:space="0" w:color="auto"/>
              <w:bottom w:val="single" w:sz="12" w:space="0" w:color="auto"/>
              <w:right w:val="single" w:sz="6" w:space="0" w:color="auto"/>
            </w:tcBorders>
            <w:vAlign w:val="center"/>
          </w:tcPr>
          <w:p>
            <w:pPr>
              <w:widowControl w:val="0"/>
              <w:spacing w:line="276" w:lineRule="auto"/>
              <w:jc w:val="center"/>
              <w:rPr>
                <w:rFonts w:ascii="Arial" w:eastAsia="PMingLiU" w:hAnsi="Arial" w:cs="Arial"/>
                <w:spacing w:val="1"/>
                <w:sz w:val="14"/>
                <w:szCs w:val="16"/>
                <w:lang w:eastAsia="en-US"/>
              </w:rPr>
            </w:pPr>
            <w:r>
              <w:rPr>
                <w:rFonts w:ascii="Arial" w:eastAsia="Calibri" w:hAnsi="Arial" w:cs="Arial"/>
                <w:bCs/>
                <w:sz w:val="14"/>
                <w:szCs w:val="16"/>
                <w:lang w:eastAsia="en-US"/>
              </w:rPr>
              <w:t>КОРПУС</w:t>
            </w:r>
          </w:p>
        </w:tc>
        <w:tc>
          <w:tcPr>
            <w:tcW w:w="701" w:type="pct"/>
            <w:tcBorders>
              <w:top w:val="single" w:sz="6" w:space="0" w:color="auto"/>
              <w:left w:val="single" w:sz="6" w:space="0" w:color="auto"/>
              <w:bottom w:val="single" w:sz="12" w:space="0" w:color="auto"/>
              <w:right w:val="single" w:sz="12" w:space="0" w:color="auto"/>
            </w:tcBorders>
            <w:vAlign w:val="center"/>
          </w:tcPr>
          <w:p>
            <w:pPr>
              <w:widowControl w:val="0"/>
              <w:spacing w:line="276" w:lineRule="auto"/>
              <w:jc w:val="center"/>
              <w:rPr>
                <w:rFonts w:ascii="Arial" w:eastAsia="PMingLiU" w:hAnsi="Arial" w:cs="Arial"/>
                <w:spacing w:val="1"/>
                <w:sz w:val="14"/>
                <w:szCs w:val="16"/>
                <w:lang w:eastAsia="en-US"/>
              </w:rPr>
            </w:pPr>
            <w:r>
              <w:rPr>
                <w:rFonts w:ascii="Arial" w:eastAsia="Calibri" w:hAnsi="Arial" w:cs="Arial"/>
                <w:bCs/>
                <w:sz w:val="14"/>
                <w:szCs w:val="16"/>
                <w:lang w:eastAsia="en-US"/>
              </w:rPr>
              <w:t>ТАБЛИЧКА</w:t>
            </w:r>
          </w:p>
        </w:tc>
      </w:tr>
      <w:tr>
        <w:trPr>
          <w:cnfStyle w:val="100000000000" w:firstRow="1" w:lastRow="0" w:firstColumn="0" w:lastColumn="0" w:oddVBand="0" w:evenVBand="0" w:oddHBand="0" w:evenHBand="0" w:firstRowFirstColumn="0" w:firstRowLastColumn="0" w:lastRowFirstColumn="0" w:lastRowLastColumn="0"/>
          <w:trHeight w:val="257"/>
          <w:tblHeader/>
        </w:trPr>
        <w:tc>
          <w:tcPr>
            <w:tcW w:w="289" w:type="pct"/>
            <w:tcBorders>
              <w:top w:val="single" w:sz="12" w:space="0" w:color="auto"/>
              <w:left w:val="single" w:sz="12" w:space="0" w:color="auto"/>
              <w:bottom w:val="single" w:sz="12" w:space="0" w:color="auto"/>
              <w:right w:val="single" w:sz="6"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1</w:t>
            </w:r>
          </w:p>
        </w:tc>
        <w:tc>
          <w:tcPr>
            <w:tcW w:w="3147" w:type="pct"/>
            <w:tcBorders>
              <w:top w:val="single" w:sz="12" w:space="0" w:color="auto"/>
              <w:left w:val="single" w:sz="6" w:space="0" w:color="auto"/>
              <w:bottom w:val="single" w:sz="12" w:space="0" w:color="auto"/>
              <w:right w:val="single" w:sz="6"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2</w:t>
            </w:r>
          </w:p>
        </w:tc>
        <w:tc>
          <w:tcPr>
            <w:tcW w:w="863" w:type="pct"/>
            <w:tcBorders>
              <w:top w:val="single" w:sz="12" w:space="0" w:color="auto"/>
              <w:left w:val="single" w:sz="6" w:space="0" w:color="auto"/>
              <w:bottom w:val="single" w:sz="12" w:space="0" w:color="auto"/>
              <w:right w:val="single" w:sz="6"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3</w:t>
            </w:r>
          </w:p>
        </w:tc>
        <w:tc>
          <w:tcPr>
            <w:tcW w:w="701" w:type="pct"/>
            <w:tcBorders>
              <w:top w:val="single" w:sz="12" w:space="0" w:color="auto"/>
              <w:left w:val="single" w:sz="6" w:space="0" w:color="auto"/>
              <w:bottom w:val="single" w:sz="12" w:space="0" w:color="auto"/>
              <w:right w:val="single" w:sz="12" w:space="0" w:color="auto"/>
            </w:tcBorders>
            <w:vAlign w:val="center"/>
          </w:tcPr>
          <w:p>
            <w:pPr>
              <w:widowControl w:val="0"/>
              <w:spacing w:line="276" w:lineRule="auto"/>
              <w:jc w:val="center"/>
              <w:rPr>
                <w:rFonts w:ascii="Arial" w:eastAsia="Calibri" w:hAnsi="Arial" w:cs="Arial"/>
                <w:bCs/>
                <w:sz w:val="16"/>
                <w:szCs w:val="16"/>
                <w:lang w:eastAsia="en-US"/>
              </w:rPr>
            </w:pPr>
            <w:r>
              <w:rPr>
                <w:rFonts w:ascii="Arial" w:eastAsia="Calibri" w:hAnsi="Arial" w:cs="Arial"/>
                <w:bCs/>
                <w:sz w:val="16"/>
                <w:szCs w:val="16"/>
                <w:lang w:eastAsia="en-US"/>
              </w:rPr>
              <w:t>4</w:t>
            </w:r>
          </w:p>
        </w:tc>
      </w:tr>
      <w:tr>
        <w:tc>
          <w:tcPr>
            <w:tcW w:w="289" w:type="pct"/>
            <w:tcBorders>
              <w:top w:val="single" w:sz="12"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w:t>
            </w:r>
          </w:p>
        </w:tc>
        <w:tc>
          <w:tcPr>
            <w:tcW w:w="3147" w:type="pct"/>
            <w:tcBorders>
              <w:top w:val="single" w:sz="12"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z w:val="20"/>
                <w:szCs w:val="20"/>
                <w:lang w:eastAsia="en-US"/>
              </w:rPr>
              <w:t>Наименование или товарный знак завода</w:t>
            </w:r>
            <w:r>
              <w:rPr>
                <w:rFonts w:eastAsia="PMingLiU"/>
                <w:b/>
                <w:sz w:val="20"/>
                <w:szCs w:val="20"/>
                <w:lang w:eastAsia="en-US"/>
              </w:rPr>
              <w:t>-</w:t>
            </w:r>
            <w:r>
              <w:rPr>
                <w:rFonts w:eastAsia="PMingLiU"/>
                <w:sz w:val="20"/>
                <w:szCs w:val="20"/>
                <w:lang w:eastAsia="en-US"/>
              </w:rPr>
              <w:t>изготовителя</w:t>
            </w:r>
          </w:p>
        </w:tc>
        <w:tc>
          <w:tcPr>
            <w:tcW w:w="863" w:type="pct"/>
            <w:tcBorders>
              <w:top w:val="single" w:sz="12"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12"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2</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Знак обращения на рынке</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3</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z w:val="20"/>
                <w:szCs w:val="20"/>
                <w:lang w:eastAsia="en-US"/>
              </w:rPr>
              <w:t>Диаметр номинальный DN</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4</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 xml:space="preserve">Давление номинальное </w:t>
            </w:r>
            <w:r>
              <w:rPr>
                <w:rFonts w:eastAsia="PMingLiU"/>
                <w:spacing w:val="1"/>
                <w:sz w:val="20"/>
                <w:szCs w:val="20"/>
                <w:lang w:val="en-US" w:eastAsia="en-US"/>
              </w:rPr>
              <w:t>PN</w:t>
            </w:r>
            <w:r>
              <w:rPr>
                <w:rFonts w:eastAsia="PMingLiU"/>
                <w:spacing w:val="1"/>
                <w:sz w:val="20"/>
                <w:szCs w:val="20"/>
                <w:lang w:eastAsia="en-US"/>
              </w:rPr>
              <w:t xml:space="preserve"> </w:t>
            </w:r>
            <w:r>
              <w:rPr>
                <w:rFonts w:eastAsia="PMingLiU"/>
                <w:sz w:val="20"/>
                <w:szCs w:val="20"/>
                <w:lang w:eastAsia="en-US"/>
              </w:rPr>
              <w:t>(в кгс/см², без указания размерности и в скобках в МПа с указанием размерности)</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5</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z w:val="20"/>
                <w:szCs w:val="20"/>
                <w:lang w:eastAsia="en-US"/>
              </w:rPr>
            </w:pPr>
            <w:r>
              <w:rPr>
                <w:rFonts w:eastAsia="PMingLiU"/>
                <w:sz w:val="20"/>
                <w:szCs w:val="20"/>
                <w:lang w:eastAsia="en-US"/>
              </w:rPr>
              <w:t>Предельное рабочее давление при минимальных и максимальных рабочих температурах</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6</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z w:val="20"/>
                <w:szCs w:val="20"/>
                <w:lang w:eastAsia="en-US"/>
              </w:rPr>
            </w:pPr>
            <w:r>
              <w:rPr>
                <w:rFonts w:eastAsia="PMingLiU"/>
                <w:sz w:val="20"/>
                <w:szCs w:val="20"/>
                <w:lang w:eastAsia="en-US"/>
              </w:rPr>
              <w:t>Климатическое исполнение и категория размещения в соответствии с ГОСТ</w:t>
            </w:r>
            <w:r>
              <w:rPr>
                <w:rFonts w:eastAsia="PMingLiU"/>
                <w:sz w:val="20"/>
                <w:szCs w:val="20"/>
                <w:lang w:val="en-US" w:eastAsia="en-US"/>
              </w:rPr>
              <w:t> </w:t>
            </w:r>
            <w:r>
              <w:rPr>
                <w:rFonts w:eastAsia="PMingLiU"/>
                <w:sz w:val="20"/>
                <w:szCs w:val="20"/>
                <w:lang w:eastAsia="en-US"/>
              </w:rPr>
              <w:t>15150</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7</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Марка или условное обозначение материала корпуса</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8</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Марка или условное обозначение материала концов под приварку*</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9</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z w:val="20"/>
                <w:szCs w:val="20"/>
                <w:lang w:eastAsia="en-US"/>
              </w:rPr>
            </w:pPr>
            <w:r>
              <w:rPr>
                <w:rFonts w:eastAsia="PMingLiU"/>
                <w:spacing w:val="-1"/>
                <w:sz w:val="20"/>
                <w:szCs w:val="20"/>
                <w:lang w:eastAsia="en-US"/>
              </w:rPr>
              <w:t>Фактическое</w:t>
            </w:r>
            <w:r>
              <w:rPr>
                <w:rFonts w:eastAsia="PMingLiU"/>
                <w:spacing w:val="18"/>
                <w:sz w:val="20"/>
                <w:szCs w:val="20"/>
                <w:lang w:eastAsia="en-US"/>
              </w:rPr>
              <w:t xml:space="preserve"> </w:t>
            </w:r>
            <w:r>
              <w:rPr>
                <w:rFonts w:eastAsia="PMingLiU"/>
                <w:spacing w:val="-1"/>
                <w:sz w:val="20"/>
                <w:szCs w:val="20"/>
                <w:lang w:eastAsia="en-US"/>
              </w:rPr>
              <w:t>значение</w:t>
            </w:r>
            <w:r>
              <w:rPr>
                <w:rFonts w:eastAsia="PMingLiU"/>
                <w:spacing w:val="18"/>
                <w:sz w:val="20"/>
                <w:szCs w:val="20"/>
                <w:lang w:eastAsia="en-US"/>
              </w:rPr>
              <w:t xml:space="preserve"> </w:t>
            </w:r>
            <w:r>
              <w:rPr>
                <w:rFonts w:eastAsia="PMingLiU"/>
                <w:sz w:val="20"/>
                <w:szCs w:val="20"/>
                <w:lang w:eastAsia="en-US"/>
              </w:rPr>
              <w:t>С</w:t>
            </w:r>
            <w:r>
              <w:rPr>
                <w:rFonts w:eastAsia="PMingLiU"/>
                <w:sz w:val="20"/>
                <w:szCs w:val="20"/>
                <w:vertAlign w:val="subscript"/>
                <w:lang w:eastAsia="en-US"/>
              </w:rPr>
              <w:t>экв</w:t>
            </w:r>
            <w:r>
              <w:rPr>
                <w:rFonts w:eastAsia="PMingLiU"/>
                <w:spacing w:val="47"/>
                <w:sz w:val="20"/>
                <w:szCs w:val="20"/>
                <w:lang w:eastAsia="en-US"/>
              </w:rPr>
              <w:t xml:space="preserve"> </w:t>
            </w:r>
            <w:r>
              <w:rPr>
                <w:rFonts w:eastAsia="PMingLiU"/>
                <w:spacing w:val="-1"/>
                <w:sz w:val="20"/>
                <w:szCs w:val="20"/>
                <w:lang w:eastAsia="en-US"/>
              </w:rPr>
              <w:t>материала</w:t>
            </w:r>
            <w:r>
              <w:rPr>
                <w:rFonts w:eastAsia="PMingLiU"/>
                <w:spacing w:val="17"/>
                <w:sz w:val="20"/>
                <w:szCs w:val="20"/>
                <w:lang w:eastAsia="en-US"/>
              </w:rPr>
              <w:t xml:space="preserve"> </w:t>
            </w:r>
            <w:r>
              <w:rPr>
                <w:rFonts w:eastAsia="PMingLiU"/>
                <w:spacing w:val="-1"/>
                <w:sz w:val="20"/>
                <w:szCs w:val="20"/>
                <w:lang w:eastAsia="en-US"/>
              </w:rPr>
              <w:t>патрубков</w:t>
            </w:r>
            <w:r>
              <w:rPr>
                <w:rFonts w:eastAsia="PMingLiU"/>
                <w:spacing w:val="51"/>
                <w:sz w:val="20"/>
                <w:szCs w:val="20"/>
                <w:lang w:eastAsia="en-US"/>
              </w:rPr>
              <w:t xml:space="preserve"> </w:t>
            </w:r>
            <w:r>
              <w:rPr>
                <w:rFonts w:eastAsia="PMingLiU"/>
                <w:spacing w:val="-1"/>
                <w:sz w:val="20"/>
                <w:szCs w:val="20"/>
                <w:lang w:eastAsia="en-US"/>
              </w:rPr>
              <w:t>(и/или</w:t>
            </w:r>
            <w:r>
              <w:rPr>
                <w:rFonts w:eastAsia="PMingLiU"/>
                <w:spacing w:val="4"/>
                <w:sz w:val="20"/>
                <w:szCs w:val="20"/>
                <w:lang w:eastAsia="en-US"/>
              </w:rPr>
              <w:t xml:space="preserve"> </w:t>
            </w:r>
            <w:r>
              <w:rPr>
                <w:rFonts w:eastAsia="PMingLiU"/>
                <w:spacing w:val="-2"/>
                <w:sz w:val="20"/>
                <w:szCs w:val="20"/>
                <w:lang w:eastAsia="en-US"/>
              </w:rPr>
              <w:t>переходных</w:t>
            </w:r>
            <w:r>
              <w:rPr>
                <w:rFonts w:eastAsia="PMingLiU"/>
                <w:spacing w:val="7"/>
                <w:sz w:val="20"/>
                <w:szCs w:val="20"/>
                <w:lang w:eastAsia="en-US"/>
              </w:rPr>
              <w:t xml:space="preserve"> </w:t>
            </w:r>
            <w:r>
              <w:rPr>
                <w:rFonts w:eastAsia="PMingLiU"/>
                <w:spacing w:val="-1"/>
                <w:sz w:val="20"/>
                <w:szCs w:val="20"/>
                <w:lang w:eastAsia="en-US"/>
              </w:rPr>
              <w:t>колец)</w:t>
            </w:r>
            <w:r>
              <w:rPr>
                <w:rFonts w:eastAsia="PMingLiU"/>
                <w:spacing w:val="6"/>
                <w:sz w:val="20"/>
                <w:szCs w:val="20"/>
                <w:lang w:eastAsia="en-US"/>
              </w:rPr>
              <w:t xml:space="preserve"> </w:t>
            </w:r>
            <w:r>
              <w:rPr>
                <w:rFonts w:eastAsia="PMingLiU"/>
                <w:spacing w:val="-1"/>
                <w:sz w:val="20"/>
                <w:szCs w:val="20"/>
                <w:lang w:eastAsia="en-US"/>
              </w:rPr>
              <w:t>должно</w:t>
            </w:r>
            <w:r>
              <w:rPr>
                <w:rFonts w:eastAsia="PMingLiU"/>
                <w:spacing w:val="5"/>
                <w:sz w:val="20"/>
                <w:szCs w:val="20"/>
                <w:lang w:eastAsia="en-US"/>
              </w:rPr>
              <w:t xml:space="preserve"> </w:t>
            </w:r>
            <w:r>
              <w:rPr>
                <w:rFonts w:eastAsia="PMingLiU"/>
                <w:spacing w:val="-1"/>
                <w:sz w:val="20"/>
                <w:szCs w:val="20"/>
                <w:lang w:eastAsia="en-US"/>
              </w:rPr>
              <w:t>быть</w:t>
            </w:r>
            <w:r>
              <w:rPr>
                <w:rFonts w:eastAsia="PMingLiU"/>
                <w:spacing w:val="7"/>
                <w:sz w:val="20"/>
                <w:szCs w:val="20"/>
                <w:lang w:eastAsia="en-US"/>
              </w:rPr>
              <w:t xml:space="preserve"> </w:t>
            </w:r>
            <w:r>
              <w:rPr>
                <w:rFonts w:eastAsia="PMingLiU"/>
                <w:spacing w:val="-2"/>
                <w:sz w:val="20"/>
                <w:szCs w:val="20"/>
                <w:lang w:eastAsia="en-US"/>
              </w:rPr>
              <w:t>нанесено</w:t>
            </w:r>
            <w:r>
              <w:rPr>
                <w:rFonts w:eastAsia="PMingLiU"/>
                <w:spacing w:val="3"/>
                <w:sz w:val="20"/>
                <w:szCs w:val="20"/>
                <w:lang w:eastAsia="en-US"/>
              </w:rPr>
              <w:t xml:space="preserve"> </w:t>
            </w:r>
            <w:r>
              <w:rPr>
                <w:rFonts w:eastAsia="PMingLiU"/>
                <w:spacing w:val="-1"/>
                <w:sz w:val="20"/>
                <w:szCs w:val="20"/>
                <w:lang w:eastAsia="en-US"/>
              </w:rPr>
              <w:t>на</w:t>
            </w:r>
            <w:r>
              <w:rPr>
                <w:rFonts w:eastAsia="PMingLiU"/>
                <w:spacing w:val="6"/>
                <w:sz w:val="20"/>
                <w:szCs w:val="20"/>
                <w:lang w:eastAsia="en-US"/>
              </w:rPr>
              <w:t xml:space="preserve"> </w:t>
            </w:r>
            <w:r>
              <w:rPr>
                <w:rFonts w:eastAsia="PMingLiU"/>
                <w:spacing w:val="-3"/>
                <w:sz w:val="20"/>
                <w:szCs w:val="20"/>
                <w:lang w:eastAsia="en-US"/>
              </w:rPr>
              <w:t>внутренней</w:t>
            </w:r>
            <w:r>
              <w:rPr>
                <w:rFonts w:eastAsia="PMingLiU"/>
                <w:spacing w:val="4"/>
                <w:sz w:val="20"/>
                <w:szCs w:val="20"/>
                <w:lang w:eastAsia="en-US"/>
              </w:rPr>
              <w:t xml:space="preserve"> </w:t>
            </w:r>
            <w:r>
              <w:rPr>
                <w:rFonts w:eastAsia="PMingLiU"/>
                <w:spacing w:val="-2"/>
                <w:sz w:val="20"/>
                <w:szCs w:val="20"/>
                <w:lang w:eastAsia="en-US"/>
              </w:rPr>
              <w:t>поверхности</w:t>
            </w:r>
            <w:r>
              <w:rPr>
                <w:rFonts w:eastAsia="PMingLiU"/>
                <w:spacing w:val="2"/>
                <w:sz w:val="20"/>
                <w:szCs w:val="20"/>
                <w:lang w:eastAsia="en-US"/>
              </w:rPr>
              <w:t xml:space="preserve"> </w:t>
            </w:r>
            <w:r>
              <w:rPr>
                <w:rFonts w:eastAsia="PMingLiU"/>
                <w:spacing w:val="-1"/>
                <w:sz w:val="20"/>
                <w:szCs w:val="20"/>
                <w:lang w:eastAsia="en-US"/>
              </w:rPr>
              <w:t>пат</w:t>
            </w:r>
            <w:r>
              <w:rPr>
                <w:rFonts w:eastAsia="PMingLiU"/>
                <w:spacing w:val="-2"/>
                <w:sz w:val="20"/>
                <w:szCs w:val="20"/>
                <w:lang w:eastAsia="en-US"/>
              </w:rPr>
              <w:t>рубков</w:t>
            </w:r>
            <w:r>
              <w:rPr>
                <w:rFonts w:eastAsia="PMingLiU"/>
                <w:spacing w:val="44"/>
                <w:sz w:val="20"/>
                <w:szCs w:val="20"/>
                <w:lang w:eastAsia="en-US"/>
              </w:rPr>
              <w:t xml:space="preserve"> </w:t>
            </w:r>
            <w:r>
              <w:rPr>
                <w:rFonts w:eastAsia="PMingLiU"/>
                <w:spacing w:val="-2"/>
                <w:sz w:val="20"/>
                <w:szCs w:val="20"/>
                <w:lang w:eastAsia="en-US"/>
              </w:rPr>
              <w:t>корпуса</w:t>
            </w:r>
            <w:r>
              <w:rPr>
                <w:rFonts w:eastAsia="PMingLiU"/>
                <w:spacing w:val="47"/>
                <w:sz w:val="20"/>
                <w:szCs w:val="20"/>
                <w:lang w:eastAsia="en-US"/>
              </w:rPr>
              <w:t xml:space="preserve"> </w:t>
            </w:r>
            <w:r>
              <w:rPr>
                <w:rFonts w:eastAsia="PMingLiU"/>
                <w:spacing w:val="-2"/>
                <w:sz w:val="20"/>
                <w:szCs w:val="20"/>
                <w:lang w:eastAsia="en-US"/>
              </w:rPr>
              <w:t>(и/или</w:t>
            </w:r>
            <w:r>
              <w:rPr>
                <w:rFonts w:eastAsia="PMingLiU"/>
                <w:spacing w:val="45"/>
                <w:sz w:val="20"/>
                <w:szCs w:val="20"/>
                <w:lang w:eastAsia="en-US"/>
              </w:rPr>
              <w:t xml:space="preserve"> </w:t>
            </w:r>
            <w:r>
              <w:rPr>
                <w:rFonts w:eastAsia="PMingLiU"/>
                <w:spacing w:val="-2"/>
                <w:sz w:val="20"/>
                <w:szCs w:val="20"/>
                <w:lang w:eastAsia="en-US"/>
              </w:rPr>
              <w:t>переходных</w:t>
            </w:r>
            <w:r>
              <w:rPr>
                <w:rFonts w:eastAsia="PMingLiU"/>
                <w:spacing w:val="46"/>
                <w:sz w:val="20"/>
                <w:szCs w:val="20"/>
                <w:lang w:eastAsia="en-US"/>
              </w:rPr>
              <w:t xml:space="preserve"> </w:t>
            </w:r>
            <w:r>
              <w:rPr>
                <w:rFonts w:eastAsia="PMingLiU"/>
                <w:spacing w:val="-2"/>
                <w:sz w:val="20"/>
                <w:szCs w:val="20"/>
                <w:lang w:eastAsia="en-US"/>
              </w:rPr>
              <w:t>колец)</w:t>
            </w:r>
            <w:r>
              <w:rPr>
                <w:rFonts w:eastAsia="PMingLiU"/>
                <w:spacing w:val="47"/>
                <w:sz w:val="20"/>
                <w:szCs w:val="20"/>
                <w:lang w:eastAsia="en-US"/>
              </w:rPr>
              <w:t xml:space="preserve"> </w:t>
            </w:r>
            <w:r>
              <w:rPr>
                <w:rFonts w:eastAsia="PMingLiU"/>
                <w:spacing w:val="-1"/>
                <w:sz w:val="20"/>
                <w:szCs w:val="20"/>
                <w:lang w:eastAsia="en-US"/>
              </w:rPr>
              <w:t>на</w:t>
            </w:r>
            <w:r>
              <w:rPr>
                <w:rFonts w:eastAsia="PMingLiU"/>
                <w:spacing w:val="45"/>
                <w:sz w:val="20"/>
                <w:szCs w:val="20"/>
                <w:lang w:eastAsia="en-US"/>
              </w:rPr>
              <w:t xml:space="preserve"> </w:t>
            </w:r>
            <w:r>
              <w:rPr>
                <w:rFonts w:eastAsia="PMingLiU"/>
                <w:spacing w:val="-2"/>
                <w:sz w:val="20"/>
                <w:szCs w:val="20"/>
                <w:lang w:eastAsia="en-US"/>
              </w:rPr>
              <w:t>расстоянии</w:t>
            </w:r>
            <w:r>
              <w:rPr>
                <w:rFonts w:eastAsia="PMingLiU"/>
                <w:spacing w:val="45"/>
                <w:sz w:val="20"/>
                <w:szCs w:val="20"/>
                <w:lang w:eastAsia="en-US"/>
              </w:rPr>
              <w:t xml:space="preserve"> </w:t>
            </w:r>
            <w:r>
              <w:rPr>
                <w:rFonts w:eastAsia="PMingLiU"/>
                <w:spacing w:val="-1"/>
                <w:sz w:val="20"/>
                <w:szCs w:val="20"/>
                <w:lang w:eastAsia="en-US"/>
              </w:rPr>
              <w:t>30 - 50</w:t>
            </w:r>
            <w:r>
              <w:rPr>
                <w:rFonts w:eastAsia="PMingLiU"/>
                <w:spacing w:val="48"/>
                <w:sz w:val="20"/>
                <w:szCs w:val="20"/>
                <w:lang w:eastAsia="en-US"/>
              </w:rPr>
              <w:t xml:space="preserve"> </w:t>
            </w:r>
            <w:r>
              <w:rPr>
                <w:rFonts w:eastAsia="PMingLiU"/>
                <w:spacing w:val="-2"/>
                <w:sz w:val="20"/>
                <w:szCs w:val="20"/>
                <w:lang w:eastAsia="en-US"/>
              </w:rPr>
              <w:t>мм</w:t>
            </w:r>
            <w:r>
              <w:rPr>
                <w:rFonts w:eastAsia="PMingLiU"/>
                <w:spacing w:val="44"/>
                <w:sz w:val="20"/>
                <w:szCs w:val="20"/>
                <w:lang w:eastAsia="en-US"/>
              </w:rPr>
              <w:t xml:space="preserve"> </w:t>
            </w:r>
            <w:r>
              <w:rPr>
                <w:rFonts w:eastAsia="PMingLiU"/>
                <w:sz w:val="20"/>
                <w:szCs w:val="20"/>
                <w:lang w:eastAsia="en-US"/>
              </w:rPr>
              <w:t>от</w:t>
            </w:r>
            <w:r>
              <w:rPr>
                <w:rFonts w:eastAsia="PMingLiU"/>
                <w:spacing w:val="44"/>
                <w:sz w:val="20"/>
                <w:szCs w:val="20"/>
                <w:lang w:eastAsia="en-US"/>
              </w:rPr>
              <w:t xml:space="preserve"> </w:t>
            </w:r>
            <w:r>
              <w:rPr>
                <w:rFonts w:eastAsia="PMingLiU"/>
                <w:spacing w:val="-2"/>
                <w:sz w:val="20"/>
                <w:szCs w:val="20"/>
                <w:lang w:eastAsia="en-US"/>
              </w:rPr>
              <w:t>торца</w:t>
            </w:r>
            <w:r>
              <w:rPr>
                <w:rFonts w:eastAsia="PMingLiU"/>
                <w:spacing w:val="42"/>
                <w:sz w:val="20"/>
                <w:szCs w:val="20"/>
                <w:lang w:eastAsia="en-US"/>
              </w:rPr>
              <w:t xml:space="preserve"> </w:t>
            </w:r>
            <w:r>
              <w:rPr>
                <w:rFonts w:eastAsia="PMingLiU"/>
                <w:spacing w:val="-1"/>
                <w:sz w:val="20"/>
                <w:szCs w:val="20"/>
                <w:lang w:eastAsia="en-US"/>
              </w:rPr>
              <w:t>по</w:t>
            </w:r>
            <w:r>
              <w:rPr>
                <w:rFonts w:eastAsia="PMingLiU"/>
                <w:spacing w:val="37"/>
                <w:sz w:val="20"/>
                <w:szCs w:val="20"/>
                <w:lang w:eastAsia="en-US"/>
              </w:rPr>
              <w:t xml:space="preserve"> </w:t>
            </w:r>
            <w:r>
              <w:rPr>
                <w:rFonts w:eastAsia="PMingLiU"/>
                <w:spacing w:val="-2"/>
                <w:sz w:val="20"/>
                <w:szCs w:val="20"/>
                <w:lang w:eastAsia="en-US"/>
              </w:rPr>
              <w:t>внутреннему</w:t>
            </w:r>
            <w:r>
              <w:rPr>
                <w:rFonts w:eastAsia="PMingLiU"/>
                <w:spacing w:val="-4"/>
                <w:sz w:val="20"/>
                <w:szCs w:val="20"/>
                <w:lang w:eastAsia="en-US"/>
              </w:rPr>
              <w:t xml:space="preserve"> </w:t>
            </w:r>
            <w:r>
              <w:rPr>
                <w:rFonts w:eastAsia="PMingLiU"/>
                <w:spacing w:val="-2"/>
                <w:sz w:val="20"/>
                <w:szCs w:val="20"/>
                <w:lang w:eastAsia="en-US"/>
              </w:rPr>
              <w:t>диаметру</w:t>
            </w:r>
            <w:r>
              <w:rPr>
                <w:rFonts w:eastAsia="PMingLiU"/>
                <w:spacing w:val="-4"/>
                <w:sz w:val="20"/>
                <w:szCs w:val="20"/>
                <w:lang w:eastAsia="en-US"/>
              </w:rPr>
              <w:t xml:space="preserve"> </w:t>
            </w:r>
            <w:r>
              <w:rPr>
                <w:rFonts w:eastAsia="PMingLiU"/>
                <w:spacing w:val="-2"/>
                <w:sz w:val="20"/>
                <w:szCs w:val="20"/>
                <w:lang w:eastAsia="en-US"/>
              </w:rPr>
              <w:t>несмываемой</w:t>
            </w:r>
            <w:r>
              <w:rPr>
                <w:rFonts w:eastAsia="PMingLiU"/>
                <w:spacing w:val="-1"/>
                <w:sz w:val="20"/>
                <w:szCs w:val="20"/>
                <w:lang w:eastAsia="en-US"/>
              </w:rPr>
              <w:t xml:space="preserve"> </w:t>
            </w:r>
            <w:r>
              <w:rPr>
                <w:rFonts w:eastAsia="PMingLiU"/>
                <w:spacing w:val="-2"/>
                <w:sz w:val="20"/>
                <w:szCs w:val="20"/>
                <w:lang w:eastAsia="en-US"/>
              </w:rPr>
              <w:t>краской</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10</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2"/>
                <w:sz w:val="20"/>
                <w:szCs w:val="20"/>
                <w:lang w:eastAsia="en-US"/>
              </w:rPr>
            </w:pPr>
            <w:r>
              <w:rPr>
                <w:rFonts w:eastAsia="PMingLiU"/>
                <w:spacing w:val="-2"/>
                <w:sz w:val="20"/>
                <w:szCs w:val="20"/>
                <w:lang w:eastAsia="en-US"/>
              </w:rPr>
              <w:t>Минимальный предел  текучести и минимальная толщина стенки</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11</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Заводской номер и год изготовления</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12</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z w:val="20"/>
                <w:szCs w:val="20"/>
                <w:lang w:eastAsia="en-US"/>
              </w:rPr>
            </w:pPr>
            <w:r>
              <w:rPr>
                <w:rFonts w:eastAsia="PMingLiU"/>
                <w:sz w:val="20"/>
                <w:szCs w:val="20"/>
                <w:lang w:eastAsia="en-US"/>
              </w:rPr>
              <w:t>Масса, кг</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6"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13</w:t>
            </w:r>
          </w:p>
        </w:tc>
        <w:tc>
          <w:tcPr>
            <w:tcW w:w="3147" w:type="pct"/>
            <w:tcBorders>
              <w:top w:val="single" w:sz="6" w:space="0" w:color="auto"/>
              <w:left w:val="single" w:sz="6" w:space="0" w:color="auto"/>
              <w:bottom w:val="single" w:sz="6" w:space="0" w:color="auto"/>
              <w:right w:val="single" w:sz="6" w:space="0" w:color="auto"/>
            </w:tcBorders>
          </w:tcPr>
          <w:p>
            <w:pPr>
              <w:widowControl w:val="0"/>
              <w:tabs>
                <w:tab w:val="left" w:pos="993"/>
              </w:tabs>
              <w:jc w:val="left"/>
              <w:rPr>
                <w:rFonts w:eastAsia="PMingLiU"/>
                <w:sz w:val="20"/>
                <w:szCs w:val="20"/>
                <w:lang w:eastAsia="en-US"/>
              </w:rPr>
            </w:pPr>
            <w:r>
              <w:rPr>
                <w:rFonts w:eastAsia="PMingLiU"/>
                <w:sz w:val="20"/>
                <w:szCs w:val="20"/>
                <w:lang w:eastAsia="en-US"/>
              </w:rPr>
              <w:t>Клеймо ОТК</w:t>
            </w:r>
          </w:p>
        </w:tc>
        <w:tc>
          <w:tcPr>
            <w:tcW w:w="863" w:type="pct"/>
            <w:tcBorders>
              <w:top w:val="single" w:sz="6" w:space="0" w:color="auto"/>
              <w:left w:val="single" w:sz="6" w:space="0" w:color="auto"/>
              <w:bottom w:val="single" w:sz="6"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6"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z w:val="20"/>
                <w:szCs w:val="20"/>
                <w:lang w:eastAsia="en-US"/>
              </w:rPr>
              <w:t>–</w:t>
            </w:r>
          </w:p>
        </w:tc>
      </w:tr>
      <w:tr>
        <w:tc>
          <w:tcPr>
            <w:tcW w:w="289" w:type="pct"/>
            <w:tcBorders>
              <w:top w:val="single" w:sz="6" w:space="0" w:color="auto"/>
              <w:left w:val="single" w:sz="12" w:space="0" w:color="auto"/>
              <w:bottom w:val="single" w:sz="12" w:space="0" w:color="auto"/>
              <w:right w:val="single" w:sz="6" w:space="0" w:color="auto"/>
            </w:tcBorders>
          </w:tcPr>
          <w:p>
            <w:pPr>
              <w:widowControl w:val="0"/>
              <w:tabs>
                <w:tab w:val="left" w:pos="993"/>
              </w:tabs>
              <w:rPr>
                <w:rFonts w:eastAsia="PMingLiU"/>
                <w:spacing w:val="1"/>
                <w:sz w:val="20"/>
                <w:szCs w:val="20"/>
                <w:lang w:eastAsia="en-US"/>
              </w:rPr>
            </w:pPr>
            <w:r>
              <w:rPr>
                <w:rFonts w:eastAsia="PMingLiU"/>
                <w:spacing w:val="1"/>
                <w:sz w:val="20"/>
                <w:szCs w:val="20"/>
                <w:lang w:eastAsia="en-US"/>
              </w:rPr>
              <w:t>14</w:t>
            </w:r>
          </w:p>
        </w:tc>
        <w:tc>
          <w:tcPr>
            <w:tcW w:w="3147" w:type="pct"/>
            <w:tcBorders>
              <w:top w:val="single" w:sz="6" w:space="0" w:color="auto"/>
              <w:left w:val="single" w:sz="6" w:space="0" w:color="auto"/>
              <w:bottom w:val="single" w:sz="12" w:space="0" w:color="auto"/>
              <w:right w:val="single" w:sz="6" w:space="0" w:color="auto"/>
            </w:tcBorders>
          </w:tcPr>
          <w:p>
            <w:pPr>
              <w:widowControl w:val="0"/>
              <w:tabs>
                <w:tab w:val="left" w:pos="993"/>
              </w:tabs>
              <w:jc w:val="left"/>
              <w:rPr>
                <w:rFonts w:eastAsia="PMingLiU"/>
                <w:spacing w:val="1"/>
                <w:sz w:val="20"/>
                <w:szCs w:val="20"/>
                <w:lang w:eastAsia="en-US"/>
              </w:rPr>
            </w:pPr>
            <w:r>
              <w:rPr>
                <w:rFonts w:eastAsia="PMingLiU"/>
                <w:spacing w:val="1"/>
                <w:sz w:val="20"/>
                <w:szCs w:val="20"/>
                <w:lang w:eastAsia="en-US"/>
              </w:rPr>
              <w:t>Обозначение крана шарового в соответствии с подразделом 5.3. настоящих Методических указаний</w:t>
            </w:r>
          </w:p>
        </w:tc>
        <w:tc>
          <w:tcPr>
            <w:tcW w:w="863" w:type="pct"/>
            <w:tcBorders>
              <w:top w:val="single" w:sz="6" w:space="0" w:color="auto"/>
              <w:left w:val="single" w:sz="6" w:space="0" w:color="auto"/>
              <w:bottom w:val="single" w:sz="12" w:space="0" w:color="auto"/>
              <w:right w:val="single" w:sz="6"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c>
          <w:tcPr>
            <w:tcW w:w="701" w:type="pct"/>
            <w:tcBorders>
              <w:top w:val="single" w:sz="6" w:space="0" w:color="auto"/>
              <w:left w:val="single" w:sz="6" w:space="0" w:color="auto"/>
              <w:bottom w:val="single" w:sz="12" w:space="0" w:color="auto"/>
              <w:right w:val="single" w:sz="12" w:space="0" w:color="auto"/>
            </w:tcBorders>
          </w:tcPr>
          <w:p>
            <w:pPr>
              <w:widowControl w:val="0"/>
              <w:tabs>
                <w:tab w:val="left" w:pos="993"/>
              </w:tabs>
              <w:jc w:val="center"/>
              <w:rPr>
                <w:rFonts w:eastAsia="PMingLiU"/>
                <w:spacing w:val="1"/>
                <w:sz w:val="20"/>
                <w:szCs w:val="20"/>
                <w:lang w:eastAsia="en-US"/>
              </w:rPr>
            </w:pPr>
            <w:r>
              <w:rPr>
                <w:rFonts w:eastAsia="PMingLiU"/>
                <w:spacing w:val="1"/>
                <w:sz w:val="20"/>
                <w:szCs w:val="20"/>
                <w:lang w:eastAsia="en-US"/>
              </w:rPr>
              <w:t>+</w:t>
            </w:r>
          </w:p>
        </w:tc>
      </w:tr>
    </w:tbl>
    <w:p>
      <w:pPr>
        <w:widowControl w:val="0"/>
        <w:tabs>
          <w:tab w:val="left" w:pos="993"/>
        </w:tabs>
        <w:ind w:firstLine="567"/>
        <w:rPr>
          <w:rFonts w:eastAsia="PMingLiU"/>
          <w:i/>
          <w:spacing w:val="1"/>
          <w:u w:val="single"/>
          <w:lang w:eastAsia="en-US"/>
        </w:rPr>
      </w:pPr>
    </w:p>
    <w:p>
      <w:pPr>
        <w:widowControl w:val="0"/>
        <w:tabs>
          <w:tab w:val="left" w:pos="993"/>
        </w:tabs>
        <w:ind w:firstLine="567"/>
        <w:rPr>
          <w:rFonts w:eastAsia="PMingLiU"/>
          <w:i/>
          <w:spacing w:val="1"/>
          <w:lang w:eastAsia="en-US"/>
        </w:rPr>
      </w:pPr>
      <w:r>
        <w:rPr>
          <w:rFonts w:eastAsia="PMingLiU"/>
          <w:i/>
          <w:spacing w:val="1"/>
          <w:u w:val="single"/>
          <w:lang w:eastAsia="en-US"/>
        </w:rPr>
        <w:t>Примечание:</w:t>
      </w:r>
      <w:r>
        <w:rPr>
          <w:rFonts w:eastAsia="PMingLiU"/>
          <w:i/>
          <w:spacing w:val="1"/>
          <w:lang w:eastAsia="en-US"/>
        </w:rPr>
        <w:t xml:space="preserve"> *Маркируется на концах под приварку или на табличке.</w:t>
      </w:r>
    </w:p>
    <w:p>
      <w:pPr>
        <w:widowControl w:val="0"/>
        <w:tabs>
          <w:tab w:val="left" w:pos="993"/>
        </w:tabs>
        <w:ind w:firstLine="567"/>
        <w:rPr>
          <w:rFonts w:eastAsia="PMingLiU"/>
          <w:i/>
          <w:spacing w:val="1"/>
          <w:lang w:eastAsia="en-US"/>
        </w:rPr>
      </w:pPr>
    </w:p>
    <w:p>
      <w:pPr>
        <w:pStyle w:val="S0"/>
        <w:rPr>
          <w:rFonts w:eastAsia="PMingLiU"/>
          <w:szCs w:val="22"/>
          <w:lang w:eastAsia="en-US"/>
        </w:rPr>
      </w:pPr>
      <w:r>
        <w:rPr>
          <w:rFonts w:eastAsia="PMingLiU"/>
          <w:szCs w:val="22"/>
          <w:lang w:eastAsia="en-US"/>
        </w:rPr>
        <w:t>Табличка из нержавеющей стали или цветных металлов с маркировкой должна крепиться на лицевую сторону фланца корпуса крана шарового.</w:t>
      </w:r>
    </w:p>
    <w:p>
      <w:pPr>
        <w:tabs>
          <w:tab w:val="left" w:pos="539"/>
        </w:tabs>
        <w:rPr>
          <w:rFonts w:eastAsia="PMingLiU"/>
          <w:lang w:eastAsia="en-US"/>
        </w:rPr>
      </w:pPr>
    </w:p>
    <w:p>
      <w:pPr>
        <w:tabs>
          <w:tab w:val="left" w:pos="539"/>
        </w:tabs>
        <w:rPr>
          <w:rFonts w:eastAsia="PMingLiU"/>
          <w:lang w:eastAsia="en-US"/>
        </w:rPr>
      </w:pPr>
      <w:r>
        <w:rPr>
          <w:rFonts w:eastAsia="PMingLiU"/>
          <w:lang w:eastAsia="en-US"/>
        </w:rPr>
        <w:t>На рукоятке, маховиках управления арматурой должны быть стрелки, указывающие направление вращения на открытие и закрытие, и буквы «О», «З» или слова «ОТКР», «ЗАКР».</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На кранах шаровых должна быть маркировка положения (указатели положения) затвора.</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 xml:space="preserve">Содержание, расположение, способы выполнения и конструктивные элементы маркировки </w:t>
      </w:r>
      <w:r>
        <w:rPr>
          <w:rFonts w:eastAsia="PMingLiU"/>
          <w:spacing w:val="1"/>
          <w:lang w:eastAsia="en-US"/>
        </w:rPr>
        <w:lastRenderedPageBreak/>
        <w:t>приводных устройств указывают в КД на приводное устройство.</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Содержание маркировки для привода на корпусе и на табличке (из коррозионностойкой стали или цветных металлов и их сплавов):</w:t>
      </w:r>
    </w:p>
    <w:p>
      <w:pPr>
        <w:numPr>
          <w:ilvl w:val="0"/>
          <w:numId w:val="22"/>
        </w:numPr>
        <w:tabs>
          <w:tab w:val="left" w:pos="539"/>
        </w:tabs>
        <w:spacing w:before="120"/>
        <w:ind w:left="538" w:hanging="357"/>
        <w:rPr>
          <w:rFonts w:eastAsia="PMingLiU"/>
          <w:lang w:eastAsia="en-US"/>
        </w:rPr>
      </w:pPr>
      <w:r>
        <w:rPr>
          <w:rFonts w:eastAsia="PMingLiU"/>
          <w:lang w:eastAsia="en-US"/>
        </w:rPr>
        <w:t>наименование или товарный знак завода</w:t>
      </w:r>
      <w:r>
        <w:rPr>
          <w:rFonts w:eastAsia="PMingLiU"/>
          <w:b/>
          <w:lang w:eastAsia="en-US"/>
        </w:rPr>
        <w:t>-</w:t>
      </w:r>
      <w:r>
        <w:rPr>
          <w:rFonts w:eastAsia="PMingLiU"/>
          <w:lang w:eastAsia="en-US"/>
        </w:rPr>
        <w:t>изготовителя;</w:t>
      </w:r>
    </w:p>
    <w:p>
      <w:pPr>
        <w:numPr>
          <w:ilvl w:val="0"/>
          <w:numId w:val="12"/>
        </w:numPr>
        <w:tabs>
          <w:tab w:val="left" w:pos="539"/>
        </w:tabs>
        <w:spacing w:before="120"/>
        <w:ind w:left="538" w:hanging="357"/>
        <w:rPr>
          <w:rFonts w:eastAsia="PMingLiU"/>
          <w:lang w:eastAsia="en-US"/>
        </w:rPr>
      </w:pPr>
      <w:r>
        <w:rPr>
          <w:rFonts w:eastAsia="PMingLiU"/>
          <w:lang w:eastAsia="en-US"/>
        </w:rPr>
        <w:t>типовое обозначение привода;</w:t>
      </w:r>
    </w:p>
    <w:p>
      <w:pPr>
        <w:numPr>
          <w:ilvl w:val="0"/>
          <w:numId w:val="12"/>
        </w:numPr>
        <w:tabs>
          <w:tab w:val="left" w:pos="539"/>
        </w:tabs>
        <w:spacing w:before="120"/>
        <w:ind w:left="538" w:hanging="357"/>
        <w:rPr>
          <w:rFonts w:eastAsia="PMingLiU"/>
          <w:lang w:eastAsia="en-US"/>
        </w:rPr>
      </w:pPr>
      <w:r>
        <w:rPr>
          <w:rFonts w:eastAsia="PMingLiU"/>
          <w:lang w:eastAsia="en-US"/>
        </w:rPr>
        <w:t>заводской номер и год изготовления;</w:t>
      </w:r>
    </w:p>
    <w:p>
      <w:pPr>
        <w:numPr>
          <w:ilvl w:val="0"/>
          <w:numId w:val="22"/>
        </w:numPr>
        <w:tabs>
          <w:tab w:val="left" w:pos="539"/>
        </w:tabs>
        <w:spacing w:before="120"/>
        <w:ind w:left="538" w:hanging="357"/>
        <w:rPr>
          <w:rFonts w:eastAsia="PMingLiU"/>
          <w:lang w:eastAsia="en-US"/>
        </w:rPr>
      </w:pPr>
      <w:r>
        <w:rPr>
          <w:rFonts w:eastAsia="PMingLiU"/>
          <w:lang w:eastAsia="en-US"/>
        </w:rPr>
        <w:t>максимальный момент на выходном валу;</w:t>
      </w:r>
    </w:p>
    <w:p>
      <w:pPr>
        <w:numPr>
          <w:ilvl w:val="0"/>
          <w:numId w:val="22"/>
        </w:numPr>
        <w:tabs>
          <w:tab w:val="left" w:pos="539"/>
        </w:tabs>
        <w:spacing w:before="120"/>
        <w:ind w:left="538" w:hanging="357"/>
        <w:rPr>
          <w:rFonts w:eastAsia="PMingLiU"/>
          <w:lang w:eastAsia="en-US"/>
        </w:rPr>
      </w:pPr>
      <w:r>
        <w:rPr>
          <w:rFonts w:eastAsia="PMingLiU"/>
          <w:lang w:eastAsia="en-US"/>
        </w:rPr>
        <w:t>напряжение;</w:t>
      </w:r>
    </w:p>
    <w:p>
      <w:pPr>
        <w:numPr>
          <w:ilvl w:val="0"/>
          <w:numId w:val="22"/>
        </w:numPr>
        <w:tabs>
          <w:tab w:val="left" w:pos="539"/>
        </w:tabs>
        <w:spacing w:before="120"/>
        <w:ind w:left="538" w:hanging="357"/>
        <w:rPr>
          <w:rFonts w:eastAsia="PMingLiU"/>
          <w:lang w:eastAsia="en-US"/>
        </w:rPr>
      </w:pPr>
      <w:r>
        <w:rPr>
          <w:rFonts w:eastAsia="PMingLiU"/>
          <w:lang w:eastAsia="en-US"/>
        </w:rPr>
        <w:t>потребляемая мощность;</w:t>
      </w:r>
    </w:p>
    <w:p>
      <w:pPr>
        <w:numPr>
          <w:ilvl w:val="0"/>
          <w:numId w:val="22"/>
        </w:numPr>
        <w:tabs>
          <w:tab w:val="left" w:pos="539"/>
        </w:tabs>
        <w:spacing w:before="120"/>
        <w:ind w:left="538" w:hanging="357"/>
        <w:rPr>
          <w:rFonts w:eastAsia="PMingLiU"/>
          <w:lang w:eastAsia="en-US"/>
        </w:rPr>
      </w:pPr>
      <w:r>
        <w:rPr>
          <w:rFonts w:eastAsia="PMingLiU"/>
          <w:lang w:eastAsia="en-US"/>
        </w:rPr>
        <w:t>число оборотов в минуту;</w:t>
      </w:r>
    </w:p>
    <w:p>
      <w:pPr>
        <w:numPr>
          <w:ilvl w:val="0"/>
          <w:numId w:val="22"/>
        </w:numPr>
        <w:tabs>
          <w:tab w:val="left" w:pos="539"/>
        </w:tabs>
        <w:spacing w:before="120"/>
        <w:ind w:left="538" w:hanging="357"/>
        <w:rPr>
          <w:rFonts w:eastAsia="PMingLiU"/>
          <w:lang w:eastAsia="en-US"/>
        </w:rPr>
      </w:pPr>
      <w:r>
        <w:rPr>
          <w:rFonts w:eastAsia="PMingLiU"/>
          <w:lang w:eastAsia="en-US"/>
        </w:rPr>
        <w:t>категория взрывозащиты;</w:t>
      </w:r>
    </w:p>
    <w:p>
      <w:pPr>
        <w:numPr>
          <w:ilvl w:val="0"/>
          <w:numId w:val="22"/>
        </w:numPr>
        <w:tabs>
          <w:tab w:val="left" w:pos="539"/>
        </w:tabs>
        <w:spacing w:before="120"/>
        <w:ind w:left="538" w:hanging="357"/>
        <w:rPr>
          <w:rFonts w:eastAsia="PMingLiU"/>
          <w:lang w:eastAsia="en-US"/>
        </w:rPr>
      </w:pPr>
      <w:r>
        <w:rPr>
          <w:rFonts w:eastAsia="PMingLiU"/>
          <w:lang w:eastAsia="en-US"/>
        </w:rPr>
        <w:t>температурный класс или климатическое исполнение по ГОСТ</w:t>
      </w:r>
      <w:r>
        <w:rPr>
          <w:rFonts w:eastAsia="PMingLiU"/>
          <w:lang w:val="en-US" w:eastAsia="en-US"/>
        </w:rPr>
        <w:t> </w:t>
      </w:r>
      <w:r>
        <w:rPr>
          <w:rFonts w:eastAsia="PMingLiU"/>
          <w:lang w:eastAsia="en-US"/>
        </w:rPr>
        <w:t>15150;</w:t>
      </w:r>
    </w:p>
    <w:p>
      <w:pPr>
        <w:numPr>
          <w:ilvl w:val="0"/>
          <w:numId w:val="22"/>
        </w:numPr>
        <w:tabs>
          <w:tab w:val="left" w:pos="539"/>
        </w:tabs>
        <w:spacing w:before="120"/>
        <w:ind w:left="538" w:hanging="357"/>
        <w:rPr>
          <w:rFonts w:eastAsia="PMingLiU"/>
          <w:lang w:eastAsia="en-US"/>
        </w:rPr>
      </w:pPr>
      <w:r>
        <w:rPr>
          <w:rFonts w:eastAsia="PMingLiU"/>
          <w:lang w:eastAsia="en-US"/>
        </w:rPr>
        <w:t>масса, кг;</w:t>
      </w:r>
    </w:p>
    <w:p>
      <w:pPr>
        <w:numPr>
          <w:ilvl w:val="0"/>
          <w:numId w:val="22"/>
        </w:numPr>
        <w:tabs>
          <w:tab w:val="left" w:pos="539"/>
        </w:tabs>
        <w:spacing w:before="120"/>
        <w:ind w:left="538" w:hanging="357"/>
        <w:rPr>
          <w:rFonts w:eastAsia="PMingLiU"/>
          <w:lang w:eastAsia="en-US"/>
        </w:rPr>
      </w:pPr>
      <w:r>
        <w:rPr>
          <w:rFonts w:eastAsia="PMingLiU"/>
          <w:lang w:eastAsia="en-US"/>
        </w:rPr>
        <w:t>клеймо ОТК.</w:t>
      </w:r>
    </w:p>
    <w:p>
      <w:pPr>
        <w:widowControl w:val="0"/>
        <w:tabs>
          <w:tab w:val="left" w:pos="993"/>
        </w:tabs>
        <w:rPr>
          <w:rFonts w:eastAsia="PMingLiU"/>
          <w:spacing w:val="1"/>
          <w:lang w:eastAsia="en-US"/>
        </w:rPr>
      </w:pPr>
    </w:p>
    <w:p>
      <w:pPr>
        <w:widowControl w:val="0"/>
        <w:tabs>
          <w:tab w:val="left" w:pos="993"/>
        </w:tabs>
        <w:rPr>
          <w:rFonts w:eastAsia="PMingLiU"/>
          <w:spacing w:val="1"/>
          <w:lang w:eastAsia="en-US"/>
        </w:rPr>
      </w:pPr>
      <w:r>
        <w:rPr>
          <w:rFonts w:eastAsia="PMingLiU"/>
          <w:spacing w:val="1"/>
          <w:lang w:eastAsia="en-US"/>
        </w:rPr>
        <w:t>Обязательные знаки маркировки выполняются в соответствии с ГОСТ</w:t>
      </w:r>
      <w:r>
        <w:rPr>
          <w:rFonts w:eastAsia="PMingLiU"/>
          <w:spacing w:val="1"/>
          <w:lang w:val="en-US" w:eastAsia="en-US"/>
        </w:rPr>
        <w:t> </w:t>
      </w:r>
      <w:r>
        <w:rPr>
          <w:rFonts w:eastAsia="PMingLiU"/>
          <w:spacing w:val="1"/>
          <w:lang w:eastAsia="en-US"/>
        </w:rPr>
        <w:t>4666, для кранов шаровых предназначенных для эксплуатации в сероводородсодержащих средах, должна быть нанесена маркировка «</w:t>
      </w:r>
      <w:r>
        <w:rPr>
          <w:rFonts w:eastAsia="PMingLiU"/>
          <w:spacing w:val="1"/>
          <w:lang w:val="en-US" w:eastAsia="en-US"/>
        </w:rPr>
        <w:t>H</w:t>
      </w:r>
      <w:r>
        <w:rPr>
          <w:rFonts w:eastAsia="PMingLiU"/>
          <w:spacing w:val="1"/>
          <w:vertAlign w:val="subscript"/>
          <w:lang w:eastAsia="en-US"/>
        </w:rPr>
        <w:t>2</w:t>
      </w:r>
      <w:r>
        <w:rPr>
          <w:rFonts w:eastAsia="PMingLiU"/>
          <w:spacing w:val="1"/>
          <w:lang w:val="en-US" w:eastAsia="en-US"/>
        </w:rPr>
        <w:t>S</w:t>
      </w:r>
      <w:r>
        <w:rPr>
          <w:rFonts w:eastAsia="PMingLiU"/>
          <w:spacing w:val="1"/>
          <w:lang w:eastAsia="en-US"/>
        </w:rPr>
        <w:t>».</w:t>
      </w:r>
    </w:p>
    <w:p>
      <w:pPr>
        <w:tabs>
          <w:tab w:val="left" w:pos="0"/>
          <w:tab w:val="left" w:pos="993"/>
        </w:tabs>
        <w:contextualSpacing/>
        <w:rPr>
          <w:rFonts w:eastAsia="Times New Roman"/>
        </w:rPr>
      </w:pPr>
    </w:p>
    <w:p>
      <w:pPr>
        <w:widowControl w:val="0"/>
        <w:tabs>
          <w:tab w:val="left" w:pos="993"/>
        </w:tabs>
        <w:rPr>
          <w:rFonts w:eastAsia="PMingLiU"/>
          <w:spacing w:val="1"/>
          <w:lang w:eastAsia="en-US"/>
        </w:rPr>
      </w:pPr>
      <w:r>
        <w:rPr>
          <w:rFonts w:eastAsia="PMingLiU"/>
          <w:spacing w:val="1"/>
          <w:lang w:eastAsia="en-US"/>
        </w:rPr>
        <w:t xml:space="preserve">Крепёжные изделия нормированной прочности должны иметь маркировку с указанием их группы прочности, выполненную согласно требованиям ГОСТ 1759.0, </w:t>
      </w:r>
      <w:r>
        <w:rPr>
          <w:rFonts w:eastAsia="Times New Roman"/>
        </w:rPr>
        <w:t>ГОСТ</w:t>
      </w:r>
      <w:r>
        <w:rPr>
          <w:rFonts w:eastAsia="Times New Roman"/>
          <w:lang w:val="en-US"/>
        </w:rPr>
        <w:t> </w:t>
      </w:r>
      <w:r>
        <w:rPr>
          <w:rFonts w:eastAsia="Times New Roman"/>
        </w:rPr>
        <w:t xml:space="preserve">11447, </w:t>
      </w:r>
      <w:r>
        <w:rPr>
          <w:rFonts w:eastAsia="PMingLiU"/>
          <w:spacing w:val="1"/>
          <w:lang w:eastAsia="en-US"/>
        </w:rPr>
        <w:t>ГОСТ 10495.</w:t>
      </w:r>
    </w:p>
    <w:p>
      <w:pPr>
        <w:widowControl w:val="0"/>
        <w:tabs>
          <w:tab w:val="left" w:pos="851"/>
          <w:tab w:val="left" w:pos="993"/>
        </w:tabs>
        <w:ind w:right="147"/>
        <w:rPr>
          <w:rFonts w:eastAsia="PMingLiU"/>
          <w:szCs w:val="22"/>
          <w:lang w:eastAsia="en-US"/>
        </w:rPr>
      </w:pPr>
    </w:p>
    <w:p>
      <w:pPr>
        <w:widowControl w:val="0"/>
        <w:tabs>
          <w:tab w:val="left" w:pos="993"/>
        </w:tabs>
        <w:rPr>
          <w:rFonts w:eastAsia="PMingLiU"/>
          <w:spacing w:val="1"/>
          <w:lang w:eastAsia="en-US"/>
        </w:rPr>
      </w:pPr>
      <w:r>
        <w:rPr>
          <w:rFonts w:eastAsia="PMingLiU"/>
          <w:spacing w:val="1"/>
          <w:lang w:eastAsia="en-US"/>
        </w:rPr>
        <w:t>Маркировка транспортной тары должна осуществляться по ГОСТ</w:t>
      </w:r>
      <w:r>
        <w:rPr>
          <w:rFonts w:eastAsia="PMingLiU"/>
          <w:spacing w:val="1"/>
          <w:lang w:val="en-US" w:eastAsia="en-US"/>
        </w:rPr>
        <w:t> </w:t>
      </w:r>
      <w:r>
        <w:rPr>
          <w:rFonts w:eastAsia="PMingLiU"/>
          <w:spacing w:val="1"/>
          <w:lang w:eastAsia="en-US"/>
        </w:rPr>
        <w:t>14192.</w:t>
      </w:r>
    </w:p>
    <w:p>
      <w:pPr>
        <w:widowControl w:val="0"/>
        <w:tabs>
          <w:tab w:val="left" w:pos="567"/>
          <w:tab w:val="left" w:pos="709"/>
          <w:tab w:val="left" w:pos="993"/>
        </w:tabs>
        <w:ind w:right="106"/>
        <w:rPr>
          <w:rFonts w:eastAsia="PMingLiU"/>
          <w:szCs w:val="22"/>
          <w:lang w:eastAsia="en-US"/>
        </w:rPr>
      </w:pPr>
    </w:p>
    <w:p>
      <w:pPr>
        <w:widowControl w:val="0"/>
        <w:tabs>
          <w:tab w:val="left" w:pos="567"/>
          <w:tab w:val="left" w:pos="709"/>
          <w:tab w:val="left" w:pos="993"/>
        </w:tabs>
        <w:ind w:right="106"/>
        <w:rPr>
          <w:rFonts w:eastAsia="PMingLiU"/>
          <w:szCs w:val="22"/>
          <w:lang w:eastAsia="en-US"/>
        </w:rPr>
      </w:pPr>
      <w:r>
        <w:rPr>
          <w:rFonts w:eastAsia="PMingLiU"/>
          <w:szCs w:val="22"/>
          <w:lang w:eastAsia="en-US"/>
        </w:rPr>
        <w:t>Завод-изготовитель кранов шаровых может вводить дополнительную маркировку по ГОСТ</w:t>
      </w:r>
      <w:r>
        <w:rPr>
          <w:rFonts w:eastAsia="PMingLiU"/>
          <w:szCs w:val="22"/>
          <w:lang w:val="en-US" w:eastAsia="en-US"/>
        </w:rPr>
        <w:t> </w:t>
      </w:r>
      <w:r>
        <w:rPr>
          <w:rFonts w:eastAsia="PMingLiU"/>
          <w:szCs w:val="22"/>
          <w:lang w:eastAsia="en-US"/>
        </w:rPr>
        <w:t>4666 и другие знаки, если это не противоречит настоящим Методическим указаниям.</w:t>
      </w:r>
    </w:p>
    <w:p>
      <w:pPr>
        <w:rPr>
          <w:rFonts w:eastAsia="PMingLiU"/>
          <w:szCs w:val="22"/>
          <w:lang w:eastAsia="en-US"/>
        </w:rPr>
      </w:pPr>
    </w:p>
    <w:p>
      <w:pPr>
        <w:tabs>
          <w:tab w:val="left" w:pos="0"/>
        </w:tabs>
        <w:suppressAutoHyphens/>
        <w:rPr>
          <w:rFonts w:eastAsia="Times New Roman"/>
          <w:b/>
        </w:rPr>
      </w:pPr>
      <w:r>
        <w:rPr>
          <w:rFonts w:eastAsia="Times New Roman"/>
          <w:szCs w:val="20"/>
        </w:rPr>
        <w:t>Опознавательная окраска крана шарового должна быть выполнена в соответствии с требованиями ГОСТ</w:t>
      </w:r>
      <w:r>
        <w:rPr>
          <w:rFonts w:eastAsia="Times New Roman"/>
          <w:szCs w:val="20"/>
          <w:lang w:val="en-US"/>
        </w:rPr>
        <w:t> </w:t>
      </w:r>
      <w:r>
        <w:rPr>
          <w:rFonts w:eastAsia="Times New Roman"/>
          <w:szCs w:val="20"/>
        </w:rPr>
        <w:t>4666</w:t>
      </w:r>
      <w:r>
        <w:rPr>
          <w:rFonts w:eastAsia="Times New Roman"/>
        </w:rPr>
        <w:t>.</w:t>
      </w:r>
    </w:p>
    <w:p>
      <w:pPr>
        <w:widowControl w:val="0"/>
        <w:rPr>
          <w:rFonts w:eastAsia="Times New Roman"/>
        </w:rPr>
      </w:pPr>
    </w:p>
    <w:p>
      <w:pPr>
        <w:widowControl w:val="0"/>
        <w:tabs>
          <w:tab w:val="left" w:pos="567"/>
        </w:tabs>
        <w:rPr>
          <w:rFonts w:eastAsia="PMingLiU"/>
          <w:spacing w:val="-2"/>
          <w:szCs w:val="22"/>
          <w:lang w:eastAsia="en-US"/>
        </w:rPr>
      </w:pPr>
    </w:p>
    <w:p>
      <w:pPr>
        <w:pStyle w:val="S20"/>
        <w:numPr>
          <w:ilvl w:val="1"/>
          <w:numId w:val="26"/>
        </w:numPr>
        <w:rPr>
          <w:rFonts w:eastAsia="Calibri" w:cs="Arial"/>
          <w:bCs/>
          <w:iCs/>
          <w:caps w:val="0"/>
          <w:szCs w:val="28"/>
        </w:rPr>
      </w:pPr>
      <w:bookmarkStart w:id="197" w:name="_Toc392607775"/>
      <w:bookmarkStart w:id="198" w:name="_Toc392695952"/>
      <w:bookmarkStart w:id="199" w:name="_Toc392696008"/>
      <w:bookmarkStart w:id="200" w:name="_Toc392752864"/>
      <w:bookmarkStart w:id="201" w:name="_Toc404615341"/>
      <w:bookmarkStart w:id="202" w:name="_Toc481662404"/>
      <w:bookmarkStart w:id="203" w:name="_Toc514169531"/>
      <w:r>
        <w:rPr>
          <w:rFonts w:eastAsia="Calibri" w:cs="Arial"/>
          <w:bCs/>
          <w:iCs/>
          <w:caps w:val="0"/>
          <w:szCs w:val="28"/>
        </w:rPr>
        <w:t>ТЕХНИЧЕСКИЕ УСЛУГИ ЗАВОДА-ИЗГОТОВИТЕЛЯ</w:t>
      </w:r>
      <w:bookmarkEnd w:id="197"/>
      <w:bookmarkEnd w:id="198"/>
      <w:bookmarkEnd w:id="199"/>
      <w:bookmarkEnd w:id="200"/>
      <w:bookmarkEnd w:id="201"/>
      <w:bookmarkEnd w:id="202"/>
      <w:bookmarkEnd w:id="203"/>
    </w:p>
    <w:p>
      <w:pPr>
        <w:rPr>
          <w:rFonts w:eastAsia="PMingLiU"/>
          <w:szCs w:val="22"/>
          <w:lang w:eastAsia="en-US"/>
        </w:rPr>
      </w:pPr>
    </w:p>
    <w:p>
      <w:pPr>
        <w:widowControl w:val="0"/>
        <w:tabs>
          <w:tab w:val="left" w:pos="993"/>
        </w:tabs>
        <w:rPr>
          <w:rFonts w:eastAsia="Times New Roman"/>
        </w:rPr>
      </w:pPr>
      <w:r>
        <w:rPr>
          <w:rFonts w:eastAsia="PMingLiU"/>
          <w:spacing w:val="1"/>
          <w:lang w:eastAsia="en-US"/>
        </w:rPr>
        <w:t xml:space="preserve">В объем технических услуг завода-изготовителя входит </w:t>
      </w:r>
      <w:r>
        <w:rPr>
          <w:rFonts w:eastAsia="Times New Roman"/>
        </w:rPr>
        <w:t>изготовление (включая проектирование) испытание и поставка крана шарового в составе комплекта.</w:t>
      </w:r>
    </w:p>
    <w:p>
      <w:pPr>
        <w:widowControl w:val="0"/>
        <w:tabs>
          <w:tab w:val="left" w:pos="5415"/>
        </w:tabs>
        <w:rPr>
          <w:rFonts w:eastAsia="PMingLiU"/>
          <w:spacing w:val="1"/>
          <w:lang w:eastAsia="en-US"/>
        </w:rPr>
      </w:pPr>
    </w:p>
    <w:p>
      <w:pPr>
        <w:widowControl w:val="0"/>
        <w:rPr>
          <w:rFonts w:eastAsia="Times New Roman"/>
        </w:rPr>
      </w:pPr>
      <w:bookmarkStart w:id="204" w:name="_Toc392607776"/>
      <w:bookmarkStart w:id="205" w:name="_Toc392695953"/>
      <w:bookmarkStart w:id="206" w:name="_Toc392696009"/>
      <w:bookmarkStart w:id="207" w:name="_Toc392752865"/>
      <w:bookmarkStart w:id="208" w:name="_Toc404615342"/>
    </w:p>
    <w:p>
      <w:pPr>
        <w:pStyle w:val="S20"/>
        <w:numPr>
          <w:ilvl w:val="1"/>
          <w:numId w:val="26"/>
        </w:numPr>
        <w:rPr>
          <w:rFonts w:eastAsia="Calibri" w:cs="Arial"/>
          <w:bCs/>
          <w:iCs/>
          <w:caps w:val="0"/>
          <w:szCs w:val="28"/>
        </w:rPr>
      </w:pPr>
      <w:bookmarkStart w:id="209" w:name="_Toc392607772"/>
      <w:bookmarkStart w:id="210" w:name="_Toc392695949"/>
      <w:bookmarkStart w:id="211" w:name="_Toc392696005"/>
      <w:bookmarkStart w:id="212" w:name="_Toc392752855"/>
      <w:bookmarkStart w:id="213" w:name="_Toc404615332"/>
      <w:bookmarkStart w:id="214" w:name="_Toc481662405"/>
      <w:bookmarkStart w:id="215" w:name="_Toc514169532"/>
      <w:r>
        <w:rPr>
          <w:rFonts w:eastAsia="Calibri" w:cs="Arial"/>
          <w:bCs/>
          <w:iCs/>
          <w:caps w:val="0"/>
          <w:szCs w:val="28"/>
        </w:rPr>
        <w:t>ТРЕБОВАНИЯ К КОМПЛЕКТ</w:t>
      </w:r>
      <w:bookmarkEnd w:id="209"/>
      <w:bookmarkEnd w:id="210"/>
      <w:bookmarkEnd w:id="211"/>
      <w:bookmarkEnd w:id="212"/>
      <w:r>
        <w:rPr>
          <w:rFonts w:eastAsia="Calibri" w:cs="Arial"/>
          <w:bCs/>
          <w:iCs/>
          <w:caps w:val="0"/>
          <w:szCs w:val="28"/>
        </w:rPr>
        <w:t>НОСТИ ПОСТАВКИ</w:t>
      </w:r>
      <w:bookmarkEnd w:id="213"/>
      <w:bookmarkEnd w:id="214"/>
      <w:bookmarkEnd w:id="215"/>
    </w:p>
    <w:p>
      <w:pPr>
        <w:rPr>
          <w:rFonts w:eastAsia="PMingLiU"/>
          <w:szCs w:val="22"/>
          <w:lang w:eastAsia="en-US"/>
        </w:rPr>
      </w:pPr>
    </w:p>
    <w:p>
      <w:pPr>
        <w:widowControl w:val="0"/>
        <w:tabs>
          <w:tab w:val="left" w:pos="1506"/>
        </w:tabs>
        <w:rPr>
          <w:rFonts w:eastAsia="PMingLiU"/>
          <w:szCs w:val="22"/>
          <w:lang w:eastAsia="en-US"/>
        </w:rPr>
      </w:pPr>
      <w:r>
        <w:rPr>
          <w:rFonts w:eastAsia="PMingLiU"/>
          <w:szCs w:val="22"/>
          <w:lang w:eastAsia="en-US"/>
        </w:rPr>
        <w:t>В</w:t>
      </w:r>
      <w:r>
        <w:rPr>
          <w:rFonts w:eastAsia="PMingLiU"/>
          <w:spacing w:val="-3"/>
          <w:szCs w:val="22"/>
          <w:lang w:eastAsia="en-US"/>
        </w:rPr>
        <w:t xml:space="preserve"> </w:t>
      </w:r>
      <w:r>
        <w:rPr>
          <w:rFonts w:eastAsia="PMingLiU"/>
          <w:spacing w:val="-2"/>
          <w:szCs w:val="22"/>
          <w:lang w:eastAsia="en-US"/>
        </w:rPr>
        <w:t>комплект</w:t>
      </w:r>
      <w:r>
        <w:rPr>
          <w:rFonts w:eastAsia="PMingLiU"/>
          <w:spacing w:val="-3"/>
          <w:szCs w:val="22"/>
          <w:lang w:eastAsia="en-US"/>
        </w:rPr>
        <w:t xml:space="preserve"> </w:t>
      </w:r>
      <w:r>
        <w:rPr>
          <w:rFonts w:eastAsia="PMingLiU"/>
          <w:spacing w:val="-2"/>
          <w:szCs w:val="22"/>
          <w:lang w:eastAsia="en-US"/>
        </w:rPr>
        <w:t>поставки</w:t>
      </w:r>
      <w:r>
        <w:rPr>
          <w:rFonts w:eastAsia="PMingLiU"/>
          <w:szCs w:val="22"/>
          <w:lang w:eastAsia="en-US"/>
        </w:rPr>
        <w:t xml:space="preserve"> крана шарового должны </w:t>
      </w:r>
      <w:r>
        <w:rPr>
          <w:rFonts w:eastAsia="PMingLiU"/>
          <w:spacing w:val="-3"/>
          <w:szCs w:val="22"/>
          <w:lang w:eastAsia="en-US"/>
        </w:rPr>
        <w:t>входить:</w:t>
      </w:r>
    </w:p>
    <w:p>
      <w:pPr>
        <w:numPr>
          <w:ilvl w:val="0"/>
          <w:numId w:val="12"/>
        </w:numPr>
        <w:tabs>
          <w:tab w:val="left" w:pos="539"/>
        </w:tabs>
        <w:spacing w:before="120"/>
        <w:ind w:left="538" w:hanging="357"/>
        <w:rPr>
          <w:rFonts w:eastAsia="Times New Roman"/>
        </w:rPr>
      </w:pPr>
      <w:r>
        <w:rPr>
          <w:rFonts w:eastAsia="Times New Roman"/>
        </w:rPr>
        <w:t xml:space="preserve">полностью собранный кран шаровой стальной со всеми деталями, узлами и комплектующими изделиями </w:t>
      </w:r>
      <w:r>
        <w:t>в соответствии со спецификацией;</w:t>
      </w:r>
    </w:p>
    <w:p>
      <w:pPr>
        <w:numPr>
          <w:ilvl w:val="0"/>
          <w:numId w:val="12"/>
        </w:numPr>
        <w:tabs>
          <w:tab w:val="left" w:pos="539"/>
        </w:tabs>
        <w:spacing w:before="120"/>
        <w:ind w:left="538" w:hanging="357"/>
        <w:rPr>
          <w:rFonts w:eastAsia="Times New Roman"/>
        </w:rPr>
      </w:pPr>
      <w:r>
        <w:rPr>
          <w:rFonts w:eastAsia="Times New Roman"/>
        </w:rPr>
        <w:lastRenderedPageBreak/>
        <w:t>комплект ответных фланцев с крепежными изделиями и прокладками (для крана шарового стального с фланцевым присоединением к трубопроводу), данный комплект должен быть присоединен к крану шаровому стальному;</w:t>
      </w:r>
    </w:p>
    <w:p>
      <w:pPr>
        <w:numPr>
          <w:ilvl w:val="0"/>
          <w:numId w:val="37"/>
        </w:numPr>
        <w:tabs>
          <w:tab w:val="left" w:pos="539"/>
        </w:tabs>
        <w:spacing w:before="120"/>
        <w:ind w:left="538" w:hanging="357"/>
        <w:rPr>
          <w:rFonts w:eastAsia="Times New Roman"/>
        </w:rPr>
      </w:pPr>
      <w:r>
        <w:rPr>
          <w:rFonts w:eastAsia="Times New Roman"/>
        </w:rPr>
        <w:t>комплект ЗИП (комплект деталей и узлов на период гарантийного срока эксплуатации).</w:t>
      </w:r>
    </w:p>
    <w:p>
      <w:pPr>
        <w:pStyle w:val="S0"/>
        <w:rPr>
          <w:rFonts w:eastAsia="PMingLiU"/>
          <w:lang w:eastAsia="en-US"/>
        </w:rPr>
      </w:pPr>
    </w:p>
    <w:p>
      <w:pPr>
        <w:pStyle w:val="S0"/>
        <w:rPr>
          <w:rFonts w:eastAsia="PMingLiU"/>
          <w:lang w:eastAsia="en-US"/>
        </w:rPr>
      </w:pPr>
    </w:p>
    <w:p>
      <w:pPr>
        <w:pStyle w:val="S20"/>
        <w:numPr>
          <w:ilvl w:val="1"/>
          <w:numId w:val="26"/>
        </w:numPr>
        <w:rPr>
          <w:rFonts w:eastAsia="Calibri" w:cs="Arial"/>
          <w:bCs/>
          <w:iCs/>
          <w:caps w:val="0"/>
          <w:szCs w:val="28"/>
        </w:rPr>
      </w:pPr>
      <w:bookmarkStart w:id="216" w:name="_Toc392607770"/>
      <w:bookmarkStart w:id="217" w:name="_Toc392695947"/>
      <w:bookmarkStart w:id="218" w:name="_Toc392696003"/>
      <w:bookmarkStart w:id="219" w:name="_Toc392752850"/>
      <w:bookmarkStart w:id="220" w:name="_Toc404615327"/>
      <w:bookmarkStart w:id="221" w:name="_Toc481662406"/>
      <w:bookmarkStart w:id="222" w:name="_Toc514169533"/>
      <w:r>
        <w:rPr>
          <w:rFonts w:eastAsia="Calibri" w:cs="Arial"/>
          <w:bCs/>
          <w:iCs/>
          <w:caps w:val="0"/>
          <w:szCs w:val="28"/>
        </w:rPr>
        <w:t>ТРЕБОВАНИЯ К ДОКУМЕНТАЦИ</w:t>
      </w:r>
      <w:bookmarkEnd w:id="216"/>
      <w:bookmarkEnd w:id="217"/>
      <w:bookmarkEnd w:id="218"/>
      <w:bookmarkEnd w:id="219"/>
      <w:bookmarkEnd w:id="220"/>
      <w:r>
        <w:rPr>
          <w:rFonts w:eastAsia="Calibri" w:cs="Arial"/>
          <w:bCs/>
          <w:iCs/>
          <w:caps w:val="0"/>
          <w:szCs w:val="28"/>
        </w:rPr>
        <w:t>И И ТЕХНИЧЕСКИМ ДАННЫМ</w:t>
      </w:r>
      <w:bookmarkEnd w:id="221"/>
      <w:bookmarkEnd w:id="222"/>
    </w:p>
    <w:p>
      <w:pPr>
        <w:pStyle w:val="S0"/>
        <w:rPr>
          <w:rFonts w:eastAsia="Calibri"/>
        </w:rPr>
      </w:pPr>
    </w:p>
    <w:p>
      <w:pPr>
        <w:pStyle w:val="S0"/>
      </w:pPr>
      <w:r>
        <w:t>В сопроводительной документации завод-изготовитель в обязательном порядке должен изложить порядок и способ утилизации оборудования после утраты ими потребительских свойств, включая упаковку в соответствии с требованиями Федерального закона от 24.06.1998 № 89-ФЗ «Об отходах производства и потребления».</w:t>
      </w:r>
    </w:p>
    <w:p>
      <w:pPr>
        <w:pStyle w:val="a7"/>
        <w:widowControl w:val="0"/>
        <w:tabs>
          <w:tab w:val="left" w:pos="1520"/>
        </w:tabs>
        <w:spacing w:after="0"/>
        <w:ind w:right="108"/>
        <w:rPr>
          <w:highlight w:val="lightGray"/>
        </w:rPr>
      </w:pPr>
    </w:p>
    <w:p>
      <w:pPr>
        <w:pStyle w:val="S0"/>
      </w:pPr>
      <w:r>
        <w:t>Перечень технической документации и сроки ее предоставления заводом-изготовителем кранов шаровых приведены в Таблице 28.</w:t>
      </w:r>
    </w:p>
    <w:p>
      <w:pPr>
        <w:pStyle w:val="S0"/>
      </w:pPr>
    </w:p>
    <w:p>
      <w:pPr>
        <w:pStyle w:val="S0"/>
      </w:pPr>
      <w:r>
        <w:t>Сроки предоставления технической документации считать в календарных днях, с даты заключения договора поставки крана шарового заводом-изготовителем.</w:t>
      </w:r>
    </w:p>
    <w:p>
      <w:pPr>
        <w:pStyle w:val="M"/>
        <w:rPr>
          <w:lang w:eastAsia="ru-RU"/>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bookmarkStart w:id="223" w:name="_Ref458611104"/>
      <w:r>
        <w:rPr>
          <w:rFonts w:ascii="Arial" w:eastAsia="Times New Roman" w:hAnsi="Arial"/>
          <w:b/>
          <w:noProof/>
          <w:sz w:val="20"/>
        </w:rPr>
        <w:t>28</w:t>
      </w:r>
      <w:bookmarkEnd w:id="223"/>
      <w:r>
        <w:rPr>
          <w:rFonts w:ascii="Arial" w:eastAsia="Times New Roman" w:hAnsi="Arial"/>
          <w:b/>
          <w:noProof/>
          <w:sz w:val="20"/>
        </w:rPr>
        <w:fldChar w:fldCharType="end"/>
      </w:r>
    </w:p>
    <w:p>
      <w:pPr>
        <w:pStyle w:val="Sd"/>
        <w:spacing w:after="60"/>
        <w:rPr>
          <w:rFonts w:eastAsia="Calibri"/>
          <w:caps/>
        </w:rPr>
      </w:pPr>
      <w:r>
        <w:t>Перечень технической документации и сроки ее предоставления</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491"/>
        <w:gridCol w:w="1568"/>
        <w:gridCol w:w="5958"/>
        <w:gridCol w:w="1837"/>
      </w:tblGrid>
      <w:tr>
        <w:trPr>
          <w:cantSplit/>
          <w:trHeight w:val="393"/>
          <w:tblHeader/>
        </w:trPr>
        <w:tc>
          <w:tcPr>
            <w:tcW w:w="249" w:type="pct"/>
            <w:tcBorders>
              <w:bottom w:val="single" w:sz="12" w:space="0" w:color="auto"/>
              <w:right w:val="single" w:sz="6" w:space="0" w:color="auto"/>
            </w:tcBorders>
            <w:shd w:val="clear" w:color="auto" w:fill="FFD200"/>
            <w:vAlign w:val="center"/>
          </w:tcPr>
          <w:p>
            <w:pPr>
              <w:pStyle w:val="S11"/>
              <w:spacing w:before="20" w:after="20"/>
              <w:rPr>
                <w:u w:color="000000"/>
              </w:rPr>
            </w:pPr>
            <w:r>
              <w:rPr>
                <w:u w:color="000000"/>
              </w:rPr>
              <w:t>№ п/п</w:t>
            </w:r>
          </w:p>
        </w:tc>
        <w:tc>
          <w:tcPr>
            <w:tcW w:w="796" w:type="pct"/>
            <w:tcBorders>
              <w:left w:val="single" w:sz="6" w:space="0" w:color="auto"/>
              <w:bottom w:val="single" w:sz="12" w:space="0" w:color="auto"/>
              <w:right w:val="single" w:sz="6" w:space="0" w:color="auto"/>
            </w:tcBorders>
            <w:shd w:val="clear" w:color="auto" w:fill="FFD200"/>
            <w:vAlign w:val="center"/>
          </w:tcPr>
          <w:p>
            <w:pPr>
              <w:pStyle w:val="S11"/>
              <w:spacing w:before="20" w:after="20"/>
              <w:rPr>
                <w:u w:color="000000"/>
              </w:rPr>
            </w:pPr>
            <w:r>
              <w:rPr>
                <w:u w:color="000000"/>
              </w:rPr>
              <w:t>КОМПЛЕКТ ТЕХНИЧЕСКОЙ ДОКУМЕНТАЦИИ</w:t>
            </w:r>
          </w:p>
        </w:tc>
        <w:tc>
          <w:tcPr>
            <w:tcW w:w="3023" w:type="pct"/>
            <w:tcBorders>
              <w:left w:val="single" w:sz="6" w:space="0" w:color="auto"/>
              <w:bottom w:val="single" w:sz="12" w:space="0" w:color="auto"/>
              <w:right w:val="single" w:sz="6" w:space="0" w:color="auto"/>
            </w:tcBorders>
            <w:shd w:val="clear" w:color="auto" w:fill="FFD200"/>
            <w:vAlign w:val="center"/>
          </w:tcPr>
          <w:p>
            <w:pPr>
              <w:pStyle w:val="S11"/>
              <w:spacing w:before="20" w:after="20"/>
            </w:pPr>
            <w:r>
              <w:t>НАИМЕНОВАНИЕ</w:t>
            </w:r>
          </w:p>
        </w:tc>
        <w:tc>
          <w:tcPr>
            <w:tcW w:w="932" w:type="pct"/>
            <w:tcBorders>
              <w:left w:val="single" w:sz="6" w:space="0" w:color="auto"/>
              <w:bottom w:val="single" w:sz="12" w:space="0" w:color="auto"/>
            </w:tcBorders>
            <w:shd w:val="clear" w:color="auto" w:fill="FFD200"/>
            <w:vAlign w:val="center"/>
          </w:tcPr>
          <w:p>
            <w:pPr>
              <w:pStyle w:val="S11"/>
              <w:spacing w:before="20" w:after="20"/>
              <w:rPr>
                <w:u w:color="000000"/>
              </w:rPr>
            </w:pPr>
            <w:r>
              <w:t>СРОК ПРЕДОСТАВЛЕНИЯ,</w:t>
            </w:r>
          </w:p>
        </w:tc>
      </w:tr>
      <w:tr>
        <w:trPr>
          <w:cantSplit/>
          <w:trHeight w:val="101"/>
          <w:tblHeader/>
        </w:trPr>
        <w:tc>
          <w:tcPr>
            <w:tcW w:w="249" w:type="pct"/>
            <w:tcBorders>
              <w:top w:val="single" w:sz="12" w:space="0" w:color="auto"/>
              <w:bottom w:val="single" w:sz="12" w:space="0" w:color="auto"/>
              <w:right w:val="single" w:sz="6" w:space="0" w:color="auto"/>
            </w:tcBorders>
            <w:shd w:val="clear" w:color="auto" w:fill="FFD200"/>
            <w:vAlign w:val="center"/>
          </w:tcPr>
          <w:p>
            <w:pPr>
              <w:pStyle w:val="S11"/>
              <w:spacing w:before="20" w:after="20"/>
              <w:rPr>
                <w:u w:color="000000"/>
              </w:rPr>
            </w:pPr>
            <w:r>
              <w:rPr>
                <w:u w:color="000000"/>
              </w:rPr>
              <w:t>1</w:t>
            </w:r>
          </w:p>
        </w:tc>
        <w:tc>
          <w:tcPr>
            <w:tcW w:w="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1"/>
              <w:spacing w:before="20" w:after="20"/>
              <w:rPr>
                <w:u w:color="000000"/>
              </w:rPr>
            </w:pPr>
            <w:r>
              <w:rPr>
                <w:u w:color="000000"/>
              </w:rPr>
              <w:t>2</w:t>
            </w:r>
          </w:p>
        </w:tc>
        <w:tc>
          <w:tcPr>
            <w:tcW w:w="302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1"/>
              <w:spacing w:before="20" w:after="20"/>
            </w:pPr>
            <w:r>
              <w:t>3</w:t>
            </w:r>
          </w:p>
        </w:tc>
        <w:tc>
          <w:tcPr>
            <w:tcW w:w="932" w:type="pct"/>
            <w:tcBorders>
              <w:top w:val="single" w:sz="12" w:space="0" w:color="auto"/>
              <w:left w:val="single" w:sz="6" w:space="0" w:color="auto"/>
              <w:bottom w:val="single" w:sz="12" w:space="0" w:color="auto"/>
            </w:tcBorders>
            <w:shd w:val="clear" w:color="auto" w:fill="FFD200"/>
            <w:vAlign w:val="center"/>
          </w:tcPr>
          <w:p>
            <w:pPr>
              <w:pStyle w:val="S11"/>
              <w:spacing w:before="20" w:after="20"/>
            </w:pPr>
            <w:r>
              <w:t>4</w:t>
            </w:r>
          </w:p>
        </w:tc>
      </w:tr>
      <w:tr>
        <w:trPr>
          <w:trHeight w:val="423"/>
        </w:trPr>
        <w:tc>
          <w:tcPr>
            <w:tcW w:w="249" w:type="pct"/>
            <w:vMerge w:val="restart"/>
            <w:tcBorders>
              <w:right w:val="single" w:sz="6" w:space="0" w:color="auto"/>
            </w:tcBorders>
            <w:shd w:val="clear" w:color="auto" w:fill="FFFFFF"/>
          </w:tcPr>
          <w:p>
            <w:pPr>
              <w:pStyle w:val="affd"/>
              <w:widowControl w:val="0"/>
              <w:numPr>
                <w:ilvl w:val="0"/>
                <w:numId w:val="44"/>
              </w:numPr>
              <w:spacing w:line="240" w:lineRule="auto"/>
              <w:ind w:left="0" w:firstLine="0"/>
              <w:contextualSpacing w:val="0"/>
              <w:jc w:val="left"/>
              <w:rPr>
                <w:rFonts w:ascii="Times New Roman" w:eastAsia="Times New Roman" w:hAnsi="Times New Roman"/>
                <w:sz w:val="20"/>
                <w:szCs w:val="20"/>
                <w:lang w:eastAsia="ru-RU"/>
              </w:rPr>
            </w:pPr>
          </w:p>
        </w:tc>
        <w:tc>
          <w:tcPr>
            <w:tcW w:w="796" w:type="pct"/>
            <w:vMerge w:val="restart"/>
            <w:tcBorders>
              <w:left w:val="single" w:sz="6" w:space="0" w:color="auto"/>
              <w:right w:val="single" w:sz="6" w:space="0" w:color="auto"/>
            </w:tcBorders>
            <w:shd w:val="clear" w:color="auto" w:fill="FFFFFF"/>
          </w:tcPr>
          <w:p>
            <w:pPr>
              <w:jc w:val="left"/>
              <w:rPr>
                <w:rFonts w:eastAsia="Times New Roman"/>
                <w:sz w:val="20"/>
                <w:szCs w:val="20"/>
              </w:rPr>
            </w:pPr>
            <w:r>
              <w:rPr>
                <w:rFonts w:eastAsia="Times New Roman"/>
                <w:sz w:val="20"/>
                <w:szCs w:val="20"/>
              </w:rPr>
              <w:t>КД</w:t>
            </w:r>
          </w:p>
        </w:tc>
        <w:tc>
          <w:tcPr>
            <w:tcW w:w="3023" w:type="pct"/>
            <w:tcBorders>
              <w:left w:val="single" w:sz="6" w:space="0" w:color="auto"/>
              <w:bottom w:val="single" w:sz="6" w:space="0" w:color="auto"/>
              <w:right w:val="single" w:sz="6" w:space="0" w:color="auto"/>
            </w:tcBorders>
            <w:shd w:val="clear" w:color="auto" w:fill="FFFFFF"/>
          </w:tcPr>
          <w:p>
            <w:pPr>
              <w:numPr>
                <w:ilvl w:val="0"/>
                <w:numId w:val="43"/>
              </w:numPr>
              <w:tabs>
                <w:tab w:val="left" w:pos="539"/>
              </w:tabs>
              <w:spacing w:before="120"/>
              <w:ind w:left="538" w:hanging="357"/>
              <w:jc w:val="left"/>
              <w:rPr>
                <w:rFonts w:eastAsia="PMingLiU"/>
                <w:sz w:val="20"/>
                <w:szCs w:val="20"/>
              </w:rPr>
            </w:pPr>
            <w:r>
              <w:rPr>
                <w:rFonts w:eastAsia="PMingLiU"/>
                <w:sz w:val="20"/>
                <w:szCs w:val="20"/>
              </w:rPr>
              <w:t>технические характеристики крана шарового с показателями, указанными в Таблице 3 настоящих Методических указаний;</w:t>
            </w:r>
          </w:p>
          <w:p>
            <w:pPr>
              <w:numPr>
                <w:ilvl w:val="0"/>
                <w:numId w:val="43"/>
              </w:numPr>
              <w:tabs>
                <w:tab w:val="left" w:pos="539"/>
              </w:tabs>
              <w:spacing w:before="120"/>
              <w:ind w:left="538" w:hanging="357"/>
              <w:jc w:val="left"/>
              <w:rPr>
                <w:rFonts w:eastAsia="PMingLiU"/>
                <w:sz w:val="20"/>
                <w:szCs w:val="20"/>
              </w:rPr>
            </w:pPr>
            <w:r>
              <w:rPr>
                <w:rFonts w:eastAsia="PMingLiU"/>
                <w:sz w:val="20"/>
                <w:szCs w:val="20"/>
              </w:rPr>
              <w:t>сметы, учитывающие все затраты на поставляемое оборудование (в соответствии со спецификацией изделий и материалов);</w:t>
            </w:r>
          </w:p>
          <w:p>
            <w:pPr>
              <w:numPr>
                <w:ilvl w:val="0"/>
                <w:numId w:val="43"/>
              </w:numPr>
              <w:tabs>
                <w:tab w:val="left" w:pos="539"/>
              </w:tabs>
              <w:spacing w:before="120"/>
              <w:ind w:left="538" w:hanging="357"/>
              <w:jc w:val="left"/>
              <w:rPr>
                <w:rFonts w:eastAsia="PMingLiU"/>
                <w:sz w:val="20"/>
                <w:szCs w:val="20"/>
              </w:rPr>
            </w:pPr>
            <w:r>
              <w:rPr>
                <w:rFonts w:eastAsia="PMingLiU"/>
                <w:sz w:val="20"/>
                <w:szCs w:val="20"/>
              </w:rPr>
              <w:t>габаритные чертежи крана шарового;</w:t>
            </w:r>
          </w:p>
          <w:p>
            <w:pPr>
              <w:numPr>
                <w:ilvl w:val="0"/>
                <w:numId w:val="43"/>
              </w:numPr>
              <w:tabs>
                <w:tab w:val="left" w:pos="539"/>
              </w:tabs>
              <w:spacing w:before="120"/>
              <w:ind w:left="538" w:hanging="357"/>
              <w:jc w:val="left"/>
              <w:rPr>
                <w:rFonts w:eastAsia="PMingLiU"/>
                <w:sz w:val="20"/>
                <w:szCs w:val="20"/>
              </w:rPr>
            </w:pPr>
            <w:r>
              <w:rPr>
                <w:rFonts w:eastAsia="PMingLiU"/>
                <w:sz w:val="20"/>
                <w:szCs w:val="20"/>
              </w:rPr>
              <w:t>чертеж поперечного сечения арматуры с указанием материального и конструктивного исполнения</w:t>
            </w:r>
          </w:p>
          <w:p>
            <w:pPr>
              <w:numPr>
                <w:ilvl w:val="0"/>
                <w:numId w:val="43"/>
              </w:numPr>
              <w:tabs>
                <w:tab w:val="left" w:pos="539"/>
              </w:tabs>
              <w:spacing w:before="120"/>
              <w:ind w:left="538" w:hanging="357"/>
              <w:jc w:val="left"/>
              <w:rPr>
                <w:rFonts w:eastAsia="PMingLiU"/>
                <w:sz w:val="20"/>
                <w:szCs w:val="20"/>
              </w:rPr>
            </w:pPr>
            <w:r>
              <w:rPr>
                <w:rFonts w:eastAsia="PMingLiU"/>
                <w:sz w:val="20"/>
                <w:szCs w:val="20"/>
              </w:rPr>
              <w:t>спецификации на все виды оборудования, изделий и материалов крана шарового;</w:t>
            </w:r>
          </w:p>
          <w:p>
            <w:pPr>
              <w:numPr>
                <w:ilvl w:val="0"/>
                <w:numId w:val="43"/>
              </w:numPr>
              <w:tabs>
                <w:tab w:val="left" w:pos="539"/>
              </w:tabs>
              <w:spacing w:before="120"/>
              <w:ind w:left="538" w:hanging="357"/>
              <w:jc w:val="left"/>
              <w:rPr>
                <w:rFonts w:eastAsia="PMingLiU"/>
                <w:sz w:val="20"/>
                <w:szCs w:val="20"/>
              </w:rPr>
            </w:pPr>
            <w:r>
              <w:rPr>
                <w:rFonts w:eastAsia="PMingLiU"/>
                <w:sz w:val="20"/>
                <w:szCs w:val="20"/>
              </w:rPr>
              <w:t>схемы соединений и подключений внешних проводок;</w:t>
            </w:r>
          </w:p>
          <w:p>
            <w:pPr>
              <w:numPr>
                <w:ilvl w:val="0"/>
                <w:numId w:val="43"/>
              </w:numPr>
              <w:tabs>
                <w:tab w:val="left" w:pos="539"/>
              </w:tabs>
              <w:spacing w:before="120"/>
              <w:ind w:left="538" w:hanging="357"/>
              <w:jc w:val="left"/>
              <w:rPr>
                <w:rFonts w:eastAsia="PMingLiU"/>
                <w:sz w:val="20"/>
                <w:szCs w:val="20"/>
                <w:lang w:eastAsia="en-US"/>
              </w:rPr>
            </w:pPr>
            <w:r>
              <w:rPr>
                <w:rFonts w:eastAsia="PMingLiU"/>
                <w:sz w:val="20"/>
                <w:szCs w:val="20"/>
                <w:lang w:eastAsia="en-US"/>
              </w:rPr>
              <w:t>схемы сборки привода, технические характеристики;</w:t>
            </w:r>
          </w:p>
          <w:p>
            <w:pPr>
              <w:numPr>
                <w:ilvl w:val="0"/>
                <w:numId w:val="43"/>
              </w:numPr>
              <w:tabs>
                <w:tab w:val="left" w:pos="539"/>
              </w:tabs>
              <w:spacing w:before="120"/>
              <w:ind w:left="538" w:hanging="357"/>
              <w:jc w:val="left"/>
              <w:rPr>
                <w:sz w:val="20"/>
                <w:szCs w:val="20"/>
              </w:rPr>
            </w:pPr>
            <w:r>
              <w:rPr>
                <w:rFonts w:eastAsia="PMingLiU"/>
                <w:sz w:val="20"/>
                <w:szCs w:val="20"/>
                <w:lang w:eastAsia="en-US"/>
              </w:rPr>
              <w:t>схемы опор крана шарового</w:t>
            </w:r>
          </w:p>
        </w:tc>
        <w:tc>
          <w:tcPr>
            <w:tcW w:w="932" w:type="pct"/>
            <w:tcBorders>
              <w:left w:val="single" w:sz="6" w:space="0" w:color="auto"/>
              <w:bottom w:val="single" w:sz="6" w:space="0" w:color="auto"/>
            </w:tcBorders>
            <w:shd w:val="clear" w:color="auto" w:fill="FFFFFF"/>
          </w:tcPr>
          <w:p>
            <w:pPr>
              <w:tabs>
                <w:tab w:val="left" w:pos="539"/>
              </w:tabs>
              <w:jc w:val="left"/>
              <w:rPr>
                <w:rFonts w:eastAsia="Times New Roman"/>
                <w:sz w:val="20"/>
                <w:szCs w:val="20"/>
              </w:rPr>
            </w:pPr>
            <w:r>
              <w:rPr>
                <w:rFonts w:eastAsia="Times New Roman"/>
                <w:sz w:val="20"/>
                <w:szCs w:val="20"/>
              </w:rPr>
              <w:t>Не более 14 календарных дней</w:t>
            </w:r>
          </w:p>
        </w:tc>
      </w:tr>
      <w:tr>
        <w:trPr>
          <w:trHeight w:val="423"/>
        </w:trPr>
        <w:tc>
          <w:tcPr>
            <w:tcW w:w="249" w:type="pct"/>
            <w:vMerge/>
            <w:tcBorders>
              <w:bottom w:val="single" w:sz="6" w:space="0" w:color="auto"/>
              <w:right w:val="single" w:sz="6" w:space="0" w:color="auto"/>
            </w:tcBorders>
            <w:shd w:val="clear" w:color="auto" w:fill="FFFFFF"/>
          </w:tcPr>
          <w:p>
            <w:pPr>
              <w:pStyle w:val="affd"/>
              <w:widowControl w:val="0"/>
              <w:numPr>
                <w:ilvl w:val="0"/>
                <w:numId w:val="44"/>
              </w:numPr>
              <w:spacing w:line="240" w:lineRule="auto"/>
              <w:ind w:left="0" w:firstLine="0"/>
              <w:contextualSpacing w:val="0"/>
              <w:jc w:val="left"/>
              <w:rPr>
                <w:rFonts w:ascii="Times New Roman" w:eastAsia="Times New Roman" w:hAnsi="Times New Roman"/>
                <w:sz w:val="20"/>
                <w:szCs w:val="20"/>
                <w:lang w:eastAsia="ru-RU"/>
              </w:rPr>
            </w:pPr>
          </w:p>
        </w:tc>
        <w:tc>
          <w:tcPr>
            <w:tcW w:w="796" w:type="pct"/>
            <w:vMerge/>
            <w:tcBorders>
              <w:left w:val="single" w:sz="6" w:space="0" w:color="auto"/>
              <w:bottom w:val="single" w:sz="6" w:space="0" w:color="auto"/>
              <w:right w:val="single" w:sz="6" w:space="0" w:color="auto"/>
            </w:tcBorders>
            <w:shd w:val="clear" w:color="auto" w:fill="FFFFFF"/>
          </w:tcPr>
          <w:p>
            <w:pPr>
              <w:jc w:val="left"/>
              <w:rPr>
                <w:rFonts w:eastAsia="Times New Roman"/>
                <w:sz w:val="20"/>
                <w:szCs w:val="20"/>
              </w:rPr>
            </w:pPr>
          </w:p>
        </w:tc>
        <w:tc>
          <w:tcPr>
            <w:tcW w:w="3023" w:type="pct"/>
            <w:tcBorders>
              <w:top w:val="single" w:sz="6" w:space="0" w:color="auto"/>
              <w:left w:val="single" w:sz="6" w:space="0" w:color="auto"/>
              <w:bottom w:val="single" w:sz="6" w:space="0" w:color="auto"/>
              <w:right w:val="single" w:sz="6" w:space="0" w:color="auto"/>
            </w:tcBorders>
            <w:shd w:val="clear" w:color="auto" w:fill="FFFFFF"/>
          </w:tcPr>
          <w:p>
            <w:pPr>
              <w:numPr>
                <w:ilvl w:val="0"/>
                <w:numId w:val="43"/>
              </w:numPr>
              <w:tabs>
                <w:tab w:val="left" w:pos="539"/>
              </w:tabs>
              <w:spacing w:before="120"/>
              <w:ind w:left="538" w:hanging="357"/>
              <w:jc w:val="left"/>
              <w:rPr>
                <w:rFonts w:eastAsia="PMingLiU"/>
                <w:sz w:val="20"/>
                <w:szCs w:val="20"/>
              </w:rPr>
            </w:pPr>
            <w:r>
              <w:rPr>
                <w:rFonts w:eastAsia="PMingLiU"/>
                <w:sz w:val="20"/>
                <w:szCs w:val="20"/>
              </w:rPr>
              <w:t>сметы, учитывающие все затраты на поставляемое оборудование (в соответствии со спецификацией изделий и материалов)</w:t>
            </w:r>
          </w:p>
        </w:tc>
        <w:tc>
          <w:tcPr>
            <w:tcW w:w="932" w:type="pct"/>
            <w:tcBorders>
              <w:top w:val="single" w:sz="6" w:space="0" w:color="auto"/>
              <w:left w:val="single" w:sz="6" w:space="0" w:color="auto"/>
              <w:bottom w:val="single" w:sz="6" w:space="0" w:color="auto"/>
            </w:tcBorders>
            <w:shd w:val="clear" w:color="auto" w:fill="FFFFFF"/>
          </w:tcPr>
          <w:p>
            <w:pPr>
              <w:tabs>
                <w:tab w:val="left" w:pos="539"/>
              </w:tabs>
              <w:jc w:val="left"/>
              <w:rPr>
                <w:rFonts w:eastAsia="Times New Roman"/>
                <w:sz w:val="20"/>
                <w:szCs w:val="20"/>
                <w:lang w:val="en-US"/>
              </w:rPr>
            </w:pPr>
            <w:r>
              <w:rPr>
                <w:rFonts w:eastAsia="Times New Roman"/>
                <w:sz w:val="20"/>
                <w:szCs w:val="20"/>
              </w:rPr>
              <w:t xml:space="preserve">Не более </w:t>
            </w:r>
            <w:r>
              <w:rPr>
                <w:rFonts w:eastAsia="Times New Roman"/>
                <w:sz w:val="20"/>
                <w:szCs w:val="20"/>
                <w:lang w:val="en-US"/>
              </w:rPr>
              <w:t>30</w:t>
            </w:r>
            <w:r>
              <w:rPr>
                <w:rFonts w:eastAsia="Times New Roman"/>
                <w:sz w:val="20"/>
                <w:szCs w:val="20"/>
              </w:rPr>
              <w:t xml:space="preserve"> календарных дней</w:t>
            </w:r>
          </w:p>
        </w:tc>
      </w:tr>
      <w:tr>
        <w:trPr>
          <w:trHeight w:val="391"/>
        </w:trPr>
        <w:tc>
          <w:tcPr>
            <w:tcW w:w="249" w:type="pct"/>
            <w:tcBorders>
              <w:top w:val="single" w:sz="6" w:space="0" w:color="auto"/>
              <w:bottom w:val="single" w:sz="6" w:space="0" w:color="auto"/>
              <w:right w:val="single" w:sz="6" w:space="0" w:color="auto"/>
            </w:tcBorders>
            <w:shd w:val="clear" w:color="auto" w:fill="FFFFFF"/>
          </w:tcPr>
          <w:p>
            <w:pPr>
              <w:pStyle w:val="affd"/>
              <w:widowControl w:val="0"/>
              <w:numPr>
                <w:ilvl w:val="0"/>
                <w:numId w:val="44"/>
              </w:numPr>
              <w:spacing w:line="240" w:lineRule="auto"/>
              <w:ind w:left="0" w:firstLine="0"/>
              <w:contextualSpacing w:val="0"/>
              <w:jc w:val="left"/>
              <w:rPr>
                <w:rFonts w:ascii="Times New Roman" w:eastAsia="Times New Roman" w:hAnsi="Times New Roman"/>
                <w:sz w:val="20"/>
                <w:szCs w:val="20"/>
                <w:lang w:eastAsia="ru-RU"/>
              </w:rPr>
            </w:pPr>
          </w:p>
        </w:tc>
        <w:tc>
          <w:tcPr>
            <w:tcW w:w="796" w:type="pct"/>
            <w:tcBorders>
              <w:top w:val="single" w:sz="6" w:space="0" w:color="auto"/>
              <w:left w:val="single" w:sz="6" w:space="0" w:color="auto"/>
              <w:bottom w:val="single" w:sz="6" w:space="0" w:color="auto"/>
              <w:right w:val="single" w:sz="6" w:space="0" w:color="auto"/>
            </w:tcBorders>
            <w:shd w:val="clear" w:color="auto" w:fill="FFFFFF"/>
          </w:tcPr>
          <w:p>
            <w:pPr>
              <w:jc w:val="left"/>
              <w:rPr>
                <w:rFonts w:eastAsia="Times New Roman"/>
                <w:sz w:val="20"/>
                <w:szCs w:val="20"/>
              </w:rPr>
            </w:pPr>
            <w:r>
              <w:rPr>
                <w:rFonts w:eastAsia="Times New Roman"/>
                <w:sz w:val="20"/>
                <w:szCs w:val="20"/>
              </w:rPr>
              <w:t>ЭД</w:t>
            </w:r>
          </w:p>
        </w:tc>
        <w:tc>
          <w:tcPr>
            <w:tcW w:w="3023" w:type="pct"/>
            <w:tcBorders>
              <w:top w:val="single" w:sz="6" w:space="0" w:color="auto"/>
              <w:left w:val="single" w:sz="6" w:space="0" w:color="auto"/>
              <w:bottom w:val="single" w:sz="6" w:space="0" w:color="auto"/>
              <w:right w:val="single" w:sz="6" w:space="0" w:color="auto"/>
            </w:tcBorders>
            <w:shd w:val="clear" w:color="auto" w:fill="FFFFFF"/>
          </w:tcPr>
          <w:p>
            <w:pPr>
              <w:tabs>
                <w:tab w:val="left" w:pos="539"/>
              </w:tabs>
              <w:jc w:val="left"/>
              <w:rPr>
                <w:rFonts w:eastAsia="Calibri" w:cstheme="minorBidi"/>
                <w:sz w:val="20"/>
                <w:szCs w:val="20"/>
                <w:lang w:eastAsia="en-US"/>
              </w:rPr>
            </w:pPr>
            <w:r>
              <w:rPr>
                <w:rFonts w:eastAsia="Calibri" w:cstheme="minorBidi"/>
                <w:sz w:val="20"/>
                <w:szCs w:val="20"/>
                <w:lang w:eastAsia="en-US"/>
              </w:rPr>
              <w:t>Паспорт и РЭ на краны шаровые должны соответствовать требованиям ГОСТ 2.601.</w:t>
            </w:r>
          </w:p>
          <w:p>
            <w:pPr>
              <w:tabs>
                <w:tab w:val="left" w:pos="539"/>
              </w:tabs>
              <w:spacing w:before="120"/>
              <w:jc w:val="left"/>
              <w:rPr>
                <w:rFonts w:eastAsia="Calibri" w:cstheme="minorBidi"/>
                <w:sz w:val="20"/>
                <w:szCs w:val="20"/>
                <w:lang w:eastAsia="en-US"/>
              </w:rPr>
            </w:pPr>
            <w:r>
              <w:rPr>
                <w:rFonts w:eastAsia="Calibri" w:cstheme="minorBidi"/>
                <w:sz w:val="20"/>
                <w:szCs w:val="20"/>
                <w:lang w:eastAsia="en-US"/>
              </w:rPr>
              <w:t>Требования к паспорту:</w:t>
            </w:r>
          </w:p>
          <w:p>
            <w:pPr>
              <w:numPr>
                <w:ilvl w:val="0"/>
                <w:numId w:val="43"/>
              </w:numPr>
              <w:tabs>
                <w:tab w:val="left" w:pos="539"/>
              </w:tabs>
              <w:spacing w:before="120"/>
              <w:ind w:left="541"/>
              <w:jc w:val="left"/>
              <w:rPr>
                <w:rFonts w:eastAsia="PMingLiU"/>
                <w:sz w:val="20"/>
                <w:szCs w:val="20"/>
              </w:rPr>
            </w:pPr>
            <w:r>
              <w:rPr>
                <w:rFonts w:eastAsia="PMingLiU"/>
                <w:sz w:val="20"/>
                <w:szCs w:val="20"/>
              </w:rPr>
              <w:t xml:space="preserve">Паспорт должен быть издан типографским способом. Формат паспорта – 210х297 мм. Импортное оборудование и инструмент должны иметь техническую документацию завода-изготовителя, в том числе и на русском языке, согласно Федеральным нормам и правилам в области промышленной безопасности «Правила безопасности в </w:t>
            </w:r>
            <w:r>
              <w:rPr>
                <w:rFonts w:eastAsia="PMingLiU"/>
                <w:sz w:val="20"/>
                <w:szCs w:val="20"/>
              </w:rPr>
              <w:lastRenderedPageBreak/>
              <w:t>нефтяной и газовой промышленности», утверждённым приказом Ростехнадзора от 12.03.2013 № 101.</w:t>
            </w:r>
          </w:p>
          <w:p>
            <w:pPr>
              <w:tabs>
                <w:tab w:val="left" w:pos="539"/>
              </w:tabs>
              <w:spacing w:before="120"/>
              <w:jc w:val="left"/>
              <w:rPr>
                <w:rFonts w:eastAsia="Calibri" w:cstheme="minorBidi"/>
                <w:sz w:val="20"/>
                <w:szCs w:val="20"/>
                <w:lang w:eastAsia="en-US"/>
              </w:rPr>
            </w:pPr>
            <w:r>
              <w:rPr>
                <w:rFonts w:eastAsia="Calibri" w:cstheme="minorBidi"/>
                <w:sz w:val="20"/>
                <w:szCs w:val="20"/>
                <w:lang w:eastAsia="en-US"/>
              </w:rPr>
              <w:t>Паспорт должен содержать:</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гарантия завода-изготовителя;</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протокол (акт) приемо-сдаточных испытаний;</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штамп ОТК.</w:t>
            </w:r>
          </w:p>
          <w:p>
            <w:pPr>
              <w:tabs>
                <w:tab w:val="left" w:pos="539"/>
              </w:tabs>
              <w:spacing w:before="120"/>
              <w:jc w:val="left"/>
              <w:rPr>
                <w:rFonts w:eastAsia="Calibri" w:cstheme="minorBidi"/>
                <w:sz w:val="20"/>
                <w:szCs w:val="20"/>
                <w:lang w:eastAsia="en-US"/>
              </w:rPr>
            </w:pPr>
            <w:r>
              <w:rPr>
                <w:rFonts w:eastAsia="Calibri" w:cstheme="minorBidi"/>
                <w:sz w:val="20"/>
                <w:szCs w:val="20"/>
                <w:lang w:eastAsia="en-US"/>
              </w:rPr>
              <w:t>Требования к РЭ:</w:t>
            </w:r>
          </w:p>
          <w:p>
            <w:pPr>
              <w:tabs>
                <w:tab w:val="left" w:pos="539"/>
              </w:tabs>
              <w:spacing w:before="120"/>
              <w:jc w:val="left"/>
              <w:rPr>
                <w:rFonts w:eastAsia="Calibri" w:cstheme="minorBidi"/>
                <w:sz w:val="20"/>
                <w:szCs w:val="20"/>
                <w:lang w:eastAsia="en-US"/>
              </w:rPr>
            </w:pPr>
            <w:r>
              <w:rPr>
                <w:rFonts w:eastAsia="Calibri" w:cstheme="minorBidi"/>
                <w:sz w:val="20"/>
                <w:szCs w:val="20"/>
                <w:lang w:eastAsia="en-US"/>
              </w:rPr>
              <w:t>РЭ должно содержать следующие разделы:</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описание и работа;</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использование по назначению;</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техническое обслуживание;</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ремонт;</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хранение;</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транспортирование;</w:t>
            </w:r>
          </w:p>
          <w:p>
            <w:pPr>
              <w:numPr>
                <w:ilvl w:val="0"/>
                <w:numId w:val="43"/>
              </w:numPr>
              <w:tabs>
                <w:tab w:val="left" w:pos="539"/>
              </w:tabs>
              <w:spacing w:before="120"/>
              <w:ind w:left="538" w:hanging="357"/>
              <w:jc w:val="left"/>
              <w:rPr>
                <w:rFonts w:eastAsia="Calibri" w:cstheme="minorBidi"/>
                <w:sz w:val="20"/>
                <w:szCs w:val="20"/>
                <w:lang w:eastAsia="en-US"/>
              </w:rPr>
            </w:pPr>
            <w:r>
              <w:rPr>
                <w:rFonts w:eastAsia="Calibri" w:cstheme="minorBidi"/>
                <w:sz w:val="20"/>
                <w:szCs w:val="20"/>
                <w:lang w:eastAsia="en-US"/>
              </w:rPr>
              <w:t>утилизация. В сопроводительной документации завод-изготовитель в обязательном порядке должен изложить порядок и способ утилизации оборудования после утраты им потребительских свойств, включая упаковку в соответствии с требованиями Федерального закона от 24.06.1998 № 89-ФЗ «Об отходах производства и потребления»;</w:t>
            </w:r>
          </w:p>
          <w:p>
            <w:pPr>
              <w:numPr>
                <w:ilvl w:val="0"/>
                <w:numId w:val="43"/>
              </w:numPr>
              <w:tabs>
                <w:tab w:val="left" w:pos="539"/>
              </w:tabs>
              <w:spacing w:before="120"/>
              <w:ind w:left="541"/>
              <w:jc w:val="left"/>
              <w:rPr>
                <w:rFonts w:eastAsia="Calibri" w:cstheme="minorBidi"/>
                <w:sz w:val="20"/>
                <w:szCs w:val="20"/>
                <w:lang w:eastAsia="en-US"/>
              </w:rPr>
            </w:pPr>
            <w:r>
              <w:rPr>
                <w:rFonts w:eastAsia="Calibri" w:cstheme="minorBidi"/>
                <w:sz w:val="20"/>
                <w:szCs w:val="20"/>
                <w:lang w:eastAsia="en-US"/>
              </w:rPr>
              <w:t>сборочный чертеж крана шарового, чертежи на детали и сборочные единицы и спецификации оборудования;</w:t>
            </w:r>
          </w:p>
          <w:p>
            <w:pPr>
              <w:numPr>
                <w:ilvl w:val="0"/>
                <w:numId w:val="43"/>
              </w:numPr>
              <w:tabs>
                <w:tab w:val="left" w:pos="539"/>
              </w:tabs>
              <w:spacing w:before="120"/>
              <w:ind w:left="541"/>
              <w:jc w:val="left"/>
              <w:rPr>
                <w:rFonts w:eastAsia="Calibri" w:cstheme="minorBidi"/>
                <w:sz w:val="20"/>
                <w:szCs w:val="20"/>
                <w:lang w:eastAsia="en-US"/>
              </w:rPr>
            </w:pPr>
            <w:r>
              <w:rPr>
                <w:rFonts w:eastAsia="Calibri" w:cstheme="minorBidi"/>
                <w:sz w:val="20"/>
                <w:szCs w:val="20"/>
                <w:lang w:eastAsia="en-US"/>
              </w:rPr>
              <w:t>перечень присоединительных элементов с паспортами на изделия в границах рамы;</w:t>
            </w:r>
          </w:p>
          <w:p>
            <w:pPr>
              <w:numPr>
                <w:ilvl w:val="0"/>
                <w:numId w:val="43"/>
              </w:numPr>
              <w:tabs>
                <w:tab w:val="left" w:pos="539"/>
              </w:tabs>
              <w:spacing w:before="120"/>
              <w:ind w:left="541"/>
              <w:jc w:val="left"/>
              <w:rPr>
                <w:sz w:val="20"/>
                <w:szCs w:val="20"/>
              </w:rPr>
            </w:pPr>
            <w:r>
              <w:rPr>
                <w:rFonts w:eastAsia="Calibri" w:cstheme="minorBidi"/>
                <w:sz w:val="20"/>
                <w:szCs w:val="20"/>
                <w:lang w:eastAsia="en-US"/>
              </w:rPr>
              <w:t>количество требуемого смазочного материала и его характеристики.</w:t>
            </w:r>
          </w:p>
          <w:p>
            <w:pPr>
              <w:tabs>
                <w:tab w:val="left" w:pos="539"/>
              </w:tabs>
              <w:spacing w:before="120"/>
              <w:jc w:val="left"/>
              <w:rPr>
                <w:rFonts w:eastAsia="Calibri" w:cstheme="minorBidi"/>
                <w:sz w:val="20"/>
                <w:szCs w:val="20"/>
                <w:lang w:eastAsia="en-US"/>
              </w:rPr>
            </w:pPr>
            <w:r>
              <w:rPr>
                <w:rFonts w:eastAsia="Calibri" w:cstheme="minorBidi"/>
                <w:sz w:val="20"/>
                <w:szCs w:val="20"/>
                <w:lang w:eastAsia="en-US"/>
              </w:rPr>
              <w:t>В паспорт на краны шаровые, предназначенные для эксплуатации в сероводородных средах, должны быть обязательно занесены результаты испытаний на стойкость к СКРН и HIC</w:t>
            </w:r>
          </w:p>
        </w:tc>
        <w:tc>
          <w:tcPr>
            <w:tcW w:w="932" w:type="pct"/>
            <w:tcBorders>
              <w:top w:val="single" w:sz="6" w:space="0" w:color="auto"/>
              <w:left w:val="single" w:sz="6" w:space="0" w:color="auto"/>
              <w:bottom w:val="single" w:sz="6" w:space="0" w:color="auto"/>
            </w:tcBorders>
            <w:shd w:val="clear" w:color="auto" w:fill="FFFFFF"/>
          </w:tcPr>
          <w:p>
            <w:pPr>
              <w:tabs>
                <w:tab w:val="left" w:pos="30"/>
              </w:tabs>
              <w:ind w:left="30" w:right="-57"/>
              <w:jc w:val="left"/>
              <w:rPr>
                <w:strike/>
                <w:sz w:val="20"/>
                <w:szCs w:val="20"/>
              </w:rPr>
            </w:pPr>
            <w:r>
              <w:rPr>
                <w:sz w:val="20"/>
                <w:szCs w:val="20"/>
              </w:rPr>
              <w:lastRenderedPageBreak/>
              <w:t>В день поставки оборудовани</w:t>
            </w:r>
            <w:r>
              <w:rPr>
                <w:strike/>
                <w:sz w:val="20"/>
                <w:szCs w:val="20"/>
              </w:rPr>
              <w:t>я</w:t>
            </w:r>
          </w:p>
        </w:tc>
      </w:tr>
      <w:tr>
        <w:trPr>
          <w:trHeight w:val="391"/>
        </w:trPr>
        <w:tc>
          <w:tcPr>
            <w:tcW w:w="249" w:type="pct"/>
            <w:tcBorders>
              <w:top w:val="single" w:sz="6" w:space="0" w:color="auto"/>
              <w:bottom w:val="single" w:sz="12" w:space="0" w:color="auto"/>
              <w:right w:val="single" w:sz="6" w:space="0" w:color="auto"/>
            </w:tcBorders>
            <w:shd w:val="clear" w:color="auto" w:fill="FFFFFF"/>
          </w:tcPr>
          <w:p>
            <w:pPr>
              <w:pStyle w:val="affd"/>
              <w:widowControl w:val="0"/>
              <w:numPr>
                <w:ilvl w:val="0"/>
                <w:numId w:val="44"/>
              </w:numPr>
              <w:spacing w:line="240" w:lineRule="auto"/>
              <w:ind w:left="0" w:firstLine="0"/>
              <w:contextualSpacing w:val="0"/>
              <w:jc w:val="left"/>
              <w:rPr>
                <w:rFonts w:ascii="Times New Roman" w:eastAsia="Times New Roman" w:hAnsi="Times New Roman"/>
                <w:sz w:val="20"/>
                <w:szCs w:val="20"/>
                <w:lang w:eastAsia="ru-RU"/>
              </w:rPr>
            </w:pPr>
          </w:p>
        </w:tc>
        <w:tc>
          <w:tcPr>
            <w:tcW w:w="796" w:type="pct"/>
            <w:tcBorders>
              <w:top w:val="single" w:sz="6" w:space="0" w:color="auto"/>
              <w:left w:val="single" w:sz="6" w:space="0" w:color="auto"/>
              <w:bottom w:val="single" w:sz="12" w:space="0" w:color="auto"/>
              <w:right w:val="single" w:sz="6" w:space="0" w:color="auto"/>
            </w:tcBorders>
            <w:shd w:val="clear" w:color="auto" w:fill="FFFFFF"/>
          </w:tcPr>
          <w:p>
            <w:pPr>
              <w:jc w:val="left"/>
              <w:rPr>
                <w:rFonts w:eastAsia="Times New Roman"/>
                <w:sz w:val="20"/>
                <w:szCs w:val="20"/>
              </w:rPr>
            </w:pPr>
            <w:r>
              <w:rPr>
                <w:rFonts w:eastAsia="Times New Roman"/>
                <w:sz w:val="20"/>
                <w:szCs w:val="20"/>
              </w:rPr>
              <w:t>РД</w:t>
            </w:r>
          </w:p>
        </w:tc>
        <w:tc>
          <w:tcPr>
            <w:tcW w:w="3023" w:type="pct"/>
            <w:tcBorders>
              <w:top w:val="single" w:sz="6" w:space="0" w:color="auto"/>
              <w:left w:val="single" w:sz="6" w:space="0" w:color="auto"/>
              <w:bottom w:val="single" w:sz="12" w:space="0" w:color="auto"/>
              <w:right w:val="single" w:sz="6" w:space="0" w:color="auto"/>
            </w:tcBorders>
            <w:shd w:val="clear" w:color="auto" w:fill="FFFFFF"/>
          </w:tcPr>
          <w:p>
            <w:pPr>
              <w:numPr>
                <w:ilvl w:val="0"/>
                <w:numId w:val="43"/>
              </w:numPr>
              <w:tabs>
                <w:tab w:val="left" w:pos="539"/>
              </w:tabs>
              <w:spacing w:before="120"/>
              <w:jc w:val="left"/>
              <w:rPr>
                <w:rFonts w:eastAsia="Calibri" w:cstheme="minorBidi"/>
                <w:sz w:val="20"/>
                <w:szCs w:val="20"/>
                <w:lang w:eastAsia="en-US"/>
              </w:rPr>
            </w:pPr>
            <w:r>
              <w:rPr>
                <w:rFonts w:eastAsia="Calibri" w:cstheme="minorBidi"/>
                <w:sz w:val="20"/>
                <w:szCs w:val="20"/>
                <w:lang w:eastAsia="en-US"/>
              </w:rPr>
              <w:t>сертификат о соответствии требованиям ТР ТС 010;</w:t>
            </w:r>
          </w:p>
          <w:p>
            <w:pPr>
              <w:numPr>
                <w:ilvl w:val="0"/>
                <w:numId w:val="43"/>
              </w:numPr>
              <w:tabs>
                <w:tab w:val="left" w:pos="539"/>
              </w:tabs>
              <w:spacing w:before="120"/>
              <w:jc w:val="left"/>
              <w:rPr>
                <w:rFonts w:eastAsia="Calibri" w:cstheme="minorBidi"/>
                <w:sz w:val="20"/>
                <w:szCs w:val="20"/>
                <w:lang w:eastAsia="en-US"/>
              </w:rPr>
            </w:pPr>
            <w:r>
              <w:rPr>
                <w:rFonts w:eastAsia="Calibri" w:cstheme="minorBidi"/>
                <w:sz w:val="20"/>
                <w:szCs w:val="20"/>
                <w:lang w:eastAsia="en-US"/>
              </w:rPr>
              <w:t>сертификат о соответствии требованиям ТР ТС 012 (в случае комплектования крана шарового электрооборудованием для размещения во взрывоопасной зоне);</w:t>
            </w:r>
          </w:p>
          <w:p>
            <w:pPr>
              <w:numPr>
                <w:ilvl w:val="0"/>
                <w:numId w:val="43"/>
              </w:numPr>
              <w:tabs>
                <w:tab w:val="left" w:pos="539"/>
              </w:tabs>
              <w:spacing w:before="120"/>
              <w:jc w:val="left"/>
              <w:rPr>
                <w:rFonts w:eastAsia="Times New Roman"/>
                <w:sz w:val="20"/>
                <w:szCs w:val="20"/>
              </w:rPr>
            </w:pPr>
            <w:r>
              <w:rPr>
                <w:rFonts w:eastAsia="Calibri" w:cstheme="minorBidi"/>
                <w:sz w:val="20"/>
                <w:szCs w:val="20"/>
                <w:lang w:eastAsia="en-US"/>
              </w:rPr>
              <w:t>сертификат о соответствии требованиям ТР ТС 032;</w:t>
            </w:r>
          </w:p>
          <w:p>
            <w:pPr>
              <w:numPr>
                <w:ilvl w:val="0"/>
                <w:numId w:val="43"/>
              </w:numPr>
              <w:tabs>
                <w:tab w:val="left" w:pos="539"/>
              </w:tabs>
              <w:spacing w:before="120"/>
              <w:jc w:val="left"/>
              <w:rPr>
                <w:rFonts w:eastAsia="Calibri" w:cstheme="minorBidi"/>
                <w:sz w:val="20"/>
                <w:szCs w:val="20"/>
                <w:lang w:eastAsia="en-US"/>
              </w:rPr>
            </w:pPr>
            <w:r>
              <w:rPr>
                <w:rFonts w:eastAsia="Calibri" w:cstheme="minorBidi"/>
                <w:sz w:val="20"/>
                <w:szCs w:val="20"/>
                <w:lang w:eastAsia="en-US"/>
              </w:rPr>
              <w:t>сертификаты качества применяемых материалов (конструкционных и сварочных), включая их химический состав и механические свойства;</w:t>
            </w:r>
          </w:p>
          <w:p>
            <w:pPr>
              <w:numPr>
                <w:ilvl w:val="0"/>
                <w:numId w:val="43"/>
              </w:numPr>
              <w:tabs>
                <w:tab w:val="left" w:pos="539"/>
              </w:tabs>
              <w:spacing w:before="120"/>
              <w:jc w:val="left"/>
              <w:rPr>
                <w:rFonts w:eastAsia="Calibri" w:cstheme="minorBidi"/>
                <w:sz w:val="20"/>
                <w:szCs w:val="20"/>
                <w:lang w:eastAsia="en-US"/>
              </w:rPr>
            </w:pPr>
            <w:r>
              <w:rPr>
                <w:rFonts w:eastAsia="Calibri" w:cstheme="minorBidi"/>
                <w:sz w:val="20"/>
                <w:szCs w:val="20"/>
                <w:lang w:eastAsia="en-US"/>
              </w:rPr>
              <w:t>для эксклюзивного, инновационного оборудования, ранее не поставлявшегося на территорию РФ, либо изготавливаемого штучно, а также для оборудования, имеющего необходимые РД, срок действия которых заканчивается до планируемой даты изготовления, завод-изготовитель данного оборудования гарантирует предоставление всех необходимых документов до приемки объекта в эксплуатацию;</w:t>
            </w:r>
          </w:p>
          <w:p>
            <w:pPr>
              <w:widowControl w:val="0"/>
              <w:tabs>
                <w:tab w:val="left" w:pos="539"/>
              </w:tabs>
              <w:spacing w:before="120"/>
              <w:jc w:val="left"/>
              <w:rPr>
                <w:rFonts w:eastAsia="PMingLiU"/>
                <w:sz w:val="20"/>
                <w:szCs w:val="20"/>
                <w:lang w:eastAsia="en-US"/>
              </w:rPr>
            </w:pPr>
            <w:r>
              <w:rPr>
                <w:rFonts w:eastAsia="PMingLiU"/>
                <w:sz w:val="20"/>
                <w:szCs w:val="20"/>
                <w:lang w:eastAsia="en-US"/>
              </w:rPr>
              <w:lastRenderedPageBreak/>
              <w:t xml:space="preserve">Поставляемое оборудование зарубежных заводов-изготовителей: </w:t>
            </w:r>
          </w:p>
          <w:p>
            <w:pPr>
              <w:numPr>
                <w:ilvl w:val="0"/>
                <w:numId w:val="43"/>
              </w:numPr>
              <w:tabs>
                <w:tab w:val="left" w:pos="539"/>
              </w:tabs>
              <w:spacing w:before="120"/>
              <w:jc w:val="left"/>
              <w:rPr>
                <w:rFonts w:eastAsia="Calibri" w:cstheme="minorBidi"/>
                <w:sz w:val="20"/>
                <w:szCs w:val="20"/>
                <w:lang w:eastAsia="en-US"/>
              </w:rPr>
            </w:pPr>
            <w:r>
              <w:rPr>
                <w:rFonts w:eastAsia="Calibri" w:cstheme="minorBidi"/>
                <w:sz w:val="20"/>
                <w:szCs w:val="20"/>
                <w:lang w:eastAsia="en-US"/>
              </w:rPr>
              <w:t>должно соответствовать НД РФ, настоящим Методическим указаниям;</w:t>
            </w:r>
          </w:p>
          <w:p>
            <w:pPr>
              <w:numPr>
                <w:ilvl w:val="0"/>
                <w:numId w:val="43"/>
              </w:numPr>
              <w:tabs>
                <w:tab w:val="left" w:pos="539"/>
              </w:tabs>
              <w:spacing w:before="120"/>
              <w:jc w:val="left"/>
              <w:rPr>
                <w:sz w:val="20"/>
                <w:szCs w:val="20"/>
              </w:rPr>
            </w:pPr>
            <w:r>
              <w:rPr>
                <w:rFonts w:eastAsia="Calibri" w:cstheme="minorBidi"/>
                <w:sz w:val="20"/>
                <w:szCs w:val="20"/>
                <w:lang w:eastAsia="en-US"/>
              </w:rPr>
              <w:t>должно содержать перечень импортных составляющих/комплектующих, изделий с указанием страны происхождения по каждой импортной позиции</w:t>
            </w:r>
          </w:p>
        </w:tc>
        <w:tc>
          <w:tcPr>
            <w:tcW w:w="932" w:type="pct"/>
            <w:tcBorders>
              <w:top w:val="single" w:sz="6" w:space="0" w:color="auto"/>
              <w:left w:val="single" w:sz="6" w:space="0" w:color="auto"/>
              <w:bottom w:val="single" w:sz="12" w:space="0" w:color="auto"/>
            </w:tcBorders>
            <w:shd w:val="clear" w:color="auto" w:fill="FFFFFF"/>
          </w:tcPr>
          <w:p>
            <w:pPr>
              <w:tabs>
                <w:tab w:val="left" w:pos="30"/>
              </w:tabs>
              <w:ind w:left="30" w:right="-57" w:firstLine="2"/>
              <w:jc w:val="left"/>
              <w:rPr>
                <w:sz w:val="20"/>
                <w:szCs w:val="20"/>
              </w:rPr>
            </w:pPr>
            <w:r>
              <w:rPr>
                <w:sz w:val="20"/>
                <w:szCs w:val="20"/>
              </w:rPr>
              <w:lastRenderedPageBreak/>
              <w:t>В день поставки оборудования</w:t>
            </w:r>
          </w:p>
        </w:tc>
      </w:tr>
    </w:tbl>
    <w:p>
      <w:pPr>
        <w:rPr>
          <w:rFonts w:eastAsia="PMingLiU"/>
          <w:szCs w:val="22"/>
          <w:lang w:eastAsia="en-US"/>
        </w:rPr>
      </w:pPr>
      <w:bookmarkStart w:id="224" w:name="_Toc392607778"/>
      <w:bookmarkStart w:id="225" w:name="_Toc392695956"/>
      <w:bookmarkStart w:id="226" w:name="_Toc392696012"/>
      <w:bookmarkStart w:id="227" w:name="_Toc392752873"/>
      <w:bookmarkStart w:id="228" w:name="_Toc404615350"/>
      <w:bookmarkStart w:id="229" w:name="_Toc481662411"/>
      <w:bookmarkEnd w:id="204"/>
      <w:bookmarkEnd w:id="205"/>
      <w:bookmarkEnd w:id="206"/>
      <w:bookmarkEnd w:id="207"/>
      <w:bookmarkEnd w:id="208"/>
    </w:p>
    <w:p>
      <w:pPr>
        <w:rPr>
          <w:rFonts w:eastAsia="PMingLiU"/>
          <w:szCs w:val="22"/>
          <w:lang w:eastAsia="en-US"/>
        </w:rPr>
      </w:pPr>
    </w:p>
    <w:p>
      <w:pPr>
        <w:pStyle w:val="S20"/>
        <w:numPr>
          <w:ilvl w:val="1"/>
          <w:numId w:val="26"/>
        </w:numPr>
        <w:ind w:left="0" w:firstLine="0"/>
        <w:rPr>
          <w:rFonts w:eastAsia="Calibri" w:cs="Arial"/>
          <w:bCs/>
          <w:iCs/>
          <w:caps w:val="0"/>
          <w:szCs w:val="28"/>
        </w:rPr>
      </w:pPr>
      <w:bookmarkStart w:id="230" w:name="_Toc514169534"/>
      <w:r>
        <w:rPr>
          <w:rFonts w:eastAsia="Calibri" w:cs="Arial"/>
          <w:bCs/>
          <w:iCs/>
          <w:caps w:val="0"/>
          <w:szCs w:val="28"/>
        </w:rPr>
        <w:t>ТРЕБОВАНИЯ К ТРАНСПОРТИРОВАНИ</w:t>
      </w:r>
      <w:bookmarkEnd w:id="224"/>
      <w:bookmarkEnd w:id="225"/>
      <w:bookmarkEnd w:id="226"/>
      <w:bookmarkEnd w:id="227"/>
      <w:bookmarkEnd w:id="228"/>
      <w:r>
        <w:rPr>
          <w:rFonts w:eastAsia="Calibri" w:cs="Arial"/>
          <w:bCs/>
          <w:iCs/>
          <w:caps w:val="0"/>
          <w:szCs w:val="28"/>
        </w:rPr>
        <w:t>Ю И КОНСЕРВАЦИИ</w:t>
      </w:r>
      <w:bookmarkEnd w:id="229"/>
      <w:bookmarkEnd w:id="230"/>
    </w:p>
    <w:p>
      <w:pPr>
        <w:rPr>
          <w:rFonts w:eastAsia="PMingLiU"/>
          <w:szCs w:val="22"/>
          <w:lang w:eastAsia="en-US"/>
        </w:rPr>
      </w:pPr>
    </w:p>
    <w:p>
      <w:pPr>
        <w:widowControl w:val="0"/>
        <w:tabs>
          <w:tab w:val="left" w:pos="851"/>
        </w:tabs>
        <w:ind w:right="-1"/>
        <w:rPr>
          <w:rFonts w:eastAsia="PMingLiU"/>
          <w:spacing w:val="-2"/>
          <w:szCs w:val="22"/>
          <w:lang w:eastAsia="en-US"/>
        </w:rPr>
      </w:pPr>
      <w:r>
        <w:rPr>
          <w:rFonts w:eastAsia="PMingLiU"/>
          <w:spacing w:val="-1"/>
          <w:szCs w:val="22"/>
          <w:lang w:eastAsia="en-US"/>
        </w:rPr>
        <w:t>Конструкция</w:t>
      </w:r>
      <w:r>
        <w:rPr>
          <w:rFonts w:eastAsia="PMingLiU"/>
          <w:spacing w:val="54"/>
          <w:szCs w:val="22"/>
          <w:lang w:eastAsia="en-US"/>
        </w:rPr>
        <w:t xml:space="preserve"> </w:t>
      </w:r>
      <w:r>
        <w:rPr>
          <w:rFonts w:eastAsia="PMingLiU"/>
          <w:spacing w:val="-1"/>
          <w:szCs w:val="22"/>
          <w:lang w:eastAsia="en-US"/>
        </w:rPr>
        <w:t>кранов шаровых должна позволять проводить транспортирования любым видом транспорта и на любые расстояния, при этом должны быть исключены их повреждение или повреждение транспортной тары.</w:t>
      </w:r>
    </w:p>
    <w:p>
      <w:pPr>
        <w:widowControl w:val="0"/>
        <w:tabs>
          <w:tab w:val="left" w:pos="851"/>
        </w:tabs>
        <w:ind w:right="108"/>
        <w:rPr>
          <w:rFonts w:eastAsia="PMingLiU"/>
          <w:szCs w:val="22"/>
          <w:lang w:eastAsia="en-US"/>
        </w:rPr>
      </w:pPr>
    </w:p>
    <w:p>
      <w:pPr>
        <w:widowControl w:val="0"/>
        <w:tabs>
          <w:tab w:val="left" w:pos="851"/>
        </w:tabs>
        <w:ind w:right="104"/>
        <w:rPr>
          <w:rFonts w:eastAsia="PMingLiU"/>
          <w:szCs w:val="22"/>
          <w:lang w:eastAsia="en-US"/>
        </w:rPr>
      </w:pPr>
      <w:r>
        <w:rPr>
          <w:rFonts w:eastAsia="PMingLiU"/>
          <w:szCs w:val="22"/>
          <w:lang w:eastAsia="en-US"/>
        </w:rPr>
        <w:t>Краны шаровые должны быть уложены в деревянные упаковочные ящики или на транспортные щиты (поддоны) и отгружаться:</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DN</w:t>
      </w:r>
      <w:r>
        <w:rPr>
          <w:rFonts w:eastAsia="PMingLiU"/>
          <w:spacing w:val="-3"/>
          <w:szCs w:val="22"/>
          <w:lang w:eastAsia="en-US"/>
        </w:rPr>
        <w:t> </w:t>
      </w:r>
      <w:r>
        <w:rPr>
          <w:rFonts w:eastAsia="PMingLiU"/>
          <w:szCs w:val="22"/>
          <w:lang w:val="en-US" w:eastAsia="en-US"/>
        </w:rPr>
        <w:t>&lt;</w:t>
      </w:r>
      <w:r>
        <w:rPr>
          <w:rFonts w:eastAsia="PMingLiU"/>
          <w:spacing w:val="-3"/>
          <w:szCs w:val="22"/>
          <w:lang w:eastAsia="en-US"/>
        </w:rPr>
        <w:t> </w:t>
      </w:r>
      <w:r>
        <w:rPr>
          <w:rFonts w:eastAsia="PMingLiU"/>
          <w:szCs w:val="22"/>
          <w:lang w:eastAsia="en-US"/>
        </w:rPr>
        <w:t>1000 в сборе;</w:t>
      </w:r>
    </w:p>
    <w:p>
      <w:pPr>
        <w:numPr>
          <w:ilvl w:val="0"/>
          <w:numId w:val="12"/>
        </w:numPr>
        <w:tabs>
          <w:tab w:val="left" w:pos="539"/>
        </w:tabs>
        <w:spacing w:before="120"/>
        <w:ind w:left="538" w:hanging="357"/>
        <w:rPr>
          <w:rFonts w:eastAsia="PMingLiU"/>
          <w:szCs w:val="22"/>
          <w:lang w:eastAsia="en-US"/>
        </w:rPr>
      </w:pPr>
      <w:r>
        <w:rPr>
          <w:rFonts w:eastAsia="PMingLiU"/>
          <w:szCs w:val="22"/>
          <w:lang w:eastAsia="en-US"/>
        </w:rPr>
        <w:t>DN</w:t>
      </w:r>
      <w:r>
        <w:rPr>
          <w:rFonts w:eastAsia="PMingLiU"/>
          <w:spacing w:val="-3"/>
          <w:szCs w:val="22"/>
          <w:lang w:eastAsia="en-US"/>
        </w:rPr>
        <w:t> </w:t>
      </w:r>
      <w:r>
        <w:rPr>
          <w:rFonts w:eastAsia="PMingLiU"/>
          <w:szCs w:val="22"/>
          <w:lang w:eastAsia="en-US"/>
        </w:rPr>
        <w:t>≥</w:t>
      </w:r>
      <w:r>
        <w:rPr>
          <w:rFonts w:eastAsia="PMingLiU"/>
          <w:spacing w:val="-3"/>
          <w:szCs w:val="22"/>
          <w:lang w:eastAsia="en-US"/>
        </w:rPr>
        <w:t> </w:t>
      </w:r>
      <w:r>
        <w:rPr>
          <w:rFonts w:eastAsia="PMingLiU"/>
          <w:szCs w:val="22"/>
          <w:lang w:eastAsia="en-US"/>
        </w:rPr>
        <w:t>1000 привод и колонна шпинделя-удлинителя отдельно от узла крана шарового, при этом они должны иметь маркировку, позволяющую провести сборку и монтаж.</w:t>
      </w:r>
    </w:p>
    <w:p>
      <w:pPr>
        <w:widowControl w:val="0"/>
        <w:tabs>
          <w:tab w:val="left" w:pos="539"/>
        </w:tabs>
        <w:rPr>
          <w:rFonts w:eastAsia="PMingLiU"/>
          <w:szCs w:val="22"/>
          <w:lang w:eastAsia="en-US"/>
        </w:rPr>
      </w:pPr>
    </w:p>
    <w:p>
      <w:pPr>
        <w:widowControl w:val="0"/>
        <w:tabs>
          <w:tab w:val="left" w:pos="851"/>
        </w:tabs>
        <w:ind w:right="-1"/>
        <w:rPr>
          <w:rFonts w:eastAsia="PMingLiU"/>
          <w:spacing w:val="2"/>
          <w:szCs w:val="22"/>
          <w:lang w:eastAsia="en-US"/>
        </w:rPr>
      </w:pPr>
      <w:r>
        <w:rPr>
          <w:rFonts w:eastAsia="PMingLiU"/>
          <w:spacing w:val="2"/>
          <w:szCs w:val="22"/>
          <w:lang w:eastAsia="en-US"/>
        </w:rPr>
        <w:t>Завод-изготовитель должен обеспечить крепление кранов шаровых в упаковочные ящики или на транспортные щиты (поддоны), а также крепление на транспортном средстве, исключающее возможность механических повреждений и загрязнений внутренних поверхностей кранов шаровых и концов патрубков, обработанных под приварку к трубопроводу.</w:t>
      </w:r>
    </w:p>
    <w:p>
      <w:pPr>
        <w:widowControl w:val="0"/>
        <w:tabs>
          <w:tab w:val="left" w:pos="851"/>
        </w:tabs>
        <w:ind w:right="104"/>
        <w:rPr>
          <w:rFonts w:eastAsia="PMingLiU"/>
          <w:spacing w:val="2"/>
          <w:szCs w:val="22"/>
          <w:lang w:eastAsia="en-US"/>
        </w:rPr>
      </w:pPr>
    </w:p>
    <w:p>
      <w:pPr>
        <w:tabs>
          <w:tab w:val="left" w:pos="1418"/>
        </w:tabs>
      </w:pPr>
      <w:r>
        <w:t>Прокладки овального и восьмиугольного сечения в период хранения и транспортирования должны быть завернуты в антикоррозионный материал и уложены в тару.</w:t>
      </w:r>
    </w:p>
    <w:p>
      <w:pPr>
        <w:widowControl w:val="0"/>
        <w:tabs>
          <w:tab w:val="left" w:pos="851"/>
        </w:tabs>
        <w:ind w:right="105"/>
        <w:rPr>
          <w:rFonts w:eastAsia="PMingLiU"/>
          <w:spacing w:val="-1"/>
          <w:szCs w:val="22"/>
          <w:lang w:eastAsia="en-US"/>
        </w:rPr>
      </w:pPr>
    </w:p>
    <w:p>
      <w:pPr>
        <w:widowControl w:val="0"/>
        <w:tabs>
          <w:tab w:val="left" w:pos="851"/>
        </w:tabs>
        <w:ind w:right="-1"/>
        <w:rPr>
          <w:rFonts w:eastAsia="PMingLiU"/>
          <w:szCs w:val="22"/>
          <w:lang w:eastAsia="en-US"/>
        </w:rPr>
      </w:pPr>
      <w:r>
        <w:rPr>
          <w:rFonts w:eastAsia="PMingLiU"/>
          <w:spacing w:val="-1"/>
          <w:szCs w:val="22"/>
          <w:lang w:eastAsia="en-US"/>
        </w:rPr>
        <w:t>При</w:t>
      </w:r>
      <w:r>
        <w:rPr>
          <w:rFonts w:eastAsia="PMingLiU"/>
          <w:spacing w:val="45"/>
          <w:szCs w:val="22"/>
          <w:lang w:eastAsia="en-US"/>
        </w:rPr>
        <w:t xml:space="preserve"> </w:t>
      </w:r>
      <w:r>
        <w:rPr>
          <w:rFonts w:eastAsia="PMingLiU"/>
          <w:szCs w:val="22"/>
          <w:lang w:eastAsia="en-US"/>
        </w:rPr>
        <w:t>транспортировании</w:t>
      </w:r>
      <w:r>
        <w:rPr>
          <w:rFonts w:eastAsia="PMingLiU"/>
          <w:spacing w:val="43"/>
          <w:szCs w:val="22"/>
          <w:lang w:eastAsia="en-US"/>
        </w:rPr>
        <w:t xml:space="preserve"> </w:t>
      </w:r>
      <w:r>
        <w:rPr>
          <w:rFonts w:eastAsia="PMingLiU"/>
          <w:spacing w:val="1"/>
          <w:szCs w:val="22"/>
          <w:lang w:eastAsia="en-US"/>
        </w:rPr>
        <w:t>проходные</w:t>
      </w:r>
      <w:r>
        <w:rPr>
          <w:rFonts w:eastAsia="PMingLiU"/>
          <w:spacing w:val="42"/>
          <w:szCs w:val="22"/>
          <w:lang w:eastAsia="en-US"/>
        </w:rPr>
        <w:t xml:space="preserve"> </w:t>
      </w:r>
      <w:r>
        <w:rPr>
          <w:rFonts w:eastAsia="PMingLiU"/>
          <w:spacing w:val="1"/>
          <w:szCs w:val="22"/>
          <w:lang w:eastAsia="en-US"/>
        </w:rPr>
        <w:t>отверстия</w:t>
      </w:r>
      <w:r>
        <w:rPr>
          <w:rFonts w:eastAsia="PMingLiU"/>
          <w:spacing w:val="45"/>
          <w:szCs w:val="22"/>
          <w:lang w:eastAsia="en-US"/>
        </w:rPr>
        <w:t xml:space="preserve"> </w:t>
      </w:r>
      <w:r>
        <w:rPr>
          <w:rFonts w:eastAsia="PMingLiU"/>
          <w:spacing w:val="6"/>
          <w:szCs w:val="22"/>
          <w:lang w:eastAsia="en-US"/>
        </w:rPr>
        <w:t>пат</w:t>
      </w:r>
      <w:r>
        <w:rPr>
          <w:rFonts w:eastAsia="PMingLiU"/>
          <w:spacing w:val="1"/>
          <w:szCs w:val="22"/>
          <w:lang w:eastAsia="en-US"/>
        </w:rPr>
        <w:t xml:space="preserve">рубков </w:t>
      </w:r>
      <w:r>
        <w:rPr>
          <w:rFonts w:eastAsia="PMingLiU"/>
          <w:szCs w:val="22"/>
          <w:lang w:eastAsia="en-US"/>
        </w:rPr>
        <w:t>должны</w:t>
      </w:r>
      <w:r>
        <w:rPr>
          <w:rFonts w:eastAsia="PMingLiU"/>
          <w:spacing w:val="-3"/>
          <w:szCs w:val="22"/>
          <w:lang w:eastAsia="en-US"/>
        </w:rPr>
        <w:t xml:space="preserve"> </w:t>
      </w:r>
      <w:r>
        <w:rPr>
          <w:rFonts w:eastAsia="PMingLiU"/>
          <w:spacing w:val="-2"/>
          <w:szCs w:val="22"/>
          <w:lang w:eastAsia="en-US"/>
        </w:rPr>
        <w:t>быть</w:t>
      </w:r>
      <w:r>
        <w:rPr>
          <w:rFonts w:eastAsia="PMingLiU"/>
          <w:spacing w:val="-1"/>
          <w:szCs w:val="22"/>
          <w:lang w:eastAsia="en-US"/>
        </w:rPr>
        <w:t xml:space="preserve"> </w:t>
      </w:r>
      <w:r>
        <w:rPr>
          <w:rFonts w:eastAsia="PMingLiU"/>
          <w:spacing w:val="-2"/>
          <w:szCs w:val="22"/>
          <w:lang w:eastAsia="en-US"/>
        </w:rPr>
        <w:t>закрыты</w:t>
      </w:r>
      <w:r>
        <w:rPr>
          <w:rFonts w:eastAsia="PMingLiU"/>
          <w:szCs w:val="22"/>
          <w:lang w:eastAsia="en-US"/>
        </w:rPr>
        <w:t xml:space="preserve"> </w:t>
      </w:r>
      <w:r>
        <w:rPr>
          <w:rFonts w:eastAsia="PMingLiU"/>
          <w:spacing w:val="-2"/>
          <w:szCs w:val="22"/>
          <w:lang w:eastAsia="en-US"/>
        </w:rPr>
        <w:t>заглушками.</w:t>
      </w:r>
    </w:p>
    <w:p>
      <w:pPr>
        <w:widowControl w:val="0"/>
        <w:tabs>
          <w:tab w:val="left" w:pos="993"/>
        </w:tabs>
        <w:ind w:right="107"/>
        <w:rPr>
          <w:rFonts w:eastAsia="PMingLiU"/>
          <w:spacing w:val="-1"/>
          <w:szCs w:val="22"/>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Привод крана шарового должен транспортироваться в таре завода изготовителя привода или таре завода-изготовителя крана шарового.</w:t>
      </w:r>
    </w:p>
    <w:p>
      <w:pPr>
        <w:rPr>
          <w:rFonts w:eastAsia="PMingLiU"/>
          <w:szCs w:val="22"/>
          <w:lang w:eastAsia="en-US"/>
        </w:rPr>
      </w:pPr>
    </w:p>
    <w:p>
      <w:pPr>
        <w:tabs>
          <w:tab w:val="left" w:pos="993"/>
        </w:tabs>
        <w:autoSpaceDE w:val="0"/>
        <w:autoSpaceDN w:val="0"/>
        <w:adjustRightInd w:val="0"/>
        <w:contextualSpacing/>
        <w:rPr>
          <w:rFonts w:eastAsia="Times New Roman"/>
        </w:rPr>
      </w:pPr>
      <w:r>
        <w:rPr>
          <w:rFonts w:eastAsia="Times New Roman"/>
        </w:rPr>
        <w:t>Для кранов шаровых массой более 16 кг необходимо указывать места строповки.</w:t>
      </w:r>
    </w:p>
    <w:p>
      <w:pPr>
        <w:tabs>
          <w:tab w:val="left" w:pos="993"/>
        </w:tabs>
        <w:autoSpaceDE w:val="0"/>
        <w:autoSpaceDN w:val="0"/>
        <w:adjustRightInd w:val="0"/>
        <w:contextualSpacing/>
        <w:rPr>
          <w:rFonts w:eastAsia="Times New Roman"/>
        </w:rPr>
      </w:pPr>
    </w:p>
    <w:p>
      <w:pPr>
        <w:tabs>
          <w:tab w:val="left" w:pos="993"/>
        </w:tabs>
        <w:autoSpaceDE w:val="0"/>
        <w:autoSpaceDN w:val="0"/>
        <w:adjustRightInd w:val="0"/>
        <w:contextualSpacing/>
        <w:rPr>
          <w:rFonts w:eastAsia="Times New Roman"/>
        </w:rPr>
      </w:pPr>
      <w:r>
        <w:rPr>
          <w:rFonts w:eastAsia="Times New Roman"/>
        </w:rPr>
        <w:t>Конструкция элементов на кране шаровом должна обеспечивать возможность подъема крана шарового с приводом, для строповки, с помощью грузозахватных устройств.</w:t>
      </w:r>
    </w:p>
    <w:p>
      <w:pPr>
        <w:tabs>
          <w:tab w:val="left" w:pos="993"/>
        </w:tabs>
        <w:autoSpaceDE w:val="0"/>
        <w:autoSpaceDN w:val="0"/>
        <w:adjustRightInd w:val="0"/>
        <w:contextualSpacing/>
        <w:rPr>
          <w:rFonts w:eastAsia="Times New Roman"/>
        </w:rPr>
      </w:pPr>
    </w:p>
    <w:p>
      <w:pPr>
        <w:tabs>
          <w:tab w:val="left" w:pos="993"/>
        </w:tabs>
        <w:autoSpaceDE w:val="0"/>
        <w:autoSpaceDN w:val="0"/>
        <w:adjustRightInd w:val="0"/>
        <w:contextualSpacing/>
        <w:rPr>
          <w:rFonts w:eastAsia="Times New Roman"/>
        </w:rPr>
      </w:pPr>
      <w:r>
        <w:rPr>
          <w:rFonts w:eastAsia="Times New Roman"/>
        </w:rPr>
        <w:t>Конструкционное исполнение и расположение элементов для строповки крана шарового с помощью грузозахватных устройств выполнять согласно КД.</w:t>
      </w:r>
    </w:p>
    <w:p>
      <w:pPr>
        <w:tabs>
          <w:tab w:val="left" w:pos="709"/>
        </w:tabs>
        <w:autoSpaceDE w:val="0"/>
        <w:autoSpaceDN w:val="0"/>
        <w:adjustRightInd w:val="0"/>
        <w:contextualSpacing/>
        <w:rPr>
          <w:rFonts w:eastAsia="Times New Roman"/>
        </w:rPr>
      </w:pPr>
    </w:p>
    <w:p>
      <w:pPr>
        <w:tabs>
          <w:tab w:val="left" w:pos="993"/>
        </w:tabs>
        <w:autoSpaceDE w:val="0"/>
        <w:autoSpaceDN w:val="0"/>
        <w:adjustRightInd w:val="0"/>
        <w:contextualSpacing/>
        <w:rPr>
          <w:rFonts w:eastAsia="Times New Roman"/>
        </w:rPr>
      </w:pPr>
      <w:r>
        <w:rPr>
          <w:rFonts w:eastAsia="Times New Roman"/>
        </w:rPr>
        <w:t>Для сохранения наружного АКП крана шарового при осуществлении погрузочно-разгрузочных работ предусмотреть конструкцию элементов для строповки и схему их расположения на кране, для исключения контакта строповых тросов с наружными поверхностями и средством управления крана шарового.</w:t>
      </w:r>
    </w:p>
    <w:p>
      <w:pPr>
        <w:widowControl w:val="0"/>
        <w:tabs>
          <w:tab w:val="left" w:pos="1134"/>
        </w:tabs>
        <w:ind w:right="-1"/>
        <w:rPr>
          <w:rFonts w:eastAsia="PMingLiU"/>
          <w:spacing w:val="-1"/>
          <w:szCs w:val="22"/>
          <w:lang w:eastAsia="en-US"/>
        </w:rPr>
      </w:pPr>
      <w:r>
        <w:rPr>
          <w:rFonts w:eastAsia="PMingLiU"/>
          <w:spacing w:val="-1"/>
          <w:szCs w:val="22"/>
          <w:lang w:eastAsia="en-US"/>
        </w:rPr>
        <w:lastRenderedPageBreak/>
        <w:t>Упаковка</w:t>
      </w:r>
      <w:r>
        <w:rPr>
          <w:rFonts w:eastAsia="PMingLiU"/>
          <w:spacing w:val="54"/>
          <w:szCs w:val="22"/>
          <w:lang w:eastAsia="en-US"/>
        </w:rPr>
        <w:t xml:space="preserve"> </w:t>
      </w:r>
      <w:r>
        <w:rPr>
          <w:rFonts w:eastAsia="PMingLiU"/>
          <w:spacing w:val="-1"/>
          <w:szCs w:val="22"/>
          <w:lang w:eastAsia="en-US"/>
        </w:rPr>
        <w:t>должна</w:t>
      </w:r>
      <w:r>
        <w:rPr>
          <w:rFonts w:eastAsia="PMingLiU"/>
          <w:spacing w:val="54"/>
          <w:szCs w:val="22"/>
          <w:lang w:eastAsia="en-US"/>
        </w:rPr>
        <w:t xml:space="preserve"> </w:t>
      </w:r>
      <w:r>
        <w:rPr>
          <w:rFonts w:eastAsia="PMingLiU"/>
          <w:spacing w:val="-1"/>
          <w:szCs w:val="22"/>
          <w:lang w:eastAsia="en-US"/>
        </w:rPr>
        <w:t>обеспечивать</w:t>
      </w:r>
      <w:r>
        <w:rPr>
          <w:rFonts w:eastAsia="PMingLiU"/>
          <w:spacing w:val="53"/>
          <w:szCs w:val="22"/>
          <w:lang w:eastAsia="en-US"/>
        </w:rPr>
        <w:t xml:space="preserve"> </w:t>
      </w:r>
      <w:r>
        <w:rPr>
          <w:rFonts w:eastAsia="PMingLiU"/>
          <w:spacing w:val="-1"/>
          <w:szCs w:val="22"/>
          <w:lang w:eastAsia="en-US"/>
        </w:rPr>
        <w:t>сохранность</w:t>
      </w:r>
      <w:r>
        <w:rPr>
          <w:rFonts w:eastAsia="PMingLiU"/>
          <w:spacing w:val="55"/>
          <w:szCs w:val="22"/>
          <w:lang w:eastAsia="en-US"/>
        </w:rPr>
        <w:t xml:space="preserve"> </w:t>
      </w:r>
      <w:r>
        <w:rPr>
          <w:rFonts w:eastAsia="PMingLiU"/>
          <w:spacing w:val="-1"/>
          <w:szCs w:val="22"/>
          <w:lang w:eastAsia="en-US"/>
        </w:rPr>
        <w:t>кранов шаровых</w:t>
      </w:r>
      <w:r>
        <w:rPr>
          <w:rFonts w:eastAsia="PMingLiU"/>
          <w:spacing w:val="57"/>
          <w:szCs w:val="22"/>
          <w:lang w:eastAsia="en-US"/>
        </w:rPr>
        <w:t xml:space="preserve"> </w:t>
      </w:r>
      <w:r>
        <w:rPr>
          <w:rFonts w:eastAsia="PMingLiU"/>
          <w:spacing w:val="-2"/>
          <w:szCs w:val="22"/>
          <w:lang w:eastAsia="en-US"/>
        </w:rPr>
        <w:t>при</w:t>
      </w:r>
      <w:r>
        <w:rPr>
          <w:rFonts w:eastAsia="PMingLiU"/>
          <w:spacing w:val="57"/>
          <w:szCs w:val="22"/>
          <w:lang w:eastAsia="en-US"/>
        </w:rPr>
        <w:t xml:space="preserve"> </w:t>
      </w:r>
      <w:r>
        <w:rPr>
          <w:rFonts w:eastAsia="PMingLiU"/>
          <w:szCs w:val="22"/>
          <w:lang w:eastAsia="en-US"/>
        </w:rPr>
        <w:t>транс</w:t>
      </w:r>
      <w:r>
        <w:rPr>
          <w:rFonts w:eastAsia="PMingLiU"/>
          <w:spacing w:val="-1"/>
          <w:szCs w:val="22"/>
          <w:lang w:eastAsia="en-US"/>
        </w:rPr>
        <w:t>портировании</w:t>
      </w:r>
      <w:r>
        <w:rPr>
          <w:rFonts w:eastAsia="PMingLiU"/>
          <w:szCs w:val="22"/>
          <w:lang w:eastAsia="en-US"/>
        </w:rPr>
        <w:t xml:space="preserve"> и </w:t>
      </w:r>
      <w:r>
        <w:rPr>
          <w:rFonts w:eastAsia="PMingLiU"/>
          <w:spacing w:val="-1"/>
          <w:szCs w:val="22"/>
          <w:lang w:eastAsia="en-US"/>
        </w:rPr>
        <w:t>хранении.</w:t>
      </w:r>
    </w:p>
    <w:p>
      <w:pPr>
        <w:widowControl w:val="0"/>
        <w:tabs>
          <w:tab w:val="left" w:pos="1134"/>
        </w:tabs>
        <w:ind w:right="107"/>
        <w:rPr>
          <w:rFonts w:eastAsia="PMingLiU"/>
          <w:szCs w:val="22"/>
          <w:lang w:eastAsia="en-US"/>
        </w:rPr>
      </w:pPr>
    </w:p>
    <w:p>
      <w:pPr>
        <w:widowControl w:val="0"/>
        <w:tabs>
          <w:tab w:val="left" w:pos="1134"/>
        </w:tabs>
        <w:ind w:right="108"/>
        <w:rPr>
          <w:rFonts w:eastAsia="PMingLiU"/>
          <w:szCs w:val="22"/>
          <w:lang w:eastAsia="en-US"/>
        </w:rPr>
      </w:pPr>
      <w:r>
        <w:rPr>
          <w:rFonts w:eastAsia="PMingLiU"/>
          <w:spacing w:val="-2"/>
          <w:szCs w:val="22"/>
          <w:lang w:eastAsia="en-US"/>
        </w:rPr>
        <w:t>При</w:t>
      </w:r>
      <w:r>
        <w:rPr>
          <w:rFonts w:eastAsia="PMingLiU"/>
          <w:spacing w:val="9"/>
          <w:szCs w:val="22"/>
          <w:lang w:eastAsia="en-US"/>
        </w:rPr>
        <w:t xml:space="preserve"> </w:t>
      </w:r>
      <w:r>
        <w:rPr>
          <w:rFonts w:eastAsia="PMingLiU"/>
          <w:spacing w:val="-1"/>
          <w:szCs w:val="22"/>
          <w:lang w:eastAsia="en-US"/>
        </w:rPr>
        <w:t>подготовке</w:t>
      </w:r>
      <w:r>
        <w:rPr>
          <w:rFonts w:eastAsia="PMingLiU"/>
          <w:spacing w:val="11"/>
          <w:szCs w:val="22"/>
          <w:lang w:eastAsia="en-US"/>
        </w:rPr>
        <w:t xml:space="preserve"> </w:t>
      </w:r>
      <w:r>
        <w:rPr>
          <w:rFonts w:eastAsia="PMingLiU"/>
          <w:spacing w:val="-1"/>
          <w:szCs w:val="22"/>
          <w:lang w:eastAsia="en-US"/>
        </w:rPr>
        <w:t>кранов шаровых</w:t>
      </w:r>
      <w:r>
        <w:rPr>
          <w:rFonts w:eastAsia="PMingLiU"/>
          <w:spacing w:val="11"/>
          <w:szCs w:val="22"/>
          <w:lang w:eastAsia="en-US"/>
        </w:rPr>
        <w:t xml:space="preserve"> </w:t>
      </w:r>
      <w:r>
        <w:rPr>
          <w:rFonts w:eastAsia="PMingLiU"/>
          <w:szCs w:val="22"/>
          <w:lang w:eastAsia="en-US"/>
        </w:rPr>
        <w:t>к</w:t>
      </w:r>
      <w:r>
        <w:rPr>
          <w:rFonts w:eastAsia="PMingLiU"/>
          <w:spacing w:val="11"/>
          <w:szCs w:val="22"/>
          <w:lang w:eastAsia="en-US"/>
        </w:rPr>
        <w:t xml:space="preserve"> </w:t>
      </w:r>
      <w:r>
        <w:rPr>
          <w:rFonts w:eastAsia="PMingLiU"/>
          <w:spacing w:val="-1"/>
          <w:szCs w:val="22"/>
          <w:lang w:eastAsia="en-US"/>
        </w:rPr>
        <w:t>упаковыванию</w:t>
      </w:r>
      <w:r>
        <w:rPr>
          <w:rFonts w:eastAsia="PMingLiU"/>
          <w:spacing w:val="10"/>
          <w:szCs w:val="22"/>
          <w:lang w:eastAsia="en-US"/>
        </w:rPr>
        <w:t xml:space="preserve"> </w:t>
      </w:r>
      <w:r>
        <w:rPr>
          <w:rFonts w:eastAsia="PMingLiU"/>
          <w:spacing w:val="-1"/>
          <w:szCs w:val="22"/>
          <w:lang w:eastAsia="en-US"/>
        </w:rPr>
        <w:t>должно</w:t>
      </w:r>
      <w:r>
        <w:rPr>
          <w:rFonts w:eastAsia="PMingLiU"/>
          <w:spacing w:val="9"/>
          <w:szCs w:val="22"/>
          <w:lang w:eastAsia="en-US"/>
        </w:rPr>
        <w:t xml:space="preserve"> </w:t>
      </w:r>
      <w:r>
        <w:rPr>
          <w:rFonts w:eastAsia="PMingLiU"/>
          <w:spacing w:val="-1"/>
          <w:szCs w:val="22"/>
          <w:lang w:eastAsia="en-US"/>
        </w:rPr>
        <w:t>быть</w:t>
      </w:r>
      <w:r>
        <w:rPr>
          <w:rFonts w:eastAsia="PMingLiU"/>
          <w:spacing w:val="10"/>
          <w:szCs w:val="22"/>
          <w:lang w:eastAsia="en-US"/>
        </w:rPr>
        <w:t xml:space="preserve"> </w:t>
      </w:r>
      <w:r>
        <w:rPr>
          <w:rFonts w:eastAsia="PMingLiU"/>
          <w:spacing w:val="-1"/>
          <w:szCs w:val="22"/>
          <w:lang w:eastAsia="en-US"/>
        </w:rPr>
        <w:t>соблюдено</w:t>
      </w:r>
      <w:r>
        <w:rPr>
          <w:rFonts w:eastAsia="PMingLiU"/>
          <w:spacing w:val="49"/>
          <w:szCs w:val="22"/>
          <w:lang w:eastAsia="en-US"/>
        </w:rPr>
        <w:t xml:space="preserve"> </w:t>
      </w:r>
      <w:r>
        <w:rPr>
          <w:rFonts w:eastAsia="PMingLiU"/>
          <w:spacing w:val="-1"/>
          <w:szCs w:val="22"/>
          <w:lang w:eastAsia="en-US"/>
        </w:rPr>
        <w:t>следующее:</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затвор должен быть установлен в положение «Открыто»;</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поверхности кранов шаровых, не имеющие защитное АКП, подвергнутое временной антикоррозионной защите по ГОСТ</w:t>
      </w:r>
      <w:r>
        <w:rPr>
          <w:rFonts w:eastAsia="PMingLiU"/>
          <w:spacing w:val="-2"/>
          <w:szCs w:val="22"/>
          <w:lang w:val="en-US" w:eastAsia="en-US"/>
        </w:rPr>
        <w:t> </w:t>
      </w:r>
      <w:r>
        <w:rPr>
          <w:rFonts w:eastAsia="PMingLiU"/>
          <w:spacing w:val="-2"/>
          <w:szCs w:val="22"/>
          <w:lang w:eastAsia="en-US"/>
        </w:rPr>
        <w:t>9.014: вариант защиты ВЗ-4 или ВЗ-8, вариант внутренней упаковки ВУ-0;</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детали крепежа и неокрашиваемые поверхности крана шарового, патрубков, ответных фланцев консервируются смазкой К-17 по ГОСТ</w:t>
      </w:r>
      <w:r>
        <w:rPr>
          <w:rFonts w:eastAsia="PMingLiU"/>
          <w:spacing w:val="-2"/>
          <w:szCs w:val="22"/>
          <w:lang w:val="en-US" w:eastAsia="en-US"/>
        </w:rPr>
        <w:t> </w:t>
      </w:r>
      <w:r>
        <w:rPr>
          <w:rFonts w:eastAsia="PMingLiU"/>
          <w:spacing w:val="-2"/>
          <w:szCs w:val="22"/>
          <w:lang w:eastAsia="en-US"/>
        </w:rPr>
        <w:t>10877, либо аналог;</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патрубки крана шарового (а также бугельный узел при поставке без привода или со снятым приводом) должны быть защищены заглушками, предохраняющими полости от загрязнения, попадания влаги и защищающими кромки от повреждения;</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ящики для кранов шаровых должны соответствовать ГОСТ</w:t>
      </w:r>
      <w:r>
        <w:rPr>
          <w:rFonts w:eastAsia="PMingLiU"/>
          <w:spacing w:val="-2"/>
          <w:szCs w:val="22"/>
          <w:lang w:val="en-US" w:eastAsia="en-US"/>
        </w:rPr>
        <w:t> </w:t>
      </w:r>
      <w:r>
        <w:rPr>
          <w:rFonts w:eastAsia="PMingLiU"/>
          <w:spacing w:val="-2"/>
          <w:szCs w:val="22"/>
          <w:lang w:eastAsia="en-US"/>
        </w:rPr>
        <w:t>10198 и ГОСТ</w:t>
      </w:r>
      <w:r>
        <w:rPr>
          <w:rFonts w:eastAsia="PMingLiU"/>
          <w:spacing w:val="-2"/>
          <w:szCs w:val="22"/>
          <w:lang w:val="en-US" w:eastAsia="en-US"/>
        </w:rPr>
        <w:t> </w:t>
      </w:r>
      <w:r>
        <w:rPr>
          <w:rFonts w:eastAsia="PMingLiU"/>
          <w:spacing w:val="-2"/>
          <w:szCs w:val="22"/>
          <w:lang w:eastAsia="en-US"/>
        </w:rPr>
        <w:t>5959;</w:t>
      </w:r>
    </w:p>
    <w:p>
      <w:pPr>
        <w:widowControl w:val="0"/>
        <w:numPr>
          <w:ilvl w:val="3"/>
          <w:numId w:val="25"/>
        </w:numPr>
        <w:tabs>
          <w:tab w:val="left" w:pos="539"/>
        </w:tabs>
        <w:spacing w:before="120"/>
        <w:ind w:left="538" w:hanging="357"/>
        <w:rPr>
          <w:rFonts w:eastAsia="PMingLiU"/>
          <w:spacing w:val="-2"/>
          <w:szCs w:val="22"/>
          <w:lang w:eastAsia="en-US"/>
        </w:rPr>
      </w:pPr>
      <w:r>
        <w:rPr>
          <w:rFonts w:eastAsia="PMingLiU"/>
          <w:spacing w:val="-2"/>
          <w:szCs w:val="22"/>
          <w:lang w:eastAsia="en-US"/>
        </w:rPr>
        <w:t>при использовании деревянной тары внутренняя упаковка должна быть по ГОСТ</w:t>
      </w:r>
      <w:r>
        <w:rPr>
          <w:rFonts w:eastAsia="PMingLiU"/>
          <w:spacing w:val="-2"/>
          <w:szCs w:val="22"/>
          <w:lang w:val="en-US" w:eastAsia="en-US"/>
        </w:rPr>
        <w:t> </w:t>
      </w:r>
      <w:r>
        <w:rPr>
          <w:rFonts w:eastAsia="PMingLiU"/>
          <w:spacing w:val="-2"/>
          <w:szCs w:val="22"/>
          <w:lang w:eastAsia="en-US"/>
        </w:rPr>
        <w:t>9.014.</w:t>
      </w:r>
    </w:p>
    <w:p>
      <w:pPr>
        <w:widowControl w:val="0"/>
        <w:tabs>
          <w:tab w:val="left" w:pos="0"/>
          <w:tab w:val="left" w:pos="993"/>
        </w:tabs>
        <w:ind w:right="117"/>
        <w:rPr>
          <w:rFonts w:eastAsia="PMingLiU"/>
          <w:szCs w:val="22"/>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Техническая и товаросопроводительная документация, прилагаемая к крану шаровому, должна быть завернута в водонепроницаемую бумагу или бумагу с полиэтиленовым покрытием и вложена в герметичный пакет, изготовленный из полиэтиленовой пленки толщиной не менее 0,15 мм по ГОСТ</w:t>
      </w:r>
      <w:r>
        <w:rPr>
          <w:rFonts w:eastAsia="PMingLiU"/>
          <w:spacing w:val="-1"/>
          <w:szCs w:val="22"/>
          <w:lang w:val="en-US" w:eastAsia="en-US"/>
        </w:rPr>
        <w:t> </w:t>
      </w:r>
      <w:r>
        <w:rPr>
          <w:rFonts w:eastAsia="PMingLiU"/>
          <w:spacing w:val="-1"/>
          <w:szCs w:val="22"/>
          <w:lang w:eastAsia="en-US"/>
        </w:rPr>
        <w:t>10354. Швы пакета свариваются (заклеиваются).</w:t>
      </w:r>
    </w:p>
    <w:p>
      <w:pPr>
        <w:widowControl w:val="0"/>
        <w:tabs>
          <w:tab w:val="left" w:pos="993"/>
        </w:tabs>
        <w:rPr>
          <w:rFonts w:eastAsia="PMingLiU"/>
          <w:szCs w:val="22"/>
          <w:lang w:eastAsia="en-US"/>
        </w:rPr>
      </w:pPr>
    </w:p>
    <w:p>
      <w:pPr>
        <w:widowControl w:val="0"/>
        <w:tabs>
          <w:tab w:val="left" w:pos="993"/>
        </w:tabs>
        <w:ind w:right="-1"/>
        <w:rPr>
          <w:rFonts w:eastAsia="PMingLiU"/>
          <w:spacing w:val="-2"/>
          <w:szCs w:val="22"/>
          <w:lang w:eastAsia="en-US"/>
        </w:rPr>
      </w:pPr>
      <w:r>
        <w:rPr>
          <w:rFonts w:eastAsia="PMingLiU"/>
          <w:spacing w:val="-1"/>
          <w:szCs w:val="22"/>
          <w:lang w:eastAsia="en-US"/>
        </w:rPr>
        <w:t>Сопроводительная</w:t>
      </w:r>
      <w:r>
        <w:rPr>
          <w:rFonts w:eastAsia="PMingLiU"/>
          <w:spacing w:val="2"/>
          <w:szCs w:val="22"/>
          <w:lang w:eastAsia="en-US"/>
        </w:rPr>
        <w:t xml:space="preserve"> </w:t>
      </w:r>
      <w:r>
        <w:rPr>
          <w:rFonts w:eastAsia="PMingLiU"/>
          <w:spacing w:val="4"/>
          <w:szCs w:val="22"/>
          <w:lang w:eastAsia="en-US"/>
        </w:rPr>
        <w:t>техническая</w:t>
      </w:r>
      <w:r>
        <w:rPr>
          <w:rFonts w:eastAsia="PMingLiU"/>
          <w:spacing w:val="8"/>
          <w:szCs w:val="22"/>
          <w:lang w:eastAsia="en-US"/>
        </w:rPr>
        <w:t xml:space="preserve"> </w:t>
      </w:r>
      <w:r>
        <w:rPr>
          <w:rFonts w:eastAsia="PMingLiU"/>
          <w:spacing w:val="4"/>
          <w:szCs w:val="22"/>
          <w:lang w:eastAsia="en-US"/>
        </w:rPr>
        <w:t>документация</w:t>
      </w:r>
      <w:r>
        <w:rPr>
          <w:rFonts w:eastAsia="PMingLiU"/>
          <w:spacing w:val="5"/>
          <w:szCs w:val="22"/>
          <w:lang w:eastAsia="en-US"/>
        </w:rPr>
        <w:t xml:space="preserve"> </w:t>
      </w:r>
      <w:r>
        <w:rPr>
          <w:rFonts w:eastAsia="PMingLiU"/>
          <w:spacing w:val="4"/>
          <w:szCs w:val="22"/>
          <w:lang w:eastAsia="en-US"/>
        </w:rPr>
        <w:t>должна</w:t>
      </w:r>
      <w:r>
        <w:rPr>
          <w:rFonts w:eastAsia="PMingLiU"/>
          <w:spacing w:val="5"/>
          <w:szCs w:val="22"/>
          <w:lang w:eastAsia="en-US"/>
        </w:rPr>
        <w:t xml:space="preserve"> </w:t>
      </w:r>
      <w:r>
        <w:rPr>
          <w:rFonts w:eastAsia="PMingLiU"/>
          <w:spacing w:val="6"/>
          <w:szCs w:val="22"/>
          <w:lang w:eastAsia="en-US"/>
        </w:rPr>
        <w:t>разме</w:t>
      </w:r>
      <w:r>
        <w:rPr>
          <w:rFonts w:eastAsia="PMingLiU"/>
          <w:spacing w:val="4"/>
          <w:szCs w:val="22"/>
          <w:lang w:eastAsia="en-US"/>
        </w:rPr>
        <w:t>щаться</w:t>
      </w:r>
      <w:r>
        <w:rPr>
          <w:rFonts w:eastAsia="PMingLiU"/>
          <w:spacing w:val="35"/>
          <w:szCs w:val="22"/>
          <w:lang w:eastAsia="en-US"/>
        </w:rPr>
        <w:t xml:space="preserve"> </w:t>
      </w:r>
      <w:r>
        <w:rPr>
          <w:rFonts w:eastAsia="PMingLiU"/>
          <w:szCs w:val="22"/>
          <w:lang w:eastAsia="en-US"/>
        </w:rPr>
        <w:t>непосредственно в том ящике, куда упаковано данное изделие</w:t>
      </w:r>
      <w:r>
        <w:rPr>
          <w:rFonts w:eastAsia="PMingLiU"/>
          <w:spacing w:val="1"/>
          <w:szCs w:val="22"/>
          <w:lang w:eastAsia="en-US"/>
        </w:rPr>
        <w:t>,</w:t>
      </w:r>
      <w:r>
        <w:rPr>
          <w:rFonts w:eastAsia="PMingLiU"/>
          <w:spacing w:val="22"/>
          <w:szCs w:val="22"/>
          <w:lang w:eastAsia="en-US"/>
        </w:rPr>
        <w:t xml:space="preserve"> </w:t>
      </w:r>
      <w:r>
        <w:rPr>
          <w:rFonts w:eastAsia="PMingLiU"/>
          <w:spacing w:val="1"/>
          <w:szCs w:val="22"/>
          <w:lang w:eastAsia="en-US"/>
        </w:rPr>
        <w:t>при</w:t>
      </w:r>
      <w:r>
        <w:rPr>
          <w:rFonts w:eastAsia="PMingLiU"/>
          <w:spacing w:val="26"/>
          <w:szCs w:val="22"/>
          <w:lang w:eastAsia="en-US"/>
        </w:rPr>
        <w:t xml:space="preserve"> </w:t>
      </w:r>
      <w:r>
        <w:rPr>
          <w:rFonts w:eastAsia="PMingLiU"/>
          <w:szCs w:val="22"/>
          <w:lang w:eastAsia="en-US"/>
        </w:rPr>
        <w:t>этом</w:t>
      </w:r>
      <w:r>
        <w:rPr>
          <w:rFonts w:eastAsia="PMingLiU"/>
          <w:spacing w:val="25"/>
          <w:szCs w:val="22"/>
          <w:lang w:eastAsia="en-US"/>
        </w:rPr>
        <w:t xml:space="preserve"> </w:t>
      </w:r>
      <w:r>
        <w:rPr>
          <w:rFonts w:eastAsia="PMingLiU"/>
          <w:szCs w:val="22"/>
          <w:lang w:eastAsia="en-US"/>
        </w:rPr>
        <w:t>на</w:t>
      </w:r>
      <w:r>
        <w:rPr>
          <w:rFonts w:eastAsia="PMingLiU"/>
          <w:spacing w:val="25"/>
          <w:szCs w:val="22"/>
          <w:lang w:eastAsia="en-US"/>
        </w:rPr>
        <w:t xml:space="preserve"> </w:t>
      </w:r>
      <w:r>
        <w:rPr>
          <w:rFonts w:eastAsia="PMingLiU"/>
          <w:szCs w:val="22"/>
          <w:lang w:eastAsia="en-US"/>
        </w:rPr>
        <w:t>ящик</w:t>
      </w:r>
      <w:r>
        <w:rPr>
          <w:rFonts w:eastAsia="PMingLiU"/>
          <w:spacing w:val="54"/>
          <w:szCs w:val="22"/>
          <w:lang w:eastAsia="en-US"/>
        </w:rPr>
        <w:t xml:space="preserve"> </w:t>
      </w:r>
      <w:r>
        <w:rPr>
          <w:rFonts w:eastAsia="PMingLiU"/>
          <w:spacing w:val="1"/>
          <w:szCs w:val="22"/>
          <w:lang w:eastAsia="en-US"/>
        </w:rPr>
        <w:t>должна</w:t>
      </w:r>
      <w:r>
        <w:rPr>
          <w:rFonts w:eastAsia="PMingLiU"/>
          <w:spacing w:val="6"/>
          <w:szCs w:val="22"/>
          <w:lang w:eastAsia="en-US"/>
        </w:rPr>
        <w:t xml:space="preserve"> </w:t>
      </w:r>
      <w:r>
        <w:rPr>
          <w:rFonts w:eastAsia="PMingLiU"/>
          <w:spacing w:val="1"/>
          <w:szCs w:val="22"/>
          <w:lang w:eastAsia="en-US"/>
        </w:rPr>
        <w:t>быть</w:t>
      </w:r>
      <w:r>
        <w:rPr>
          <w:rFonts w:eastAsia="PMingLiU"/>
          <w:spacing w:val="5"/>
          <w:szCs w:val="22"/>
          <w:lang w:eastAsia="en-US"/>
        </w:rPr>
        <w:t xml:space="preserve"> </w:t>
      </w:r>
      <w:r>
        <w:rPr>
          <w:rFonts w:eastAsia="PMingLiU"/>
          <w:spacing w:val="1"/>
          <w:szCs w:val="22"/>
          <w:lang w:eastAsia="en-US"/>
        </w:rPr>
        <w:t>нанесена</w:t>
      </w:r>
      <w:r>
        <w:rPr>
          <w:rFonts w:eastAsia="PMingLiU"/>
          <w:spacing w:val="6"/>
          <w:szCs w:val="22"/>
          <w:lang w:eastAsia="en-US"/>
        </w:rPr>
        <w:t xml:space="preserve"> </w:t>
      </w:r>
      <w:r>
        <w:rPr>
          <w:rFonts w:eastAsia="PMingLiU"/>
          <w:spacing w:val="1"/>
          <w:szCs w:val="22"/>
          <w:lang w:eastAsia="en-US"/>
        </w:rPr>
        <w:t>надпись</w:t>
      </w:r>
      <w:r>
        <w:rPr>
          <w:rFonts w:eastAsia="PMingLiU"/>
          <w:spacing w:val="14"/>
          <w:szCs w:val="22"/>
          <w:lang w:eastAsia="en-US"/>
        </w:rPr>
        <w:t xml:space="preserve"> </w:t>
      </w:r>
      <w:r>
        <w:rPr>
          <w:rFonts w:eastAsia="PMingLiU"/>
          <w:spacing w:val="-1"/>
          <w:szCs w:val="22"/>
          <w:lang w:eastAsia="en-US"/>
        </w:rPr>
        <w:t>«Документация</w:t>
      </w:r>
      <w:r>
        <w:rPr>
          <w:rFonts w:eastAsia="PMingLiU"/>
          <w:spacing w:val="1"/>
          <w:szCs w:val="22"/>
          <w:lang w:eastAsia="en-US"/>
        </w:rPr>
        <w:t xml:space="preserve"> </w:t>
      </w:r>
      <w:r>
        <w:rPr>
          <w:rFonts w:eastAsia="PMingLiU"/>
          <w:spacing w:val="-1"/>
          <w:szCs w:val="22"/>
          <w:lang w:eastAsia="en-US"/>
        </w:rPr>
        <w:t>находится</w:t>
      </w:r>
      <w:r>
        <w:rPr>
          <w:rFonts w:eastAsia="PMingLiU"/>
          <w:spacing w:val="4"/>
          <w:szCs w:val="22"/>
          <w:lang w:eastAsia="en-US"/>
        </w:rPr>
        <w:t xml:space="preserve"> </w:t>
      </w:r>
      <w:r>
        <w:rPr>
          <w:rFonts w:eastAsia="PMingLiU"/>
          <w:spacing w:val="-1"/>
          <w:szCs w:val="22"/>
          <w:lang w:eastAsia="en-US"/>
        </w:rPr>
        <w:t>здесь».</w:t>
      </w:r>
      <w:r>
        <w:rPr>
          <w:rFonts w:eastAsia="PMingLiU"/>
          <w:spacing w:val="3"/>
          <w:szCs w:val="22"/>
          <w:lang w:eastAsia="en-US"/>
        </w:rPr>
        <w:t xml:space="preserve"> </w:t>
      </w:r>
      <w:r>
        <w:rPr>
          <w:rFonts w:eastAsia="PMingLiU"/>
          <w:szCs w:val="22"/>
          <w:lang w:eastAsia="en-US"/>
        </w:rPr>
        <w:t>В</w:t>
      </w:r>
      <w:r>
        <w:rPr>
          <w:rFonts w:eastAsia="PMingLiU"/>
          <w:spacing w:val="3"/>
          <w:szCs w:val="22"/>
          <w:lang w:eastAsia="en-US"/>
        </w:rPr>
        <w:t xml:space="preserve"> </w:t>
      </w:r>
      <w:r>
        <w:rPr>
          <w:rFonts w:eastAsia="PMingLiU"/>
          <w:spacing w:val="-1"/>
          <w:szCs w:val="22"/>
          <w:lang w:eastAsia="en-US"/>
        </w:rPr>
        <w:t>случае</w:t>
      </w:r>
      <w:r>
        <w:rPr>
          <w:rFonts w:eastAsia="PMingLiU"/>
          <w:spacing w:val="32"/>
          <w:szCs w:val="22"/>
          <w:lang w:eastAsia="en-US"/>
        </w:rPr>
        <w:t xml:space="preserve"> </w:t>
      </w:r>
      <w:r>
        <w:rPr>
          <w:rFonts w:eastAsia="PMingLiU"/>
          <w:spacing w:val="-1"/>
          <w:szCs w:val="22"/>
          <w:lang w:eastAsia="en-US"/>
        </w:rPr>
        <w:t>транспортирования</w:t>
      </w:r>
      <w:r>
        <w:rPr>
          <w:rFonts w:eastAsia="PMingLiU"/>
          <w:spacing w:val="67"/>
          <w:szCs w:val="22"/>
          <w:lang w:eastAsia="en-US"/>
        </w:rPr>
        <w:t xml:space="preserve"> </w:t>
      </w:r>
      <w:r>
        <w:rPr>
          <w:rFonts w:eastAsia="PMingLiU"/>
          <w:spacing w:val="-1"/>
          <w:szCs w:val="22"/>
          <w:lang w:eastAsia="en-US"/>
        </w:rPr>
        <w:t>крана шарового</w:t>
      </w:r>
      <w:r>
        <w:rPr>
          <w:rFonts w:eastAsia="PMingLiU"/>
          <w:spacing w:val="67"/>
          <w:szCs w:val="22"/>
          <w:lang w:eastAsia="en-US"/>
        </w:rPr>
        <w:t xml:space="preserve"> </w:t>
      </w:r>
      <w:r>
        <w:rPr>
          <w:rFonts w:eastAsia="PMingLiU"/>
          <w:szCs w:val="22"/>
          <w:lang w:eastAsia="en-US"/>
        </w:rPr>
        <w:t>без</w:t>
      </w:r>
      <w:r>
        <w:rPr>
          <w:rFonts w:eastAsia="PMingLiU"/>
          <w:spacing w:val="68"/>
          <w:szCs w:val="22"/>
          <w:lang w:eastAsia="en-US"/>
        </w:rPr>
        <w:t xml:space="preserve"> </w:t>
      </w:r>
      <w:r>
        <w:rPr>
          <w:rFonts w:eastAsia="PMingLiU"/>
          <w:spacing w:val="-1"/>
          <w:szCs w:val="22"/>
          <w:lang w:eastAsia="en-US"/>
        </w:rPr>
        <w:t>тары,</w:t>
      </w:r>
      <w:r>
        <w:rPr>
          <w:rFonts w:eastAsia="PMingLiU"/>
          <w:spacing w:val="68"/>
          <w:szCs w:val="22"/>
          <w:lang w:eastAsia="en-US"/>
        </w:rPr>
        <w:t xml:space="preserve"> </w:t>
      </w:r>
      <w:r>
        <w:rPr>
          <w:rFonts w:eastAsia="PMingLiU"/>
          <w:spacing w:val="-1"/>
          <w:szCs w:val="22"/>
          <w:lang w:eastAsia="en-US"/>
        </w:rPr>
        <w:t>документация</w:t>
      </w:r>
      <w:r>
        <w:rPr>
          <w:rFonts w:eastAsia="PMingLiU"/>
          <w:spacing w:val="64"/>
          <w:szCs w:val="22"/>
          <w:lang w:eastAsia="en-US"/>
        </w:rPr>
        <w:t xml:space="preserve"> </w:t>
      </w:r>
      <w:r>
        <w:rPr>
          <w:rFonts w:eastAsia="PMingLiU"/>
          <w:spacing w:val="-2"/>
          <w:szCs w:val="22"/>
          <w:lang w:eastAsia="en-US"/>
        </w:rPr>
        <w:t>должна</w:t>
      </w:r>
      <w:r>
        <w:rPr>
          <w:rFonts w:eastAsia="PMingLiU"/>
          <w:spacing w:val="66"/>
          <w:szCs w:val="22"/>
          <w:lang w:eastAsia="en-US"/>
        </w:rPr>
        <w:t xml:space="preserve"> </w:t>
      </w:r>
      <w:r>
        <w:rPr>
          <w:rFonts w:eastAsia="PMingLiU"/>
          <w:spacing w:val="-2"/>
          <w:szCs w:val="22"/>
          <w:lang w:eastAsia="en-US"/>
        </w:rPr>
        <w:t>размещаться</w:t>
      </w:r>
      <w:r>
        <w:rPr>
          <w:rFonts w:eastAsia="PMingLiU"/>
          <w:spacing w:val="67"/>
          <w:szCs w:val="22"/>
          <w:lang w:eastAsia="en-US"/>
        </w:rPr>
        <w:t xml:space="preserve"> </w:t>
      </w:r>
      <w:r>
        <w:rPr>
          <w:rFonts w:eastAsia="PMingLiU"/>
          <w:szCs w:val="22"/>
          <w:lang w:eastAsia="en-US"/>
        </w:rPr>
        <w:t>в</w:t>
      </w:r>
      <w:r>
        <w:rPr>
          <w:rFonts w:eastAsia="PMingLiU"/>
          <w:spacing w:val="45"/>
          <w:szCs w:val="22"/>
          <w:lang w:eastAsia="en-US"/>
        </w:rPr>
        <w:t xml:space="preserve"> </w:t>
      </w:r>
      <w:r>
        <w:rPr>
          <w:rFonts w:eastAsia="PMingLiU"/>
          <w:spacing w:val="-3"/>
          <w:szCs w:val="22"/>
          <w:lang w:eastAsia="en-US"/>
        </w:rPr>
        <w:t xml:space="preserve">проходной части корпуса </w:t>
      </w:r>
      <w:r>
        <w:rPr>
          <w:rFonts w:eastAsia="PMingLiU"/>
          <w:spacing w:val="-2"/>
          <w:szCs w:val="22"/>
          <w:lang w:eastAsia="en-US"/>
        </w:rPr>
        <w:t>крана шарового.</w:t>
      </w:r>
    </w:p>
    <w:p>
      <w:pPr>
        <w:widowControl w:val="0"/>
        <w:tabs>
          <w:tab w:val="left" w:pos="993"/>
        </w:tabs>
        <w:ind w:right="107"/>
        <w:rPr>
          <w:rFonts w:eastAsia="PMingLiU"/>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Методы консервации и применяемые для этого материалы должны обеспечивать возможность расконсервации крана шарового без их разборки.</w:t>
      </w:r>
    </w:p>
    <w:p>
      <w:pPr>
        <w:widowControl w:val="0"/>
        <w:tabs>
          <w:tab w:val="left" w:pos="993"/>
        </w:tabs>
        <w:ind w:right="-1"/>
        <w:rPr>
          <w:rFonts w:eastAsia="PMingLiU"/>
          <w:spacing w:val="-1"/>
          <w:szCs w:val="22"/>
          <w:lang w:eastAsia="en-US"/>
        </w:rPr>
      </w:pPr>
    </w:p>
    <w:p>
      <w:pPr>
        <w:widowControl w:val="0"/>
        <w:tabs>
          <w:tab w:val="left" w:pos="993"/>
        </w:tabs>
        <w:ind w:right="-1"/>
        <w:rPr>
          <w:rFonts w:eastAsia="PMingLiU"/>
          <w:spacing w:val="-1"/>
          <w:szCs w:val="22"/>
          <w:lang w:eastAsia="en-US"/>
        </w:rPr>
      </w:pPr>
      <w:r>
        <w:rPr>
          <w:rFonts w:eastAsia="PMingLiU"/>
          <w:spacing w:val="-1"/>
          <w:szCs w:val="22"/>
          <w:lang w:eastAsia="en-US"/>
        </w:rPr>
        <w:t>Консервация должна обеспечить срок хранения крана шарового в неповрежденной заводской упаковке не менее 36 месяцев. По истечении 36 месяцев при необходимости производить переконсервацию с отметкой в паспорте.</w:t>
      </w:r>
    </w:p>
    <w:p>
      <w:pPr>
        <w:widowControl w:val="0"/>
        <w:tabs>
          <w:tab w:val="left" w:pos="1079"/>
          <w:tab w:val="left" w:pos="1165"/>
        </w:tabs>
        <w:ind w:right="106"/>
        <w:rPr>
          <w:rFonts w:eastAsia="PMingLiU"/>
          <w:lang w:eastAsia="en-US"/>
        </w:rPr>
      </w:pPr>
    </w:p>
    <w:p>
      <w:pPr>
        <w:widowControl w:val="0"/>
        <w:tabs>
          <w:tab w:val="left" w:pos="1079"/>
          <w:tab w:val="left" w:pos="1165"/>
        </w:tabs>
        <w:ind w:right="106"/>
        <w:rPr>
          <w:rFonts w:eastAsia="PMingLiU"/>
          <w:lang w:eastAsia="en-US"/>
        </w:rPr>
      </w:pPr>
    </w:p>
    <w:p>
      <w:pPr>
        <w:pStyle w:val="S20"/>
        <w:numPr>
          <w:ilvl w:val="1"/>
          <w:numId w:val="26"/>
        </w:numPr>
        <w:ind w:left="0" w:firstLine="0"/>
        <w:rPr>
          <w:rFonts w:eastAsia="Calibri" w:cs="Arial"/>
          <w:bCs/>
          <w:iCs/>
          <w:caps w:val="0"/>
          <w:szCs w:val="28"/>
        </w:rPr>
      </w:pPr>
      <w:bookmarkStart w:id="231" w:name="_Toc392607773"/>
      <w:bookmarkStart w:id="232" w:name="_Toc392695950"/>
      <w:bookmarkStart w:id="233" w:name="_Toc392696006"/>
      <w:bookmarkStart w:id="234" w:name="_Toc392752856"/>
      <w:bookmarkStart w:id="235" w:name="_Toc404615333"/>
      <w:bookmarkStart w:id="236" w:name="_Toc481662415"/>
      <w:bookmarkStart w:id="237" w:name="_Toc514169535"/>
      <w:r>
        <w:rPr>
          <w:rFonts w:eastAsia="Calibri" w:cs="Arial"/>
          <w:bCs/>
          <w:iCs/>
          <w:caps w:val="0"/>
          <w:szCs w:val="28"/>
        </w:rPr>
        <w:t>ТРЕБОВАНИЯ К ПРОМЫШЛЕННОЙ, ПОЖАРНОЙ, ЭКОЛОГИЧЕСКОЙ</w:t>
      </w:r>
      <w:r>
        <w:rPr>
          <w:rFonts w:eastAsia="Calibri"/>
          <w:b w:val="0"/>
          <w:caps w:val="0"/>
        </w:rPr>
        <w:t xml:space="preserve"> </w:t>
      </w:r>
      <w:r>
        <w:rPr>
          <w:rFonts w:eastAsia="Calibri" w:cs="Arial"/>
          <w:bCs/>
          <w:iCs/>
          <w:caps w:val="0"/>
          <w:szCs w:val="28"/>
        </w:rPr>
        <w:t>БЕЗОПАСНОСТ</w:t>
      </w:r>
      <w:bookmarkEnd w:id="231"/>
      <w:bookmarkEnd w:id="232"/>
      <w:bookmarkEnd w:id="233"/>
      <w:bookmarkEnd w:id="234"/>
      <w:bookmarkEnd w:id="235"/>
      <w:r>
        <w:rPr>
          <w:rFonts w:eastAsia="Calibri" w:cs="Arial"/>
          <w:bCs/>
          <w:iCs/>
          <w:caps w:val="0"/>
          <w:szCs w:val="28"/>
        </w:rPr>
        <w:t>И И ОХРАНЕ ТРУДА</w:t>
      </w:r>
      <w:bookmarkEnd w:id="236"/>
      <w:bookmarkEnd w:id="237"/>
    </w:p>
    <w:p>
      <w:pPr>
        <w:widowControl w:val="0"/>
        <w:tabs>
          <w:tab w:val="left" w:pos="1520"/>
        </w:tabs>
        <w:ind w:right="108"/>
        <w:rPr>
          <w:rFonts w:eastAsia="PMingLiU"/>
          <w:spacing w:val="-1"/>
          <w:szCs w:val="22"/>
          <w:lang w:eastAsia="en-US"/>
        </w:rPr>
      </w:pPr>
    </w:p>
    <w:p>
      <w:pPr>
        <w:widowControl w:val="0"/>
        <w:tabs>
          <w:tab w:val="left" w:pos="1520"/>
        </w:tabs>
        <w:ind w:right="108"/>
        <w:rPr>
          <w:rFonts w:eastAsia="PMingLiU"/>
          <w:spacing w:val="-1"/>
          <w:szCs w:val="22"/>
          <w:lang w:eastAsia="en-US"/>
        </w:rPr>
      </w:pPr>
    </w:p>
    <w:p>
      <w:pPr>
        <w:pStyle w:val="S30"/>
      </w:pPr>
      <w:bookmarkStart w:id="238" w:name="_Toc389655529"/>
      <w:bookmarkStart w:id="239" w:name="_Toc392752857"/>
      <w:bookmarkStart w:id="240" w:name="_Toc404615334"/>
      <w:bookmarkStart w:id="241" w:name="_Toc481662416"/>
      <w:bookmarkStart w:id="242" w:name="_Toc514169536"/>
      <w:r>
        <w:t>4.11.1.</w:t>
      </w:r>
      <w:r>
        <w:tab/>
        <w:t>ОБЩИЕ ТРЕБОВАНИЯ БЕЗОПАСНОСТИ</w:t>
      </w:r>
      <w:bookmarkEnd w:id="238"/>
      <w:bookmarkEnd w:id="239"/>
      <w:bookmarkEnd w:id="240"/>
      <w:bookmarkEnd w:id="241"/>
      <w:bookmarkEnd w:id="242"/>
    </w:p>
    <w:p>
      <w:pPr>
        <w:widowControl w:val="0"/>
        <w:tabs>
          <w:tab w:val="left" w:pos="709"/>
        </w:tabs>
        <w:ind w:right="117"/>
        <w:rPr>
          <w:rFonts w:eastAsia="PMingLiU"/>
          <w:spacing w:val="-2"/>
          <w:szCs w:val="22"/>
          <w:lang w:eastAsia="en-US"/>
        </w:rPr>
      </w:pPr>
    </w:p>
    <w:p>
      <w:pPr>
        <w:pStyle w:val="S0"/>
        <w:tabs>
          <w:tab w:val="left" w:pos="993"/>
        </w:tabs>
      </w:pPr>
      <w:r>
        <w:t xml:space="preserve">Требования по охране труда и промышленной безопасности предусмотреть в соответствии с </w:t>
      </w:r>
      <w:r>
        <w:rPr>
          <w:rFonts w:eastAsia="PMingLiU"/>
          <w:spacing w:val="-2"/>
          <w:szCs w:val="22"/>
          <w:lang w:eastAsia="en-US"/>
        </w:rPr>
        <w:t>ГОСТ</w:t>
      </w:r>
      <w:r>
        <w:rPr>
          <w:rFonts w:eastAsia="PMingLiU"/>
          <w:spacing w:val="-2"/>
          <w:szCs w:val="22"/>
          <w:lang w:val="en-US" w:eastAsia="en-US"/>
        </w:rPr>
        <w:t> </w:t>
      </w:r>
      <w:r>
        <w:rPr>
          <w:rFonts w:eastAsia="PMingLiU"/>
          <w:spacing w:val="-2"/>
          <w:szCs w:val="22"/>
          <w:lang w:eastAsia="en-US"/>
        </w:rPr>
        <w:t xml:space="preserve">12.2.063, </w:t>
      </w:r>
      <w:r>
        <w:t>Федеральными нормами и правилами в области промышленной безопасности «Правила безопасности в нефтяной и газовой промышленности», утвержденными приказом Ростехнадзора от 12.03.2013 №</w:t>
      </w:r>
      <w:r>
        <w:rPr>
          <w:lang w:val="en-US"/>
        </w:rPr>
        <w:t> </w:t>
      </w:r>
      <w:r>
        <w:t>101, настоящими Методическими указаниями.</w:t>
      </w:r>
    </w:p>
    <w:p>
      <w:pPr>
        <w:pStyle w:val="S0"/>
        <w:tabs>
          <w:tab w:val="left" w:pos="993"/>
        </w:tabs>
      </w:pPr>
    </w:p>
    <w:p>
      <w:pPr>
        <w:widowControl w:val="0"/>
        <w:tabs>
          <w:tab w:val="left" w:pos="709"/>
        </w:tabs>
        <w:ind w:right="117"/>
        <w:rPr>
          <w:rFonts w:eastAsia="PMingLiU"/>
          <w:spacing w:val="-2"/>
          <w:szCs w:val="22"/>
          <w:lang w:eastAsia="en-US"/>
        </w:rPr>
      </w:pPr>
      <w:r>
        <w:rPr>
          <w:rFonts w:eastAsia="PMingLiU"/>
          <w:spacing w:val="-2"/>
          <w:szCs w:val="22"/>
          <w:lang w:eastAsia="en-US"/>
        </w:rPr>
        <w:t>Требования промышленной и экологической безопасности, должны быть обеспечены:</w:t>
      </w:r>
    </w:p>
    <w:p>
      <w:pPr>
        <w:numPr>
          <w:ilvl w:val="0"/>
          <w:numId w:val="22"/>
        </w:numPr>
        <w:tabs>
          <w:tab w:val="left" w:pos="539"/>
        </w:tabs>
        <w:spacing w:before="120"/>
        <w:ind w:left="538" w:hanging="357"/>
        <w:rPr>
          <w:rFonts w:eastAsia="PMingLiU"/>
          <w:spacing w:val="-2"/>
          <w:szCs w:val="22"/>
          <w:lang w:eastAsia="en-US"/>
        </w:rPr>
      </w:pPr>
      <w:r>
        <w:rPr>
          <w:rFonts w:eastAsia="PMingLiU"/>
          <w:spacing w:val="-2"/>
          <w:szCs w:val="22"/>
          <w:lang w:eastAsia="en-US"/>
        </w:rPr>
        <w:lastRenderedPageBreak/>
        <w:t>подбором материалов для основных сборочных единиц, деталей и элементов кранов шаровых, работающих под давлением, с учетом рабочих параметров рабочей среды и условий эксплуатации;</w:t>
      </w:r>
    </w:p>
    <w:p>
      <w:pPr>
        <w:numPr>
          <w:ilvl w:val="0"/>
          <w:numId w:val="22"/>
        </w:numPr>
        <w:tabs>
          <w:tab w:val="left" w:pos="539"/>
        </w:tabs>
        <w:spacing w:before="120"/>
        <w:ind w:left="538" w:hanging="357"/>
        <w:rPr>
          <w:rFonts w:eastAsia="PMingLiU"/>
          <w:spacing w:val="-2"/>
          <w:szCs w:val="22"/>
          <w:lang w:eastAsia="en-US"/>
        </w:rPr>
      </w:pPr>
      <w:r>
        <w:rPr>
          <w:rFonts w:eastAsia="PMingLiU"/>
          <w:spacing w:val="-2"/>
          <w:szCs w:val="22"/>
          <w:lang w:eastAsia="en-US"/>
        </w:rPr>
        <w:t>проведением расчетов на прочность основных элементов кранов шаровых, с учетом сейсмических нагрузок и нагрузок, передаваемых от трубопровода;</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герметичностью по отношению к окружающей среде;</w:t>
      </w:r>
    </w:p>
    <w:p>
      <w:pPr>
        <w:numPr>
          <w:ilvl w:val="0"/>
          <w:numId w:val="12"/>
        </w:numPr>
        <w:tabs>
          <w:tab w:val="left" w:pos="539"/>
        </w:tabs>
        <w:spacing w:before="120"/>
        <w:ind w:left="538" w:hanging="357"/>
        <w:rPr>
          <w:rFonts w:eastAsia="PMingLiU"/>
          <w:spacing w:val="-2"/>
          <w:szCs w:val="22"/>
          <w:lang w:eastAsia="en-US"/>
        </w:rPr>
      </w:pPr>
      <w:r>
        <w:t>проведением расчетов на сопротивление хрупкому разрушению для возможности опрессовки воздухом давлением 1,1</w:t>
      </w:r>
      <w:r>
        <w:rPr>
          <w:rFonts w:eastAsia="PMingLiU"/>
          <w:spacing w:val="-3"/>
          <w:szCs w:val="22"/>
          <w:lang w:eastAsia="en-US"/>
        </w:rPr>
        <w:t> </w:t>
      </w:r>
      <w:r>
        <w:rPr>
          <w:lang w:val="en-US"/>
        </w:rPr>
        <w:t>PN</w:t>
      </w:r>
      <w:r>
        <w:t xml:space="preserve"> при температуре минус 40</w:t>
      </w:r>
      <w:r>
        <w:rPr>
          <w:rFonts w:eastAsia="PMingLiU"/>
          <w:spacing w:val="-3"/>
          <w:szCs w:val="22"/>
          <w:lang w:eastAsia="en-US"/>
        </w:rPr>
        <w:t> </w:t>
      </w:r>
      <w:r>
        <w:t>°С;</w:t>
      </w:r>
    </w:p>
    <w:p>
      <w:pPr>
        <w:numPr>
          <w:ilvl w:val="0"/>
          <w:numId w:val="22"/>
        </w:numPr>
        <w:tabs>
          <w:tab w:val="left" w:pos="539"/>
        </w:tabs>
        <w:spacing w:before="120"/>
        <w:ind w:left="538" w:hanging="357"/>
        <w:rPr>
          <w:rFonts w:eastAsia="PMingLiU"/>
          <w:spacing w:val="-2"/>
          <w:szCs w:val="22"/>
          <w:lang w:eastAsia="en-US"/>
        </w:rPr>
      </w:pPr>
      <w:r>
        <w:t>утилизацией деталей, вышедших из строя или отработавших ресурс, предварительно отпаренных специализированными предприятиями, имеющими лицензию на обращение с опасными отходами, в соответствии с требованиями Федерального закона от 27.12.2002 № 184-ФЗ «О техническом регулировании» и Федерального закона от 24.06.1998 № 89-ФЗ «Об отходах производства и потребления».</w:t>
      </w:r>
    </w:p>
    <w:p>
      <w:pPr>
        <w:tabs>
          <w:tab w:val="left" w:pos="539"/>
        </w:tabs>
        <w:rPr>
          <w:rFonts w:eastAsia="PMingLiU"/>
          <w:spacing w:val="-2"/>
          <w:szCs w:val="22"/>
          <w:lang w:eastAsia="en-US"/>
        </w:rPr>
      </w:pPr>
    </w:p>
    <w:p>
      <w:pPr>
        <w:pStyle w:val="S0"/>
        <w:tabs>
          <w:tab w:val="left" w:pos="993"/>
        </w:tabs>
      </w:pPr>
      <w:r>
        <w:t>Кран шаровой не должен являться источником шума, вибрации, ультразвуковых колебаний. Требования безопасности в части вибрации в соответствии с ГОСТ</w:t>
      </w:r>
      <w:r>
        <w:rPr>
          <w:lang w:val="en-US"/>
        </w:rPr>
        <w:t> </w:t>
      </w:r>
      <w:r>
        <w:t>12.1.012.</w:t>
      </w:r>
    </w:p>
    <w:p>
      <w:pPr>
        <w:pStyle w:val="S0"/>
        <w:tabs>
          <w:tab w:val="left" w:pos="993"/>
        </w:tabs>
      </w:pPr>
    </w:p>
    <w:p>
      <w:pPr>
        <w:pStyle w:val="S0"/>
        <w:tabs>
          <w:tab w:val="left" w:pos="993"/>
        </w:tabs>
      </w:pPr>
      <w:r>
        <w:t>Содержание вредных веществ возле разъемных соединений кранов шаровых не должно превышать норму для класса опасности 3 по ГОСТ</w:t>
      </w:r>
      <w:r>
        <w:rPr>
          <w:lang w:val="en-US"/>
        </w:rPr>
        <w:t> </w:t>
      </w:r>
      <w:r>
        <w:t>12.1.007. Концентрация вредных веществ в воздухе рабочей зоны не должна превышать предельно допустимые значения, предусмотренные ГН</w:t>
      </w:r>
      <w:r>
        <w:rPr>
          <w:lang w:val="en-US"/>
        </w:rPr>
        <w:t> </w:t>
      </w:r>
      <w:r>
        <w:t>2.2.5.1313.</w:t>
      </w:r>
    </w:p>
    <w:p>
      <w:pPr>
        <w:pStyle w:val="S0"/>
        <w:tabs>
          <w:tab w:val="left" w:pos="993"/>
        </w:tabs>
      </w:pPr>
    </w:p>
    <w:p>
      <w:pPr>
        <w:pStyle w:val="S0"/>
        <w:tabs>
          <w:tab w:val="left" w:pos="993"/>
        </w:tabs>
      </w:pPr>
    </w:p>
    <w:p>
      <w:pPr>
        <w:pStyle w:val="S30"/>
      </w:pPr>
      <w:bookmarkStart w:id="243" w:name="_Toc389655531"/>
      <w:bookmarkStart w:id="244" w:name="_Toc392752859"/>
      <w:bookmarkStart w:id="245" w:name="_Toc404615336"/>
      <w:bookmarkStart w:id="246" w:name="_Toc481662418"/>
      <w:bookmarkStart w:id="247" w:name="_Toc514169537"/>
      <w:r>
        <w:t>4.11.3.</w:t>
      </w:r>
      <w:r>
        <w:tab/>
        <w:t>ТРЕБОВАНИЯ БЕЗОПАСНОСТИ ПРИ ТРАНСПОРТИРОВАНИИ И ХРАНЕНИИ</w:t>
      </w:r>
      <w:bookmarkEnd w:id="243"/>
      <w:bookmarkEnd w:id="244"/>
      <w:bookmarkEnd w:id="245"/>
      <w:bookmarkEnd w:id="246"/>
      <w:bookmarkEnd w:id="247"/>
    </w:p>
    <w:p>
      <w:pPr>
        <w:widowControl w:val="0"/>
        <w:rPr>
          <w:rFonts w:eastAsia="Times New Roman"/>
        </w:rPr>
      </w:pPr>
    </w:p>
    <w:p>
      <w:pPr>
        <w:widowControl w:val="0"/>
        <w:tabs>
          <w:tab w:val="left" w:pos="0"/>
          <w:tab w:val="left" w:pos="993"/>
        </w:tabs>
        <w:ind w:right="-1"/>
        <w:rPr>
          <w:rFonts w:eastAsia="PMingLiU"/>
          <w:szCs w:val="22"/>
          <w:lang w:eastAsia="en-US"/>
        </w:rPr>
      </w:pPr>
      <w:r>
        <w:rPr>
          <w:rFonts w:eastAsia="PMingLiU"/>
          <w:spacing w:val="-1"/>
          <w:szCs w:val="22"/>
          <w:lang w:eastAsia="en-US"/>
        </w:rPr>
        <w:t>Требования</w:t>
      </w:r>
      <w:r>
        <w:rPr>
          <w:rFonts w:eastAsia="PMingLiU"/>
          <w:spacing w:val="54"/>
          <w:szCs w:val="22"/>
          <w:lang w:eastAsia="en-US"/>
        </w:rPr>
        <w:t xml:space="preserve"> </w:t>
      </w:r>
      <w:r>
        <w:rPr>
          <w:rFonts w:eastAsia="PMingLiU"/>
          <w:spacing w:val="-1"/>
          <w:szCs w:val="22"/>
          <w:lang w:eastAsia="en-US"/>
        </w:rPr>
        <w:t>безопасности</w:t>
      </w:r>
      <w:r>
        <w:rPr>
          <w:rFonts w:eastAsia="PMingLiU"/>
          <w:spacing w:val="52"/>
          <w:szCs w:val="22"/>
          <w:lang w:eastAsia="en-US"/>
        </w:rPr>
        <w:t xml:space="preserve"> </w:t>
      </w:r>
      <w:r>
        <w:rPr>
          <w:rFonts w:eastAsia="PMingLiU"/>
          <w:spacing w:val="-1"/>
          <w:szCs w:val="22"/>
          <w:lang w:eastAsia="en-US"/>
        </w:rPr>
        <w:t>при</w:t>
      </w:r>
      <w:r>
        <w:rPr>
          <w:rFonts w:eastAsia="PMingLiU"/>
          <w:spacing w:val="54"/>
          <w:szCs w:val="22"/>
          <w:lang w:eastAsia="en-US"/>
        </w:rPr>
        <w:t xml:space="preserve"> </w:t>
      </w:r>
      <w:r>
        <w:rPr>
          <w:rFonts w:eastAsia="PMingLiU"/>
          <w:spacing w:val="-1"/>
          <w:szCs w:val="22"/>
          <w:lang w:eastAsia="en-US"/>
        </w:rPr>
        <w:t>погрузочно-разгрузочных</w:t>
      </w:r>
      <w:r>
        <w:rPr>
          <w:rFonts w:eastAsia="PMingLiU"/>
          <w:spacing w:val="54"/>
          <w:szCs w:val="22"/>
          <w:lang w:eastAsia="en-US"/>
        </w:rPr>
        <w:t xml:space="preserve"> </w:t>
      </w:r>
      <w:r>
        <w:rPr>
          <w:rFonts w:eastAsia="PMingLiU"/>
          <w:spacing w:val="-2"/>
          <w:szCs w:val="22"/>
          <w:lang w:eastAsia="en-US"/>
        </w:rPr>
        <w:t>работах</w:t>
      </w:r>
      <w:r>
        <w:rPr>
          <w:rFonts w:eastAsia="PMingLiU"/>
          <w:spacing w:val="39"/>
          <w:szCs w:val="22"/>
          <w:lang w:eastAsia="en-US"/>
        </w:rPr>
        <w:t xml:space="preserve"> </w:t>
      </w:r>
      <w:r>
        <w:rPr>
          <w:rFonts w:eastAsia="PMingLiU"/>
          <w:spacing w:val="-1"/>
          <w:szCs w:val="22"/>
          <w:lang w:eastAsia="en-US"/>
        </w:rPr>
        <w:t>должны</w:t>
      </w:r>
      <w:r>
        <w:rPr>
          <w:rFonts w:eastAsia="PMingLiU"/>
          <w:szCs w:val="22"/>
          <w:lang w:eastAsia="en-US"/>
        </w:rPr>
        <w:t xml:space="preserve"> </w:t>
      </w:r>
      <w:r>
        <w:rPr>
          <w:rFonts w:eastAsia="PMingLiU"/>
          <w:spacing w:val="-1"/>
          <w:szCs w:val="22"/>
          <w:lang w:eastAsia="en-US"/>
        </w:rPr>
        <w:t>соответствовать</w:t>
      </w:r>
      <w:r>
        <w:rPr>
          <w:rFonts w:eastAsia="PMingLiU"/>
          <w:spacing w:val="-2"/>
          <w:szCs w:val="22"/>
          <w:lang w:eastAsia="en-US"/>
        </w:rPr>
        <w:t xml:space="preserve"> </w:t>
      </w:r>
      <w:r>
        <w:rPr>
          <w:rFonts w:eastAsia="PMingLiU"/>
          <w:spacing w:val="-1"/>
          <w:szCs w:val="22"/>
          <w:lang w:eastAsia="en-US"/>
        </w:rPr>
        <w:t>требованиям</w:t>
      </w:r>
      <w:r>
        <w:rPr>
          <w:rFonts w:eastAsia="PMingLiU"/>
          <w:szCs w:val="22"/>
          <w:lang w:eastAsia="en-US"/>
        </w:rPr>
        <w:t xml:space="preserve"> </w:t>
      </w:r>
      <w:r>
        <w:rPr>
          <w:rFonts w:eastAsia="PMingLiU"/>
          <w:spacing w:val="-1"/>
          <w:szCs w:val="22"/>
          <w:lang w:eastAsia="en-US"/>
        </w:rPr>
        <w:t>ГОСТ</w:t>
      </w:r>
      <w:r>
        <w:rPr>
          <w:rFonts w:eastAsia="PMingLiU"/>
          <w:spacing w:val="-1"/>
          <w:szCs w:val="22"/>
          <w:lang w:val="en-US" w:eastAsia="en-US"/>
        </w:rPr>
        <w:t> </w:t>
      </w:r>
      <w:r>
        <w:rPr>
          <w:rFonts w:eastAsia="PMingLiU"/>
          <w:spacing w:val="-1"/>
          <w:szCs w:val="22"/>
          <w:lang w:eastAsia="en-US"/>
        </w:rPr>
        <w:t>12.3.009, ТР</w:t>
      </w:r>
      <w:r>
        <w:rPr>
          <w:rFonts w:eastAsia="PMingLiU"/>
          <w:spacing w:val="-1"/>
          <w:szCs w:val="22"/>
          <w:lang w:val="en-US" w:eastAsia="en-US"/>
        </w:rPr>
        <w:t> </w:t>
      </w:r>
      <w:r>
        <w:rPr>
          <w:rFonts w:eastAsia="PMingLiU"/>
          <w:spacing w:val="-1"/>
          <w:szCs w:val="22"/>
          <w:lang w:eastAsia="en-US"/>
        </w:rPr>
        <w:t>ТС</w:t>
      </w:r>
      <w:r>
        <w:rPr>
          <w:rFonts w:eastAsia="PMingLiU"/>
          <w:spacing w:val="-1"/>
          <w:szCs w:val="22"/>
          <w:lang w:val="en-US" w:eastAsia="en-US"/>
        </w:rPr>
        <w:t> </w:t>
      </w:r>
      <w:r>
        <w:rPr>
          <w:rFonts w:eastAsia="PMingLiU"/>
          <w:spacing w:val="-1"/>
          <w:szCs w:val="22"/>
          <w:lang w:eastAsia="en-US"/>
        </w:rPr>
        <w:t>010.</w:t>
      </w:r>
    </w:p>
    <w:p>
      <w:pPr>
        <w:widowControl w:val="0"/>
        <w:tabs>
          <w:tab w:val="left" w:pos="0"/>
          <w:tab w:val="left" w:pos="993"/>
        </w:tabs>
        <w:ind w:right="112"/>
        <w:rPr>
          <w:rFonts w:eastAsia="PMingLiU"/>
          <w:szCs w:val="22"/>
          <w:lang w:eastAsia="en-US"/>
        </w:rPr>
      </w:pPr>
    </w:p>
    <w:p>
      <w:pPr>
        <w:widowControl w:val="0"/>
        <w:tabs>
          <w:tab w:val="left" w:pos="993"/>
        </w:tabs>
        <w:ind w:right="-1"/>
        <w:rPr>
          <w:rFonts w:eastAsia="PMingLiU"/>
          <w:szCs w:val="22"/>
          <w:lang w:eastAsia="en-US"/>
        </w:rPr>
      </w:pPr>
      <w:r>
        <w:rPr>
          <w:rFonts w:eastAsia="PMingLiU"/>
          <w:spacing w:val="-1"/>
          <w:szCs w:val="22"/>
          <w:lang w:eastAsia="en-US"/>
        </w:rPr>
        <w:t>В РЭ должны</w:t>
      </w:r>
      <w:r>
        <w:rPr>
          <w:rFonts w:eastAsia="PMingLiU"/>
          <w:spacing w:val="7"/>
          <w:szCs w:val="22"/>
          <w:lang w:eastAsia="en-US"/>
        </w:rPr>
        <w:t xml:space="preserve"> </w:t>
      </w:r>
      <w:r>
        <w:rPr>
          <w:rFonts w:eastAsia="PMingLiU"/>
          <w:szCs w:val="22"/>
          <w:lang w:eastAsia="en-US"/>
        </w:rPr>
        <w:t>быть</w:t>
      </w:r>
      <w:r>
        <w:rPr>
          <w:rFonts w:eastAsia="PMingLiU"/>
          <w:spacing w:val="7"/>
          <w:szCs w:val="22"/>
          <w:lang w:eastAsia="en-US"/>
        </w:rPr>
        <w:t xml:space="preserve"> </w:t>
      </w:r>
      <w:r>
        <w:rPr>
          <w:rFonts w:eastAsia="PMingLiU"/>
          <w:spacing w:val="-1"/>
          <w:szCs w:val="22"/>
          <w:lang w:eastAsia="en-US"/>
        </w:rPr>
        <w:t>оговорены</w:t>
      </w:r>
      <w:r>
        <w:rPr>
          <w:rFonts w:eastAsia="PMingLiU"/>
          <w:spacing w:val="9"/>
          <w:szCs w:val="22"/>
          <w:lang w:eastAsia="en-US"/>
        </w:rPr>
        <w:t xml:space="preserve"> </w:t>
      </w:r>
      <w:r>
        <w:rPr>
          <w:rFonts w:eastAsia="PMingLiU"/>
          <w:spacing w:val="-1"/>
          <w:szCs w:val="22"/>
          <w:lang w:eastAsia="en-US"/>
        </w:rPr>
        <w:t>требования,</w:t>
      </w:r>
      <w:r>
        <w:rPr>
          <w:rFonts w:eastAsia="PMingLiU"/>
          <w:spacing w:val="8"/>
          <w:szCs w:val="22"/>
          <w:lang w:eastAsia="en-US"/>
        </w:rPr>
        <w:t xml:space="preserve"> </w:t>
      </w:r>
      <w:r>
        <w:rPr>
          <w:rFonts w:eastAsia="PMingLiU"/>
          <w:spacing w:val="-1"/>
          <w:szCs w:val="22"/>
          <w:lang w:eastAsia="en-US"/>
        </w:rPr>
        <w:t>обеспечивающие</w:t>
      </w:r>
      <w:r>
        <w:rPr>
          <w:rFonts w:eastAsia="PMingLiU"/>
          <w:spacing w:val="8"/>
          <w:szCs w:val="22"/>
          <w:lang w:eastAsia="en-US"/>
        </w:rPr>
        <w:t xml:space="preserve"> </w:t>
      </w:r>
      <w:r>
        <w:rPr>
          <w:rFonts w:eastAsia="PMingLiU"/>
          <w:szCs w:val="22"/>
          <w:lang w:eastAsia="en-US"/>
        </w:rPr>
        <w:t>безопасность</w:t>
      </w:r>
      <w:r>
        <w:rPr>
          <w:rFonts w:eastAsia="PMingLiU"/>
          <w:spacing w:val="-4"/>
          <w:szCs w:val="22"/>
          <w:lang w:eastAsia="en-US"/>
        </w:rPr>
        <w:t xml:space="preserve"> </w:t>
      </w:r>
      <w:r>
        <w:rPr>
          <w:rFonts w:eastAsia="PMingLiU"/>
          <w:spacing w:val="-1"/>
          <w:szCs w:val="22"/>
          <w:lang w:eastAsia="en-US"/>
        </w:rPr>
        <w:t>при</w:t>
      </w:r>
      <w:r>
        <w:rPr>
          <w:rFonts w:eastAsia="PMingLiU"/>
          <w:szCs w:val="22"/>
          <w:lang w:eastAsia="en-US"/>
        </w:rPr>
        <w:t xml:space="preserve"> </w:t>
      </w:r>
      <w:r>
        <w:rPr>
          <w:rFonts w:eastAsia="PMingLiU"/>
          <w:spacing w:val="-1"/>
          <w:szCs w:val="22"/>
          <w:lang w:eastAsia="en-US"/>
        </w:rPr>
        <w:t>транспортировании</w:t>
      </w:r>
      <w:r>
        <w:rPr>
          <w:rFonts w:eastAsia="PMingLiU"/>
          <w:szCs w:val="22"/>
          <w:lang w:eastAsia="en-US"/>
        </w:rPr>
        <w:t xml:space="preserve"> и</w:t>
      </w:r>
      <w:r>
        <w:rPr>
          <w:rFonts w:eastAsia="PMingLiU"/>
          <w:spacing w:val="-3"/>
          <w:szCs w:val="22"/>
          <w:lang w:eastAsia="en-US"/>
        </w:rPr>
        <w:t xml:space="preserve"> </w:t>
      </w:r>
      <w:r>
        <w:rPr>
          <w:rFonts w:eastAsia="PMingLiU"/>
          <w:spacing w:val="-1"/>
          <w:szCs w:val="22"/>
          <w:lang w:eastAsia="en-US"/>
        </w:rPr>
        <w:t>хранении</w:t>
      </w:r>
      <w:r>
        <w:rPr>
          <w:rFonts w:eastAsia="PMingLiU"/>
          <w:szCs w:val="22"/>
          <w:lang w:eastAsia="en-US"/>
        </w:rPr>
        <w:t xml:space="preserve"> </w:t>
      </w:r>
      <w:r>
        <w:rPr>
          <w:rFonts w:eastAsia="PMingLiU"/>
          <w:spacing w:val="-1"/>
          <w:szCs w:val="22"/>
          <w:lang w:eastAsia="en-US"/>
        </w:rPr>
        <w:t>кранов шаровых:</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транспортирование и хранение кранов шаровых должно производиться с учетом всех требований по безопасности, предусмотренных КД;</w:t>
      </w:r>
    </w:p>
    <w:p>
      <w:pPr>
        <w:numPr>
          <w:ilvl w:val="0"/>
          <w:numId w:val="22"/>
        </w:numPr>
        <w:tabs>
          <w:tab w:val="left" w:pos="539"/>
        </w:tabs>
        <w:spacing w:before="120"/>
        <w:ind w:left="538" w:hanging="357"/>
        <w:rPr>
          <w:rFonts w:eastAsia="PMingLiU"/>
          <w:spacing w:val="-2"/>
          <w:szCs w:val="22"/>
          <w:lang w:eastAsia="en-US"/>
        </w:rPr>
      </w:pPr>
      <w:r>
        <w:rPr>
          <w:rFonts w:eastAsia="PMingLiU"/>
          <w:spacing w:val="-2"/>
          <w:szCs w:val="22"/>
          <w:lang w:eastAsia="en-US"/>
        </w:rPr>
        <w:t>после истечения установленного срока хранения, краны шаровые должны быть подвергнуты переконсервации, а в случае планируемого применения по назначению - техническому диагностированию и испытаниям на работоспособность и герметичность;</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транспортирование кранов шаровых должно производиться в соответствии с правилами, действующими на конкретных видах транспорта;</w:t>
      </w:r>
    </w:p>
    <w:p>
      <w:pPr>
        <w:numPr>
          <w:ilvl w:val="0"/>
          <w:numId w:val="22"/>
        </w:numPr>
        <w:tabs>
          <w:tab w:val="left" w:pos="539"/>
        </w:tabs>
        <w:spacing w:before="120"/>
        <w:ind w:left="538" w:hanging="357"/>
        <w:rPr>
          <w:rFonts w:eastAsia="PMingLiU"/>
          <w:spacing w:val="-2"/>
          <w:szCs w:val="22"/>
          <w:lang w:eastAsia="en-US"/>
        </w:rPr>
      </w:pPr>
      <w:r>
        <w:rPr>
          <w:rFonts w:eastAsia="PMingLiU"/>
          <w:spacing w:val="-2"/>
          <w:szCs w:val="22"/>
          <w:lang w:eastAsia="en-US"/>
        </w:rPr>
        <w:t>погрузка, разгрузка, транспортирование и складирование кранов шаровых должны производиться аттестованным персоналом с соблюдением требований безопасности при выполнении данных работ.</w:t>
      </w:r>
    </w:p>
    <w:p>
      <w:pPr>
        <w:rPr>
          <w:rFonts w:eastAsia="PMingLiU"/>
          <w:szCs w:val="22"/>
          <w:lang w:eastAsia="en-US"/>
        </w:rPr>
      </w:pPr>
    </w:p>
    <w:p>
      <w:pPr>
        <w:widowControl w:val="0"/>
        <w:tabs>
          <w:tab w:val="left" w:pos="993"/>
        </w:tabs>
        <w:ind w:right="-1"/>
        <w:rPr>
          <w:rFonts w:eastAsia="PMingLiU"/>
          <w:szCs w:val="22"/>
          <w:lang w:eastAsia="en-US"/>
        </w:rPr>
      </w:pPr>
      <w:r>
        <w:rPr>
          <w:rFonts w:eastAsia="PMingLiU"/>
          <w:spacing w:val="-1"/>
          <w:szCs w:val="22"/>
          <w:lang w:eastAsia="en-US"/>
        </w:rPr>
        <w:t>Материалы</w:t>
      </w:r>
      <w:r>
        <w:rPr>
          <w:rFonts w:eastAsia="PMingLiU"/>
          <w:spacing w:val="21"/>
          <w:szCs w:val="22"/>
          <w:lang w:eastAsia="en-US"/>
        </w:rPr>
        <w:t xml:space="preserve"> </w:t>
      </w:r>
      <w:r>
        <w:rPr>
          <w:rFonts w:eastAsia="PMingLiU"/>
          <w:szCs w:val="22"/>
          <w:lang w:eastAsia="en-US"/>
        </w:rPr>
        <w:t>и</w:t>
      </w:r>
      <w:r>
        <w:rPr>
          <w:rFonts w:eastAsia="PMingLiU"/>
          <w:spacing w:val="21"/>
          <w:szCs w:val="22"/>
          <w:lang w:eastAsia="en-US"/>
        </w:rPr>
        <w:t xml:space="preserve"> </w:t>
      </w:r>
      <w:r>
        <w:rPr>
          <w:rFonts w:eastAsia="PMingLiU"/>
          <w:spacing w:val="-1"/>
          <w:szCs w:val="22"/>
          <w:lang w:eastAsia="en-US"/>
        </w:rPr>
        <w:t>вещества,</w:t>
      </w:r>
      <w:r>
        <w:rPr>
          <w:rFonts w:eastAsia="PMingLiU"/>
          <w:spacing w:val="20"/>
          <w:szCs w:val="22"/>
          <w:lang w:eastAsia="en-US"/>
        </w:rPr>
        <w:t xml:space="preserve"> </w:t>
      </w:r>
      <w:r>
        <w:rPr>
          <w:rFonts w:eastAsia="PMingLiU"/>
          <w:spacing w:val="-1"/>
          <w:szCs w:val="22"/>
          <w:lang w:eastAsia="en-US"/>
        </w:rPr>
        <w:t>применяемые</w:t>
      </w:r>
      <w:r>
        <w:rPr>
          <w:rFonts w:eastAsia="PMingLiU"/>
          <w:spacing w:val="20"/>
          <w:szCs w:val="22"/>
          <w:lang w:eastAsia="en-US"/>
        </w:rPr>
        <w:t xml:space="preserve"> </w:t>
      </w:r>
      <w:r>
        <w:rPr>
          <w:rFonts w:eastAsia="PMingLiU"/>
          <w:spacing w:val="-1"/>
          <w:szCs w:val="22"/>
          <w:lang w:eastAsia="en-US"/>
        </w:rPr>
        <w:t>для</w:t>
      </w:r>
      <w:r>
        <w:rPr>
          <w:rFonts w:eastAsia="PMingLiU"/>
          <w:spacing w:val="23"/>
          <w:szCs w:val="22"/>
          <w:lang w:eastAsia="en-US"/>
        </w:rPr>
        <w:t xml:space="preserve"> </w:t>
      </w:r>
      <w:r>
        <w:rPr>
          <w:rFonts w:eastAsia="PMingLiU"/>
          <w:spacing w:val="-1"/>
          <w:szCs w:val="22"/>
          <w:lang w:eastAsia="en-US"/>
        </w:rPr>
        <w:t>упаковки</w:t>
      </w:r>
      <w:r>
        <w:rPr>
          <w:rFonts w:eastAsia="PMingLiU"/>
          <w:spacing w:val="21"/>
          <w:szCs w:val="22"/>
          <w:lang w:eastAsia="en-US"/>
        </w:rPr>
        <w:t xml:space="preserve"> </w:t>
      </w:r>
      <w:r>
        <w:rPr>
          <w:rFonts w:eastAsia="PMingLiU"/>
          <w:szCs w:val="22"/>
          <w:lang w:eastAsia="en-US"/>
        </w:rPr>
        <w:t>и</w:t>
      </w:r>
      <w:r>
        <w:rPr>
          <w:rFonts w:eastAsia="PMingLiU"/>
          <w:spacing w:val="21"/>
          <w:szCs w:val="22"/>
          <w:lang w:eastAsia="en-US"/>
        </w:rPr>
        <w:t xml:space="preserve"> </w:t>
      </w:r>
      <w:r>
        <w:rPr>
          <w:rFonts w:eastAsia="PMingLiU"/>
          <w:spacing w:val="-1"/>
          <w:szCs w:val="22"/>
          <w:lang w:eastAsia="en-US"/>
        </w:rPr>
        <w:t>консервации,</w:t>
      </w:r>
      <w:r>
        <w:rPr>
          <w:rFonts w:eastAsia="PMingLiU"/>
          <w:spacing w:val="51"/>
          <w:szCs w:val="22"/>
          <w:lang w:eastAsia="en-US"/>
        </w:rPr>
        <w:t xml:space="preserve"> </w:t>
      </w:r>
      <w:r>
        <w:rPr>
          <w:rFonts w:eastAsia="PMingLiU"/>
          <w:spacing w:val="-1"/>
          <w:szCs w:val="22"/>
          <w:lang w:eastAsia="en-US"/>
        </w:rPr>
        <w:t>должны</w:t>
      </w:r>
      <w:r>
        <w:rPr>
          <w:rFonts w:eastAsia="PMingLiU"/>
          <w:szCs w:val="22"/>
          <w:lang w:eastAsia="en-US"/>
        </w:rPr>
        <w:t xml:space="preserve"> </w:t>
      </w:r>
      <w:r>
        <w:rPr>
          <w:rFonts w:eastAsia="PMingLiU"/>
          <w:spacing w:val="-1"/>
          <w:szCs w:val="22"/>
          <w:lang w:eastAsia="en-US"/>
        </w:rPr>
        <w:t>быть безопасными</w:t>
      </w:r>
      <w:r>
        <w:rPr>
          <w:rFonts w:eastAsia="PMingLiU"/>
          <w:spacing w:val="-3"/>
          <w:szCs w:val="22"/>
          <w:lang w:eastAsia="en-US"/>
        </w:rPr>
        <w:t xml:space="preserve"> </w:t>
      </w:r>
      <w:r>
        <w:rPr>
          <w:rFonts w:eastAsia="PMingLiU"/>
          <w:spacing w:val="-1"/>
          <w:szCs w:val="22"/>
          <w:lang w:eastAsia="en-US"/>
        </w:rPr>
        <w:t>для</w:t>
      </w:r>
      <w:r>
        <w:rPr>
          <w:rFonts w:eastAsia="PMingLiU"/>
          <w:szCs w:val="22"/>
          <w:lang w:eastAsia="en-US"/>
        </w:rPr>
        <w:t xml:space="preserve"> </w:t>
      </w:r>
      <w:r>
        <w:rPr>
          <w:rFonts w:eastAsia="PMingLiU"/>
          <w:spacing w:val="-2"/>
          <w:szCs w:val="22"/>
          <w:lang w:eastAsia="en-US"/>
        </w:rPr>
        <w:t>людей</w:t>
      </w:r>
      <w:r>
        <w:rPr>
          <w:rFonts w:eastAsia="PMingLiU"/>
          <w:szCs w:val="22"/>
          <w:lang w:eastAsia="en-US"/>
        </w:rPr>
        <w:t xml:space="preserve"> и</w:t>
      </w:r>
      <w:r>
        <w:rPr>
          <w:rFonts w:eastAsia="PMingLiU"/>
          <w:spacing w:val="-2"/>
          <w:szCs w:val="22"/>
          <w:lang w:eastAsia="en-US"/>
        </w:rPr>
        <w:t xml:space="preserve"> </w:t>
      </w:r>
      <w:r>
        <w:rPr>
          <w:rFonts w:eastAsia="PMingLiU"/>
          <w:spacing w:val="-1"/>
          <w:szCs w:val="22"/>
          <w:lang w:eastAsia="en-US"/>
        </w:rPr>
        <w:t>окружающей</w:t>
      </w:r>
      <w:r>
        <w:rPr>
          <w:rFonts w:eastAsia="PMingLiU"/>
          <w:spacing w:val="-3"/>
          <w:szCs w:val="22"/>
          <w:lang w:eastAsia="en-US"/>
        </w:rPr>
        <w:t xml:space="preserve"> </w:t>
      </w:r>
      <w:r>
        <w:rPr>
          <w:rFonts w:eastAsia="PMingLiU"/>
          <w:spacing w:val="-1"/>
          <w:szCs w:val="22"/>
          <w:lang w:eastAsia="en-US"/>
        </w:rPr>
        <w:t>среды.</w:t>
      </w:r>
    </w:p>
    <w:p>
      <w:pPr>
        <w:widowControl w:val="0"/>
        <w:tabs>
          <w:tab w:val="left" w:pos="993"/>
        </w:tabs>
        <w:ind w:right="107"/>
        <w:rPr>
          <w:rFonts w:eastAsia="PMingLiU"/>
          <w:spacing w:val="-1"/>
          <w:szCs w:val="22"/>
          <w:lang w:eastAsia="en-US"/>
        </w:rPr>
      </w:pPr>
    </w:p>
    <w:p>
      <w:pPr>
        <w:widowControl w:val="0"/>
        <w:tabs>
          <w:tab w:val="left" w:pos="993"/>
        </w:tabs>
        <w:ind w:right="107"/>
        <w:rPr>
          <w:rFonts w:eastAsia="PMingLiU"/>
          <w:spacing w:val="-1"/>
          <w:szCs w:val="22"/>
          <w:lang w:eastAsia="en-US"/>
        </w:rPr>
      </w:pPr>
    </w:p>
    <w:p>
      <w:pPr>
        <w:pStyle w:val="S30"/>
      </w:pPr>
      <w:bookmarkStart w:id="248" w:name="_Toc389655533"/>
      <w:bookmarkStart w:id="249" w:name="_Toc392752861"/>
      <w:bookmarkStart w:id="250" w:name="_Toc404615338"/>
      <w:bookmarkStart w:id="251" w:name="_Toc481662419"/>
      <w:bookmarkStart w:id="252" w:name="_Toc514169538"/>
      <w:r>
        <w:t>4.11.4.</w:t>
      </w:r>
      <w:r>
        <w:tab/>
        <w:t>ТРЕБОВАНИЯ БЕЗОПАСНОСТИ, ПРЕДЪЯВЛЯЕМЫЕ К ПРИВОДАМ</w:t>
      </w:r>
      <w:bookmarkEnd w:id="248"/>
      <w:bookmarkEnd w:id="249"/>
      <w:bookmarkEnd w:id="250"/>
      <w:bookmarkEnd w:id="251"/>
      <w:bookmarkEnd w:id="252"/>
    </w:p>
    <w:p>
      <w:pPr>
        <w:rPr>
          <w:rFonts w:eastAsia="PMingLiU"/>
          <w:szCs w:val="22"/>
          <w:lang w:eastAsia="en-US"/>
        </w:rPr>
      </w:pPr>
    </w:p>
    <w:p>
      <w:pPr>
        <w:rPr>
          <w:rFonts w:eastAsia="PMingLiU"/>
          <w:shd w:val="clear" w:color="auto" w:fill="FFFFFF"/>
          <w:lang w:eastAsia="en-US"/>
        </w:rPr>
      </w:pPr>
      <w:r>
        <w:rPr>
          <w:rFonts w:eastAsia="PMingLiU"/>
          <w:lang w:eastAsia="en-US"/>
        </w:rPr>
        <w:lastRenderedPageBreak/>
        <w:t xml:space="preserve">Привод, </w:t>
      </w:r>
      <w:r>
        <w:rPr>
          <w:rFonts w:eastAsia="PMingLiU"/>
          <w:shd w:val="clear" w:color="auto" w:fill="FFFFFF"/>
          <w:lang w:eastAsia="en-US"/>
        </w:rPr>
        <w:t>как механическая или электромеханическая система,  предназначен для приведения в требуемое рабочее положение запорного органа крана шарового, должен соответствовать требованиям безопасности:</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электропривод – требованиям ГОСТ</w:t>
      </w:r>
      <w:r>
        <w:rPr>
          <w:rFonts w:eastAsia="PMingLiU"/>
          <w:spacing w:val="-2"/>
          <w:szCs w:val="22"/>
          <w:lang w:val="en-US" w:eastAsia="en-US"/>
        </w:rPr>
        <w:t> </w:t>
      </w:r>
      <w:r>
        <w:rPr>
          <w:rFonts w:eastAsia="PMingLiU"/>
          <w:spacing w:val="-2"/>
          <w:szCs w:val="22"/>
          <w:lang w:eastAsia="en-US"/>
        </w:rPr>
        <w:t>12.2.007.0 и ГОСТ</w:t>
      </w:r>
      <w:r>
        <w:rPr>
          <w:rFonts w:eastAsia="PMingLiU"/>
          <w:spacing w:val="-2"/>
          <w:szCs w:val="22"/>
          <w:lang w:val="en-US" w:eastAsia="en-US"/>
        </w:rPr>
        <w:t> </w:t>
      </w:r>
      <w:r>
        <w:rPr>
          <w:rFonts w:eastAsia="PMingLiU"/>
          <w:spacing w:val="-2"/>
          <w:szCs w:val="22"/>
          <w:lang w:eastAsia="en-US"/>
        </w:rPr>
        <w:t>Р</w:t>
      </w:r>
      <w:r>
        <w:rPr>
          <w:rFonts w:eastAsia="PMingLiU"/>
          <w:spacing w:val="-2"/>
          <w:szCs w:val="22"/>
          <w:lang w:val="en-US" w:eastAsia="en-US"/>
        </w:rPr>
        <w:t> </w:t>
      </w:r>
      <w:r>
        <w:rPr>
          <w:rFonts w:eastAsia="PMingLiU"/>
          <w:spacing w:val="-2"/>
          <w:szCs w:val="22"/>
          <w:lang w:eastAsia="en-US"/>
        </w:rPr>
        <w:t>51317.2.4;</w:t>
      </w:r>
    </w:p>
    <w:p>
      <w:pPr>
        <w:numPr>
          <w:ilvl w:val="0"/>
          <w:numId w:val="12"/>
        </w:numPr>
        <w:tabs>
          <w:tab w:val="left" w:pos="539"/>
        </w:tabs>
        <w:spacing w:before="120"/>
        <w:ind w:left="538" w:hanging="357"/>
        <w:rPr>
          <w:rFonts w:eastAsia="PMingLiU"/>
          <w:spacing w:val="-2"/>
          <w:szCs w:val="22"/>
          <w:lang w:eastAsia="en-US"/>
        </w:rPr>
      </w:pPr>
      <w:r>
        <w:rPr>
          <w:rFonts w:eastAsia="PMingLiU"/>
          <w:spacing w:val="-2"/>
          <w:szCs w:val="22"/>
          <w:lang w:eastAsia="en-US"/>
        </w:rPr>
        <w:t>редуктор как механическая система – требованиям ГОСТ</w:t>
      </w:r>
      <w:r>
        <w:rPr>
          <w:rFonts w:eastAsia="PMingLiU"/>
          <w:spacing w:val="-2"/>
          <w:szCs w:val="22"/>
          <w:lang w:val="en-US" w:eastAsia="en-US"/>
        </w:rPr>
        <w:t> </w:t>
      </w:r>
      <w:r>
        <w:rPr>
          <w:rFonts w:eastAsia="PMingLiU"/>
          <w:spacing w:val="-2"/>
          <w:szCs w:val="22"/>
          <w:lang w:eastAsia="en-US"/>
        </w:rPr>
        <w:t>31592.</w:t>
      </w:r>
    </w:p>
    <w:p>
      <w:pPr>
        <w:tabs>
          <w:tab w:val="left" w:pos="539"/>
        </w:tabs>
        <w:rPr>
          <w:rFonts w:eastAsia="Times New Roman"/>
        </w:rPr>
      </w:pPr>
    </w:p>
    <w:p>
      <w:pPr>
        <w:tabs>
          <w:tab w:val="left" w:pos="539"/>
        </w:tabs>
        <w:rPr>
          <w:rFonts w:eastAsia="Times New Roman"/>
        </w:rPr>
      </w:pPr>
      <w:r>
        <w:rPr>
          <w:rFonts w:eastAsia="Times New Roman"/>
        </w:rPr>
        <w:t>Для приводов арматуры должен быть предусмотрен ручной дублер.</w:t>
      </w:r>
    </w:p>
    <w:p>
      <w:pPr>
        <w:tabs>
          <w:tab w:val="left" w:pos="539"/>
        </w:tabs>
        <w:rPr>
          <w:rFonts w:eastAsia="PMingLiU"/>
          <w:spacing w:val="-2"/>
          <w:szCs w:val="22"/>
          <w:lang w:eastAsia="en-US"/>
        </w:rPr>
      </w:pPr>
    </w:p>
    <w:p>
      <w:pPr>
        <w:widowControl w:val="0"/>
        <w:tabs>
          <w:tab w:val="left" w:pos="1520"/>
        </w:tabs>
        <w:ind w:right="108"/>
        <w:rPr>
          <w:rFonts w:eastAsia="PMingLiU"/>
          <w:szCs w:val="22"/>
          <w:lang w:eastAsia="en-US"/>
        </w:rPr>
      </w:pPr>
      <w:r>
        <w:rPr>
          <w:rFonts w:eastAsia="Times New Roman"/>
        </w:rPr>
        <w:t>ЭП, устанавливаемые на краны шаровые, должны иметь устройство для подключения заземления в соответствии с ГОСТ</w:t>
      </w:r>
      <w:r>
        <w:rPr>
          <w:rFonts w:eastAsia="Times New Roman"/>
          <w:lang w:val="en-US"/>
        </w:rPr>
        <w:t> </w:t>
      </w:r>
      <w:r>
        <w:rPr>
          <w:rFonts w:eastAsia="Times New Roman"/>
        </w:rPr>
        <w:t>12.2.007.0.</w:t>
      </w:r>
    </w:p>
    <w:p>
      <w:pPr>
        <w:widowControl w:val="0"/>
        <w:tabs>
          <w:tab w:val="left" w:pos="567"/>
        </w:tabs>
        <w:ind w:right="103"/>
        <w:rPr>
          <w:rFonts w:eastAsia="PMingLiU"/>
          <w:szCs w:val="22"/>
          <w:lang w:eastAsia="en-US"/>
        </w:rPr>
        <w:sectPr>
          <w:headerReference w:type="even" r:id="rId44"/>
          <w:headerReference w:type="default" r:id="rId45"/>
          <w:headerReference w:type="first" r:id="rId46"/>
          <w:pgSz w:w="11906" w:h="16838" w:code="9"/>
          <w:pgMar w:top="510" w:right="1021" w:bottom="567" w:left="1247" w:header="737" w:footer="680" w:gutter="0"/>
          <w:cols w:space="708"/>
          <w:docGrid w:linePitch="360"/>
        </w:sectPr>
      </w:pPr>
    </w:p>
    <w:p>
      <w:pPr>
        <w:pStyle w:val="S13"/>
        <w:numPr>
          <w:ilvl w:val="0"/>
          <w:numId w:val="26"/>
        </w:numPr>
        <w:ind w:left="0" w:firstLine="0"/>
      </w:pPr>
      <w:bookmarkStart w:id="253" w:name="_Toc389655544"/>
      <w:bookmarkStart w:id="254" w:name="_Toc392607781"/>
      <w:bookmarkStart w:id="255" w:name="_Toc392695959"/>
      <w:bookmarkStart w:id="256" w:name="_Toc392696015"/>
      <w:bookmarkStart w:id="257" w:name="_Toc392752881"/>
      <w:bookmarkStart w:id="258" w:name="_Toc404615358"/>
      <w:bookmarkStart w:id="259" w:name="_Toc481662420"/>
      <w:bookmarkStart w:id="260" w:name="_Toc514169539"/>
      <w:r>
        <w:lastRenderedPageBreak/>
        <w:t>УСЛОВНОЕ ОБОЗНАЧЕНИЕ</w:t>
      </w:r>
      <w:bookmarkEnd w:id="253"/>
      <w:bookmarkEnd w:id="254"/>
      <w:bookmarkEnd w:id="255"/>
      <w:bookmarkEnd w:id="256"/>
      <w:bookmarkEnd w:id="257"/>
      <w:bookmarkEnd w:id="258"/>
      <w:bookmarkEnd w:id="259"/>
      <w:bookmarkEnd w:id="260"/>
    </w:p>
    <w:p>
      <w:pPr>
        <w:rPr>
          <w:rFonts w:eastAsia="Times New Roman"/>
        </w:rPr>
      </w:pPr>
    </w:p>
    <w:p>
      <w:pPr>
        <w:tabs>
          <w:tab w:val="left" w:pos="284"/>
          <w:tab w:val="left" w:pos="426"/>
        </w:tabs>
        <w:rPr>
          <w:rFonts w:eastAsia="Times New Roman"/>
        </w:rPr>
      </w:pPr>
    </w:p>
    <w:p>
      <w:pPr>
        <w:pStyle w:val="S20"/>
        <w:numPr>
          <w:ilvl w:val="0"/>
          <w:numId w:val="0"/>
        </w:numPr>
        <w:rPr>
          <w:rFonts w:eastAsia="Calibri" w:cs="Arial"/>
          <w:bCs/>
          <w:iCs/>
          <w:caps w:val="0"/>
          <w:szCs w:val="28"/>
        </w:rPr>
      </w:pPr>
      <w:bookmarkStart w:id="261" w:name="_Toc392607782"/>
      <w:bookmarkStart w:id="262" w:name="_Toc392695960"/>
      <w:bookmarkStart w:id="263" w:name="_Toc392696016"/>
      <w:bookmarkStart w:id="264" w:name="_Toc392752882"/>
      <w:bookmarkStart w:id="265" w:name="_Toc404615359"/>
      <w:bookmarkStart w:id="266" w:name="_Toc481662421"/>
      <w:bookmarkStart w:id="267" w:name="_Toc514169540"/>
      <w:r>
        <w:rPr>
          <w:rFonts w:eastAsia="Calibri" w:cs="Arial"/>
          <w:bCs/>
          <w:iCs/>
          <w:caps w:val="0"/>
          <w:szCs w:val="28"/>
        </w:rPr>
        <w:t>5.1.</w:t>
      </w:r>
      <w:r>
        <w:rPr>
          <w:rFonts w:eastAsia="Calibri" w:cs="Arial"/>
          <w:bCs/>
          <w:iCs/>
          <w:caps w:val="0"/>
          <w:szCs w:val="28"/>
        </w:rPr>
        <w:tab/>
        <w:t>СХЕМА УСЛОВНОГО ОБОЗНАЧЕНИЯ</w:t>
      </w:r>
      <w:bookmarkEnd w:id="261"/>
      <w:bookmarkEnd w:id="262"/>
      <w:bookmarkEnd w:id="263"/>
      <w:bookmarkEnd w:id="264"/>
      <w:bookmarkEnd w:id="265"/>
      <w:bookmarkEnd w:id="266"/>
      <w:bookmarkEnd w:id="267"/>
    </w:p>
    <w:p>
      <w:pPr>
        <w:rPr>
          <w:rFonts w:eastAsiaTheme="minorHAnsi" w:cstheme="minorBidi"/>
          <w:sz w:val="22"/>
          <w:szCs w:val="22"/>
          <w:lang w:eastAsia="en-US"/>
        </w:rPr>
      </w:pPr>
    </w:p>
    <w:p>
      <w:pPr>
        <w:rPr>
          <w:rFonts w:eastAsia="PMingLiU"/>
          <w:spacing w:val="-2"/>
          <w:szCs w:val="22"/>
          <w:lang w:eastAsia="en-US"/>
        </w:rPr>
      </w:pPr>
      <w:r>
        <w:rPr>
          <w:rFonts w:eastAsia="Times New Roman"/>
        </w:rPr>
        <w:t>Схема условного обозначения крана шарового разработана на основании требований настоящих Методических указаний и приведена в Таблице 29.</w:t>
      </w:r>
    </w:p>
    <w:p>
      <w:pPr>
        <w:rPr>
          <w:rFonts w:eastAsiaTheme="minorHAnsi" w:cstheme="minorBidi"/>
          <w:sz w:val="22"/>
          <w:szCs w:val="22"/>
          <w:lang w:eastAsia="en-US"/>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29</w:t>
      </w:r>
      <w:r>
        <w:rPr>
          <w:rFonts w:ascii="Arial" w:eastAsia="Times New Roman" w:hAnsi="Arial"/>
          <w:b/>
          <w:noProof/>
          <w:sz w:val="20"/>
        </w:rPr>
        <w:fldChar w:fldCharType="end"/>
      </w:r>
    </w:p>
    <w:p>
      <w:pPr>
        <w:pStyle w:val="af3"/>
        <w:keepNext/>
        <w:spacing w:after="60"/>
        <w:jc w:val="right"/>
        <w:rPr>
          <w:rFonts w:ascii="Arial" w:eastAsia="Times New Roman" w:hAnsi="Arial"/>
          <w:bCs w:val="0"/>
          <w:szCs w:val="24"/>
        </w:rPr>
      </w:pPr>
      <w:r>
        <w:rPr>
          <w:rFonts w:ascii="Arial" w:eastAsia="Times New Roman" w:hAnsi="Arial"/>
          <w:bCs w:val="0"/>
          <w:szCs w:val="24"/>
        </w:rPr>
        <w:t>Схема условного обозначения крана шарового</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39"/>
        <w:gridCol w:w="350"/>
        <w:gridCol w:w="353"/>
        <w:gridCol w:w="351"/>
        <w:gridCol w:w="351"/>
        <w:gridCol w:w="353"/>
        <w:gridCol w:w="351"/>
        <w:gridCol w:w="351"/>
        <w:gridCol w:w="351"/>
        <w:gridCol w:w="351"/>
        <w:gridCol w:w="351"/>
        <w:gridCol w:w="351"/>
        <w:gridCol w:w="351"/>
      </w:tblGrid>
      <w:tr>
        <w:trPr>
          <w:trHeight w:val="340"/>
        </w:trPr>
        <w:tc>
          <w:tcPr>
            <w:tcW w:w="2862" w:type="pct"/>
            <w:vMerge w:val="restart"/>
            <w:tcBorders>
              <w:left w:val="single" w:sz="12" w:space="0" w:color="auto"/>
              <w:right w:val="single" w:sz="12" w:space="0" w:color="auto"/>
            </w:tcBorders>
            <w:shd w:val="clear" w:color="auto" w:fill="FFD200"/>
            <w:vAlign w:val="center"/>
          </w:tcPr>
          <w:p>
            <w:pPr>
              <w:keepNext/>
              <w:widowControl w:val="0"/>
              <w:jc w:val="center"/>
              <w:rPr>
                <w:rFonts w:ascii="Arial" w:eastAsia="Times New Roman" w:hAnsi="Arial" w:cs="Arial"/>
                <w:b/>
                <w:caps/>
                <w:sz w:val="16"/>
                <w:szCs w:val="16"/>
              </w:rPr>
            </w:pPr>
            <w:r>
              <w:rPr>
                <w:rFonts w:ascii="Arial" w:eastAsia="Times New Roman" w:hAnsi="Arial" w:cs="Arial"/>
                <w:b/>
                <w:caps/>
                <w:sz w:val="16"/>
                <w:szCs w:val="16"/>
              </w:rPr>
              <w:t>УСЛОВНОЕ ОБОЗНАЧЕНИЕ</w:t>
            </w:r>
          </w:p>
        </w:tc>
        <w:tc>
          <w:tcPr>
            <w:tcW w:w="178" w:type="pct"/>
            <w:tcBorders>
              <w:left w:val="single" w:sz="12"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1</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2</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3</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4</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5</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6</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7</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8</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9</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eastAsia="en-US"/>
              </w:rPr>
            </w:pPr>
            <w:r>
              <w:rPr>
                <w:rFonts w:ascii="Arial" w:eastAsia="Times New Roman" w:hAnsi="Arial" w:cs="Arial"/>
                <w:b/>
                <w:sz w:val="16"/>
                <w:szCs w:val="16"/>
                <w:lang w:eastAsia="en-US"/>
              </w:rPr>
              <w:t>10</w:t>
            </w:r>
          </w:p>
        </w:tc>
        <w:tc>
          <w:tcPr>
            <w:tcW w:w="178" w:type="pct"/>
            <w:tcBorders>
              <w:left w:val="single" w:sz="6" w:space="0" w:color="auto"/>
              <w:bottom w:val="single" w:sz="12" w:space="0" w:color="auto"/>
              <w:right w:val="single" w:sz="6" w:space="0" w:color="auto"/>
            </w:tcBorders>
            <w:shd w:val="clear" w:color="auto" w:fill="FFD200"/>
            <w:vAlign w:val="center"/>
          </w:tcPr>
          <w:p>
            <w:pPr>
              <w:ind w:left="-57" w:right="-57"/>
              <w:jc w:val="center"/>
              <w:rPr>
                <w:rFonts w:ascii="Arial" w:eastAsia="Times New Roman" w:hAnsi="Arial" w:cs="Arial"/>
                <w:b/>
                <w:sz w:val="16"/>
                <w:szCs w:val="16"/>
                <w:lang w:val="en-US" w:eastAsia="en-US"/>
              </w:rPr>
            </w:pPr>
            <w:r>
              <w:rPr>
                <w:rFonts w:ascii="Arial" w:eastAsia="Times New Roman" w:hAnsi="Arial" w:cs="Arial"/>
                <w:b/>
                <w:sz w:val="16"/>
                <w:szCs w:val="16"/>
                <w:lang w:val="en-US" w:eastAsia="en-US"/>
              </w:rPr>
              <w:t>11</w:t>
            </w:r>
          </w:p>
        </w:tc>
        <w:tc>
          <w:tcPr>
            <w:tcW w:w="178" w:type="pct"/>
            <w:tcBorders>
              <w:left w:val="single" w:sz="6" w:space="0" w:color="auto"/>
              <w:bottom w:val="single" w:sz="12" w:space="0" w:color="auto"/>
              <w:right w:val="single" w:sz="12" w:space="0" w:color="auto"/>
            </w:tcBorders>
            <w:shd w:val="clear" w:color="auto" w:fill="FFD200"/>
            <w:vAlign w:val="center"/>
          </w:tcPr>
          <w:p>
            <w:pPr>
              <w:ind w:left="-57" w:right="-57"/>
              <w:jc w:val="center"/>
              <w:rPr>
                <w:rFonts w:ascii="Arial" w:eastAsia="Times New Roman" w:hAnsi="Arial" w:cs="Arial"/>
                <w:b/>
                <w:sz w:val="16"/>
                <w:szCs w:val="16"/>
                <w:lang w:val="en-US" w:eastAsia="en-US"/>
              </w:rPr>
            </w:pPr>
            <w:r>
              <w:rPr>
                <w:rFonts w:ascii="Arial" w:eastAsia="Times New Roman" w:hAnsi="Arial" w:cs="Arial"/>
                <w:b/>
                <w:sz w:val="16"/>
                <w:szCs w:val="16"/>
                <w:lang w:eastAsia="en-US"/>
              </w:rPr>
              <w:t>1</w:t>
            </w:r>
            <w:r>
              <w:rPr>
                <w:rFonts w:ascii="Arial" w:eastAsia="Times New Roman" w:hAnsi="Arial" w:cs="Arial"/>
                <w:b/>
                <w:sz w:val="16"/>
                <w:szCs w:val="16"/>
                <w:lang w:val="en-US" w:eastAsia="en-US"/>
              </w:rPr>
              <w:t>2</w:t>
            </w:r>
          </w:p>
        </w:tc>
      </w:tr>
      <w:tr>
        <w:trPr>
          <w:trHeight w:val="247"/>
        </w:trPr>
        <w:tc>
          <w:tcPr>
            <w:tcW w:w="2862" w:type="pct"/>
            <w:vMerge/>
            <w:tcBorders>
              <w:left w:val="single" w:sz="12" w:space="0" w:color="auto"/>
              <w:bottom w:val="single" w:sz="12" w:space="0" w:color="auto"/>
              <w:right w:val="single" w:sz="12" w:space="0" w:color="auto"/>
            </w:tcBorders>
            <w:shd w:val="clear" w:color="auto" w:fill="FFD200"/>
            <w:vAlign w:val="center"/>
          </w:tcPr>
          <w:p>
            <w:pPr>
              <w:keepNext/>
              <w:widowControl w:val="0"/>
              <w:jc w:val="center"/>
              <w:rPr>
                <w:rFonts w:ascii="Arial" w:eastAsia="Times New Roman" w:hAnsi="Arial" w:cs="Arial"/>
                <w:b/>
                <w:caps/>
                <w:sz w:val="16"/>
                <w:szCs w:val="16"/>
              </w:rPr>
            </w:pPr>
          </w:p>
        </w:tc>
        <w:tc>
          <w:tcPr>
            <w:tcW w:w="178" w:type="pct"/>
            <w:tcBorders>
              <w:top w:val="single" w:sz="12" w:space="0" w:color="auto"/>
              <w:left w:val="single" w:sz="12"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6" w:space="0" w:color="auto"/>
            </w:tcBorders>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c>
          <w:tcPr>
            <w:tcW w:w="178" w:type="pct"/>
            <w:tcBorders>
              <w:top w:val="single" w:sz="12" w:space="0" w:color="auto"/>
              <w:left w:val="single" w:sz="6" w:space="0" w:color="auto"/>
              <w:bottom w:val="single" w:sz="12" w:space="0" w:color="auto"/>
              <w:right w:val="single" w:sz="12" w:space="0" w:color="auto"/>
            </w:tcBorders>
            <w:shd w:val="clear" w:color="auto" w:fill="auto"/>
            <w:vAlign w:val="center"/>
          </w:tcPr>
          <w:p>
            <w:pPr>
              <w:jc w:val="center"/>
              <w:rPr>
                <w:rFonts w:ascii="Arial" w:eastAsia="Times New Roman" w:hAnsi="Arial" w:cs="Arial"/>
                <w:b/>
                <w:sz w:val="16"/>
                <w:szCs w:val="16"/>
                <w:lang w:eastAsia="en-US"/>
              </w:rPr>
            </w:pPr>
            <w:r>
              <w:rPr>
                <w:rFonts w:ascii="Arial" w:eastAsia="Times New Roman" w:hAnsi="Arial" w:cs="Arial"/>
                <w:b/>
                <w:sz w:val="16"/>
                <w:szCs w:val="16"/>
                <w:lang w:eastAsia="en-US"/>
              </w:rPr>
              <w:t>Х</w:t>
            </w:r>
          </w:p>
        </w:tc>
      </w:tr>
      <w:tr>
        <w:trPr>
          <w:trHeight w:val="284"/>
        </w:trPr>
        <w:tc>
          <w:tcPr>
            <w:tcW w:w="3040" w:type="pct"/>
            <w:gridSpan w:val="2"/>
            <w:tcBorders>
              <w:left w:val="single" w:sz="12" w:space="0" w:color="auto"/>
              <w:bottom w:val="single" w:sz="4" w:space="0" w:color="auto"/>
              <w:right w:val="single" w:sz="4" w:space="0" w:color="auto"/>
            </w:tcBorders>
            <w:shd w:val="clear" w:color="auto" w:fill="auto"/>
          </w:tcPr>
          <w:p>
            <w:pPr>
              <w:jc w:val="left"/>
              <w:rPr>
                <w:rFonts w:eastAsia="Times New Roman"/>
                <w:b/>
                <w:lang w:eastAsia="en-US"/>
              </w:rPr>
            </w:pPr>
            <w:r>
              <w:rPr>
                <w:rFonts w:eastAsia="Times New Roman"/>
                <w:lang w:eastAsia="en-US"/>
              </w:rPr>
              <w:t xml:space="preserve">Вид МТР </w:t>
            </w: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tcPr>
          <w:p>
            <w:pPr>
              <w:jc w:val="left"/>
              <w:rPr>
                <w:rFonts w:eastAsia="Times New Roman"/>
                <w:b/>
                <w:lang w:eastAsia="en-US"/>
              </w:rPr>
            </w:pPr>
          </w:p>
        </w:tc>
        <w:tc>
          <w:tcPr>
            <w:tcW w:w="178" w:type="pct"/>
            <w:vMerge w:val="restart"/>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val="restart"/>
            <w:tcBorders>
              <w:left w:val="single" w:sz="4" w:space="0" w:color="auto"/>
              <w:right w:val="single" w:sz="4" w:space="0" w:color="auto"/>
            </w:tcBorders>
          </w:tcPr>
          <w:p>
            <w:pPr>
              <w:jc w:val="left"/>
              <w:rPr>
                <w:rFonts w:eastAsia="Times New Roman"/>
                <w:b/>
                <w:lang w:eastAsia="en-US"/>
              </w:rPr>
            </w:pPr>
          </w:p>
        </w:tc>
        <w:tc>
          <w:tcPr>
            <w:tcW w:w="178" w:type="pct"/>
            <w:vMerge w:val="restart"/>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3040" w:type="pct"/>
            <w:gridSpan w:val="2"/>
            <w:tcBorders>
              <w:top w:val="single" w:sz="4" w:space="0" w:color="auto"/>
              <w:left w:val="single" w:sz="12" w:space="0" w:color="auto"/>
              <w:bottom w:val="single" w:sz="4" w:space="0" w:color="auto"/>
              <w:right w:val="nil"/>
            </w:tcBorders>
            <w:shd w:val="clear" w:color="auto" w:fill="auto"/>
          </w:tcPr>
          <w:p>
            <w:pPr>
              <w:jc w:val="left"/>
              <w:rPr>
                <w:rFonts w:eastAsia="Times New Roman"/>
                <w:b/>
                <w:lang w:eastAsia="en-US"/>
              </w:rPr>
            </w:pPr>
            <w:r>
              <w:rPr>
                <w:rFonts w:eastAsia="Times New Roman"/>
                <w:lang w:eastAsia="en-US"/>
              </w:rPr>
              <w:t xml:space="preserve">DN, мм </w:t>
            </w:r>
          </w:p>
        </w:tc>
        <w:tc>
          <w:tcPr>
            <w:tcW w:w="178" w:type="pct"/>
            <w:vMerge/>
            <w:tcBorders>
              <w:left w:val="nil"/>
              <w:bottom w:val="single" w:sz="4" w:space="0" w:color="auto"/>
              <w:right w:val="single" w:sz="4" w:space="0" w:color="auto"/>
            </w:tcBorders>
            <w:shd w:val="clear" w:color="auto" w:fill="auto"/>
          </w:tcPr>
          <w:p>
            <w:pPr>
              <w:jc w:val="left"/>
              <w:rPr>
                <w:rFonts w:eastAsia="Times New Roman"/>
                <w:b/>
                <w:sz w:val="20"/>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3219" w:type="pct"/>
            <w:gridSpan w:val="3"/>
            <w:tcBorders>
              <w:top w:val="single" w:sz="4" w:space="0" w:color="auto"/>
              <w:left w:val="single" w:sz="12" w:space="0" w:color="auto"/>
              <w:bottom w:val="single" w:sz="4" w:space="0" w:color="auto"/>
              <w:right w:val="nil"/>
            </w:tcBorders>
            <w:shd w:val="clear" w:color="auto" w:fill="auto"/>
          </w:tcPr>
          <w:p>
            <w:pPr>
              <w:jc w:val="left"/>
              <w:rPr>
                <w:rFonts w:eastAsia="Times New Roman"/>
                <w:b/>
                <w:lang w:eastAsia="en-US"/>
              </w:rPr>
            </w:pPr>
            <w:r>
              <w:rPr>
                <w:rFonts w:eastAsia="Times New Roman"/>
                <w:lang w:eastAsia="en-US"/>
              </w:rPr>
              <w:t>PN, кгс/см²</w:t>
            </w:r>
          </w:p>
        </w:tc>
        <w:tc>
          <w:tcPr>
            <w:tcW w:w="178" w:type="pct"/>
            <w:vMerge/>
            <w:tcBorders>
              <w:left w:val="nil"/>
              <w:bottom w:val="single" w:sz="4" w:space="0" w:color="auto"/>
              <w:right w:val="single" w:sz="4" w:space="0" w:color="auto"/>
            </w:tcBorders>
            <w:shd w:val="clear" w:color="auto" w:fill="auto"/>
          </w:tcPr>
          <w:p>
            <w:pPr>
              <w:jc w:val="left"/>
              <w:rPr>
                <w:rFonts w:eastAsia="Times New Roman"/>
                <w:b/>
                <w:sz w:val="20"/>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3397" w:type="pct"/>
            <w:gridSpan w:val="4"/>
            <w:tcBorders>
              <w:top w:val="single" w:sz="4" w:space="0" w:color="auto"/>
              <w:left w:val="single" w:sz="12" w:space="0" w:color="auto"/>
              <w:bottom w:val="single" w:sz="4" w:space="0" w:color="auto"/>
              <w:right w:val="nil"/>
            </w:tcBorders>
            <w:shd w:val="clear" w:color="auto" w:fill="auto"/>
          </w:tcPr>
          <w:p>
            <w:pPr>
              <w:jc w:val="left"/>
              <w:rPr>
                <w:rFonts w:eastAsia="Times New Roman"/>
                <w:b/>
                <w:lang w:eastAsia="en-US"/>
              </w:rPr>
            </w:pPr>
            <w:r>
              <w:rPr>
                <w:rFonts w:eastAsia="Times New Roman"/>
                <w:lang w:eastAsia="en-US"/>
              </w:rPr>
              <w:t xml:space="preserve">Место установки </w:t>
            </w:r>
          </w:p>
        </w:tc>
        <w:tc>
          <w:tcPr>
            <w:tcW w:w="178" w:type="pct"/>
            <w:vMerge/>
            <w:tcBorders>
              <w:left w:val="nil"/>
              <w:bottom w:val="single" w:sz="4" w:space="0" w:color="auto"/>
              <w:right w:val="single" w:sz="4" w:space="0" w:color="auto"/>
            </w:tcBorders>
            <w:shd w:val="clear" w:color="auto" w:fill="auto"/>
          </w:tcPr>
          <w:p>
            <w:pPr>
              <w:jc w:val="left"/>
              <w:rPr>
                <w:rFonts w:eastAsia="Times New Roman"/>
                <w:b/>
                <w:sz w:val="20"/>
                <w:lang w:eastAsia="en-US"/>
              </w:rPr>
            </w:pPr>
          </w:p>
        </w:tc>
        <w:tc>
          <w:tcPr>
            <w:tcW w:w="178" w:type="pct"/>
            <w:vMerge/>
            <w:tcBorders>
              <w:left w:val="single" w:sz="4" w:space="0" w:color="auto"/>
              <w:bottom w:val="nil"/>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3754" w:type="pct"/>
            <w:gridSpan w:val="6"/>
            <w:tcBorders>
              <w:top w:val="nil"/>
              <w:left w:val="single" w:sz="12" w:space="0" w:color="auto"/>
              <w:bottom w:val="single" w:sz="4" w:space="0" w:color="auto"/>
              <w:right w:val="single" w:sz="4" w:space="0" w:color="auto"/>
            </w:tcBorders>
            <w:shd w:val="clear" w:color="auto" w:fill="auto"/>
          </w:tcPr>
          <w:p>
            <w:pPr>
              <w:jc w:val="left"/>
              <w:rPr>
                <w:rFonts w:eastAsia="Times New Roman"/>
                <w:b/>
                <w:lang w:eastAsia="en-US"/>
              </w:rPr>
            </w:pPr>
            <w:r>
              <w:rPr>
                <w:rFonts w:eastAsia="Times New Roman"/>
                <w:lang w:eastAsia="en-US"/>
              </w:rPr>
              <w:t xml:space="preserve">Тип присоединения к трубопроводу </w:t>
            </w:r>
          </w:p>
        </w:tc>
        <w:tc>
          <w:tcPr>
            <w:tcW w:w="178" w:type="pct"/>
            <w:vMerge/>
            <w:tcBorders>
              <w:left w:val="single" w:sz="4" w:space="0" w:color="auto"/>
              <w:bottom w:val="nil"/>
              <w:right w:val="single" w:sz="4" w:space="0" w:color="auto"/>
            </w:tcBorders>
            <w:shd w:val="clear" w:color="auto" w:fill="auto"/>
          </w:tcPr>
          <w:p>
            <w:pPr>
              <w:jc w:val="left"/>
              <w:rPr>
                <w:rFonts w:eastAsia="Times New Roman"/>
                <w:sz w:val="20"/>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3932" w:type="pct"/>
            <w:gridSpan w:val="7"/>
            <w:tcBorders>
              <w:top w:val="nil"/>
              <w:left w:val="single" w:sz="12" w:space="0" w:color="auto"/>
              <w:bottom w:val="single" w:sz="4" w:space="0" w:color="auto"/>
              <w:right w:val="single" w:sz="4" w:space="0" w:color="auto"/>
            </w:tcBorders>
            <w:shd w:val="clear" w:color="auto" w:fill="auto"/>
          </w:tcPr>
          <w:p>
            <w:pPr>
              <w:widowControl w:val="0"/>
              <w:tabs>
                <w:tab w:val="left" w:pos="0"/>
                <w:tab w:val="left" w:pos="993"/>
              </w:tabs>
              <w:ind w:right="108"/>
              <w:jc w:val="left"/>
              <w:rPr>
                <w:rFonts w:eastAsia="Times New Roman"/>
                <w:bCs/>
                <w:iCs/>
                <w:lang w:eastAsia="en-US"/>
              </w:rPr>
            </w:pPr>
            <w:r>
              <w:rPr>
                <w:rFonts w:eastAsia="PMingLiU"/>
                <w:spacing w:val="-1"/>
                <w:lang w:eastAsia="en-US"/>
              </w:rPr>
              <w:t>Классификация рабочей среды в зависимости от содержания сероводорода</w:t>
            </w:r>
          </w:p>
        </w:tc>
        <w:tc>
          <w:tcPr>
            <w:tcW w:w="178" w:type="pct"/>
            <w:vMerge/>
            <w:tcBorders>
              <w:left w:val="single" w:sz="4" w:space="0" w:color="auto"/>
              <w:bottom w:val="nil"/>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4110" w:type="pct"/>
            <w:gridSpan w:val="8"/>
            <w:tcBorders>
              <w:top w:val="nil"/>
              <w:left w:val="single" w:sz="12" w:space="0" w:color="auto"/>
              <w:bottom w:val="single" w:sz="4" w:space="0" w:color="auto"/>
              <w:right w:val="single" w:sz="4" w:space="0" w:color="auto"/>
            </w:tcBorders>
            <w:shd w:val="clear" w:color="auto" w:fill="auto"/>
          </w:tcPr>
          <w:p>
            <w:pPr>
              <w:jc w:val="left"/>
              <w:rPr>
                <w:rFonts w:eastAsia="Times New Roman"/>
                <w:lang w:eastAsia="en-US"/>
              </w:rPr>
            </w:pPr>
            <w:r>
              <w:rPr>
                <w:rFonts w:eastAsia="Times New Roman"/>
                <w:lang w:eastAsia="en-US"/>
              </w:rPr>
              <w:t>Значение толщины стенки присоединяемого трубопровода, мм</w:t>
            </w:r>
          </w:p>
        </w:tc>
        <w:tc>
          <w:tcPr>
            <w:tcW w:w="178" w:type="pct"/>
            <w:vMerge/>
            <w:tcBorders>
              <w:left w:val="single" w:sz="4" w:space="0" w:color="auto"/>
              <w:bottom w:val="nil"/>
              <w:right w:val="single" w:sz="4" w:space="0" w:color="auto"/>
            </w:tcBorders>
            <w:shd w:val="clear" w:color="auto" w:fill="auto"/>
          </w:tcPr>
          <w:p>
            <w:pPr>
              <w:widowControl w:val="0"/>
              <w:tabs>
                <w:tab w:val="left" w:pos="0"/>
                <w:tab w:val="left" w:pos="993"/>
              </w:tabs>
              <w:ind w:right="108"/>
              <w:jc w:val="left"/>
              <w:rPr>
                <w:rFonts w:eastAsia="Times New Roman"/>
                <w:bCs/>
                <w:iCs/>
                <w:sz w:val="20"/>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4288" w:type="pct"/>
            <w:gridSpan w:val="9"/>
            <w:tcBorders>
              <w:top w:val="nil"/>
              <w:left w:val="single" w:sz="12" w:space="0" w:color="auto"/>
              <w:bottom w:val="single" w:sz="4" w:space="0" w:color="auto"/>
              <w:right w:val="single" w:sz="4" w:space="0" w:color="auto"/>
            </w:tcBorders>
          </w:tcPr>
          <w:p>
            <w:pPr>
              <w:jc w:val="left"/>
              <w:rPr>
                <w:rFonts w:eastAsia="Times New Roman"/>
                <w:lang w:eastAsia="en-US"/>
              </w:rPr>
            </w:pPr>
            <w:r>
              <w:rPr>
                <w:rFonts w:eastAsia="Times New Roman"/>
                <w:lang w:eastAsia="en-US"/>
              </w:rPr>
              <w:t>Класс (группа) прочности присоединяемого трубопровода, значение временного сопротивления разрыву Ơв, кгс/мм</w:t>
            </w:r>
            <w:r>
              <w:rPr>
                <w:rFonts w:eastAsia="Times New Roman"/>
                <w:vertAlign w:val="superscript"/>
                <w:lang w:eastAsia="en-US"/>
              </w:rPr>
              <w:t>2</w:t>
            </w:r>
          </w:p>
        </w:tc>
        <w:tc>
          <w:tcPr>
            <w:tcW w:w="178" w:type="pct"/>
            <w:vMerge/>
            <w:tcBorders>
              <w:left w:val="single" w:sz="4" w:space="0" w:color="auto"/>
              <w:bottom w:val="nil"/>
              <w:right w:val="single" w:sz="4" w:space="0" w:color="auto"/>
            </w:tcBorders>
          </w:tcPr>
          <w:p>
            <w:pPr>
              <w:jc w:val="left"/>
              <w:rPr>
                <w:rFonts w:eastAsia="Times New Roman"/>
                <w:sz w:val="20"/>
                <w:lang w:eastAsia="en-US"/>
              </w:rPr>
            </w:pPr>
          </w:p>
        </w:tc>
        <w:tc>
          <w:tcPr>
            <w:tcW w:w="178" w:type="pct"/>
            <w:vMerge/>
            <w:tcBorders>
              <w:left w:val="single" w:sz="4" w:space="0" w:color="auto"/>
              <w:right w:val="single" w:sz="4" w:space="0" w:color="auto"/>
            </w:tcBorders>
            <w:shd w:val="clear" w:color="auto" w:fill="auto"/>
          </w:tcPr>
          <w:p>
            <w:pPr>
              <w:jc w:val="left"/>
              <w:rPr>
                <w:rFonts w:eastAsia="Times New Roman"/>
                <w:b/>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4466" w:type="pct"/>
            <w:gridSpan w:val="10"/>
            <w:tcBorders>
              <w:top w:val="nil"/>
              <w:left w:val="single" w:sz="12" w:space="0" w:color="auto"/>
              <w:bottom w:val="single" w:sz="4" w:space="0" w:color="auto"/>
              <w:right w:val="single" w:sz="4" w:space="0" w:color="auto"/>
            </w:tcBorders>
          </w:tcPr>
          <w:p>
            <w:pPr>
              <w:jc w:val="left"/>
              <w:rPr>
                <w:rFonts w:eastAsia="Times New Roman"/>
                <w:b/>
                <w:lang w:eastAsia="en-US"/>
              </w:rPr>
            </w:pPr>
            <w:r>
              <w:rPr>
                <w:rFonts w:eastAsia="Times New Roman"/>
                <w:lang w:eastAsia="en-US"/>
              </w:rPr>
              <w:t>Тип привода</w:t>
            </w:r>
          </w:p>
        </w:tc>
        <w:tc>
          <w:tcPr>
            <w:tcW w:w="178" w:type="pct"/>
            <w:vMerge/>
            <w:tcBorders>
              <w:left w:val="single" w:sz="4" w:space="0" w:color="auto"/>
              <w:bottom w:val="nil"/>
              <w:right w:val="single" w:sz="4" w:space="0" w:color="auto"/>
            </w:tcBorders>
            <w:shd w:val="clear" w:color="auto" w:fill="auto"/>
          </w:tcPr>
          <w:p>
            <w:pPr>
              <w:jc w:val="left"/>
              <w:rPr>
                <w:rFonts w:eastAsia="Times New Roman"/>
                <w:sz w:val="20"/>
                <w:lang w:eastAsia="en-US"/>
              </w:rPr>
            </w:pPr>
          </w:p>
        </w:tc>
        <w:tc>
          <w:tcPr>
            <w:tcW w:w="178" w:type="pct"/>
            <w:vMerge/>
            <w:tcBorders>
              <w:left w:val="single" w:sz="4" w:space="0" w:color="auto"/>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4644" w:type="pct"/>
            <w:gridSpan w:val="11"/>
            <w:tcBorders>
              <w:top w:val="nil"/>
              <w:left w:val="single" w:sz="12" w:space="0" w:color="auto"/>
              <w:bottom w:val="single" w:sz="4" w:space="0" w:color="auto"/>
              <w:right w:val="single" w:sz="4" w:space="0" w:color="auto"/>
            </w:tcBorders>
          </w:tcPr>
          <w:p>
            <w:pPr>
              <w:jc w:val="left"/>
              <w:rPr>
                <w:rFonts w:eastAsia="Times New Roman"/>
                <w:b/>
                <w:lang w:eastAsia="en-US"/>
              </w:rPr>
            </w:pPr>
            <w:r>
              <w:rPr>
                <w:rFonts w:eastAsia="Times New Roman"/>
                <w:lang w:eastAsia="en-US"/>
              </w:rPr>
              <w:t>Характеристика рабочей среды</w:t>
            </w:r>
          </w:p>
        </w:tc>
        <w:tc>
          <w:tcPr>
            <w:tcW w:w="178" w:type="pct"/>
            <w:vMerge/>
            <w:tcBorders>
              <w:left w:val="single" w:sz="4" w:space="0" w:color="auto"/>
              <w:bottom w:val="nil"/>
              <w:right w:val="single" w:sz="4" w:space="0" w:color="auto"/>
            </w:tcBorders>
          </w:tcPr>
          <w:p>
            <w:pPr>
              <w:jc w:val="left"/>
              <w:rPr>
                <w:rFonts w:eastAsia="Times New Roman"/>
                <w:b/>
                <w:lang w:eastAsia="en-US"/>
              </w:rPr>
            </w:pPr>
          </w:p>
        </w:tc>
        <w:tc>
          <w:tcPr>
            <w:tcW w:w="178" w:type="pct"/>
            <w:vMerge/>
            <w:tcBorders>
              <w:left w:val="single" w:sz="4" w:space="0" w:color="auto"/>
              <w:right w:val="single" w:sz="12" w:space="0" w:color="auto"/>
            </w:tcBorders>
            <w:shd w:val="clear" w:color="auto" w:fill="auto"/>
          </w:tcPr>
          <w:p>
            <w:pPr>
              <w:jc w:val="left"/>
              <w:rPr>
                <w:rFonts w:eastAsia="Times New Roman"/>
                <w:b/>
                <w:lang w:eastAsia="en-US"/>
              </w:rPr>
            </w:pPr>
          </w:p>
        </w:tc>
      </w:tr>
      <w:tr>
        <w:trPr>
          <w:trHeight w:val="284"/>
        </w:trPr>
        <w:tc>
          <w:tcPr>
            <w:tcW w:w="4822" w:type="pct"/>
            <w:gridSpan w:val="12"/>
            <w:tcBorders>
              <w:top w:val="nil"/>
              <w:left w:val="single" w:sz="12" w:space="0" w:color="auto"/>
              <w:bottom w:val="single" w:sz="4" w:space="0" w:color="auto"/>
              <w:right w:val="single" w:sz="4" w:space="0" w:color="auto"/>
            </w:tcBorders>
          </w:tcPr>
          <w:p>
            <w:pPr>
              <w:jc w:val="left"/>
              <w:rPr>
                <w:rFonts w:eastAsia="Times New Roman"/>
                <w:b/>
                <w:lang w:eastAsia="en-US"/>
              </w:rPr>
            </w:pPr>
            <w:r>
              <w:rPr>
                <w:rFonts w:eastAsia="Times New Roman"/>
                <w:lang w:eastAsia="en-US"/>
              </w:rPr>
              <w:t xml:space="preserve">Климатическое исполнение </w:t>
            </w:r>
          </w:p>
        </w:tc>
        <w:tc>
          <w:tcPr>
            <w:tcW w:w="178" w:type="pct"/>
            <w:vMerge/>
            <w:tcBorders>
              <w:left w:val="single" w:sz="4" w:space="0" w:color="auto"/>
              <w:bottom w:val="nil"/>
              <w:right w:val="single" w:sz="12" w:space="0" w:color="auto"/>
            </w:tcBorders>
          </w:tcPr>
          <w:p>
            <w:pPr>
              <w:jc w:val="left"/>
              <w:rPr>
                <w:rFonts w:eastAsia="Times New Roman"/>
                <w:b/>
                <w:lang w:eastAsia="en-US"/>
              </w:rPr>
            </w:pPr>
          </w:p>
        </w:tc>
      </w:tr>
      <w:tr>
        <w:trPr>
          <w:trHeight w:val="284"/>
        </w:trPr>
        <w:tc>
          <w:tcPr>
            <w:tcW w:w="5000" w:type="pct"/>
            <w:gridSpan w:val="13"/>
            <w:tcBorders>
              <w:top w:val="nil"/>
              <w:left w:val="single" w:sz="12" w:space="0" w:color="auto"/>
              <w:bottom w:val="single" w:sz="12" w:space="0" w:color="auto"/>
              <w:right w:val="single" w:sz="12" w:space="0" w:color="auto"/>
            </w:tcBorders>
          </w:tcPr>
          <w:p>
            <w:pPr>
              <w:jc w:val="left"/>
              <w:rPr>
                <w:rFonts w:eastAsia="Times New Roman"/>
                <w:b/>
                <w:lang w:eastAsia="en-US"/>
              </w:rPr>
            </w:pPr>
            <w:r>
              <w:rPr>
                <w:rFonts w:eastAsia="Times New Roman"/>
                <w:lang w:eastAsia="en-US"/>
              </w:rPr>
              <w:t>Сейсмостойкое исполнение</w:t>
            </w:r>
          </w:p>
        </w:tc>
      </w:tr>
    </w:tbl>
    <w:p>
      <w:pPr>
        <w:rPr>
          <w:rFonts w:eastAsia="PMingLiU"/>
          <w:sz w:val="22"/>
          <w:szCs w:val="22"/>
          <w:lang w:eastAsia="en-US"/>
        </w:rPr>
      </w:pPr>
    </w:p>
    <w:p>
      <w:pPr>
        <w:rPr>
          <w:rFonts w:eastAsia="PMingLiU"/>
          <w:sz w:val="22"/>
          <w:szCs w:val="22"/>
          <w:lang w:eastAsia="en-US"/>
        </w:rPr>
      </w:pPr>
    </w:p>
    <w:p>
      <w:pPr>
        <w:keepNext/>
        <w:outlineLvl w:val="1"/>
        <w:rPr>
          <w:rFonts w:ascii="Arial" w:eastAsia="Calibri" w:hAnsi="Arial"/>
          <w:b/>
          <w:caps/>
        </w:rPr>
      </w:pPr>
      <w:bookmarkStart w:id="268" w:name="_Toc392607783"/>
      <w:bookmarkStart w:id="269" w:name="_Toc392695961"/>
      <w:bookmarkStart w:id="270" w:name="_Toc392696017"/>
      <w:bookmarkStart w:id="271" w:name="_Toc392752883"/>
      <w:bookmarkStart w:id="272" w:name="_Toc404615360"/>
      <w:bookmarkStart w:id="273" w:name="_Toc481662422"/>
      <w:bookmarkStart w:id="274" w:name="_Toc514169541"/>
      <w:r>
        <w:rPr>
          <w:rFonts w:ascii="Arial" w:eastAsia="Calibri" w:hAnsi="Arial"/>
          <w:b/>
          <w:caps/>
        </w:rPr>
        <w:t>5.2.</w:t>
      </w:r>
      <w:r>
        <w:rPr>
          <w:rFonts w:ascii="Arial" w:eastAsia="Calibri" w:hAnsi="Arial"/>
          <w:b/>
          <w:caps/>
        </w:rPr>
        <w:tab/>
        <w:t>РАСШИФРОВКА УСЛОВНОГО ОБОЗНАЧЕНИЯ</w:t>
      </w:r>
      <w:bookmarkEnd w:id="268"/>
      <w:bookmarkEnd w:id="269"/>
      <w:bookmarkEnd w:id="270"/>
      <w:bookmarkEnd w:id="271"/>
      <w:bookmarkEnd w:id="272"/>
      <w:bookmarkEnd w:id="273"/>
      <w:bookmarkEnd w:id="274"/>
    </w:p>
    <w:p>
      <w:pPr>
        <w:rPr>
          <w:rFonts w:eastAsia="PMingLiU"/>
          <w:sz w:val="22"/>
          <w:szCs w:val="22"/>
          <w:lang w:eastAsia="en-US"/>
        </w:rPr>
      </w:pPr>
    </w:p>
    <w:p>
      <w:r>
        <w:t>В Таблице 30 приведена расшифровка условного обозначения крана шарового.</w:t>
      </w:r>
    </w:p>
    <w:p>
      <w:pPr>
        <w:rPr>
          <w:rFonts w:eastAsia="PMingLiU"/>
          <w:sz w:val="22"/>
          <w:szCs w:val="22"/>
          <w:lang w:eastAsia="en-US"/>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30</w:t>
      </w:r>
      <w:r>
        <w:rPr>
          <w:rFonts w:ascii="Arial" w:eastAsia="Times New Roman" w:hAnsi="Arial"/>
          <w:b/>
          <w:noProof/>
          <w:sz w:val="20"/>
        </w:rPr>
        <w:fldChar w:fldCharType="end"/>
      </w:r>
    </w:p>
    <w:p>
      <w:pPr>
        <w:keepNext/>
        <w:widowControl w:val="0"/>
        <w:spacing w:after="60"/>
        <w:jc w:val="right"/>
        <w:rPr>
          <w:rFonts w:ascii="Arial" w:eastAsia="Times New Roman" w:hAnsi="Arial" w:cs="Arial"/>
          <w:b/>
          <w:sz w:val="20"/>
          <w:szCs w:val="20"/>
        </w:rPr>
      </w:pPr>
      <w:r>
        <w:rPr>
          <w:rFonts w:ascii="Arial" w:eastAsia="Times New Roman" w:hAnsi="Arial" w:cs="Arial"/>
          <w:b/>
          <w:sz w:val="20"/>
          <w:szCs w:val="20"/>
          <w:lang w:eastAsia="x-none"/>
        </w:rPr>
        <w:t>Расшифровка условного обозначения</w:t>
      </w:r>
      <w:r>
        <w:rPr>
          <w:rFonts w:ascii="Arial" w:eastAsia="Times New Roman" w:hAnsi="Arial" w:cs="Arial"/>
          <w:b/>
          <w:sz w:val="20"/>
          <w:szCs w:val="20"/>
        </w:rPr>
        <w:t xml:space="preserve"> крана шарового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692"/>
        <w:gridCol w:w="2126"/>
        <w:gridCol w:w="4501"/>
      </w:tblGrid>
      <w:tr>
        <w:trPr>
          <w:trHeight w:val="327"/>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 п/п</w:t>
            </w:r>
          </w:p>
        </w:tc>
        <w:tc>
          <w:tcPr>
            <w:tcW w:w="1366"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ПАРАМЕТР</w:t>
            </w:r>
          </w:p>
        </w:tc>
        <w:tc>
          <w:tcPr>
            <w:tcW w:w="1079"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ОБОЗНАЧЕНИЕ</w:t>
            </w:r>
          </w:p>
        </w:tc>
        <w:tc>
          <w:tcPr>
            <w:tcW w:w="2284" w:type="pct"/>
            <w:tcBorders>
              <w:top w:val="single" w:sz="12" w:space="0" w:color="auto"/>
              <w:left w:val="single" w:sz="6" w:space="0" w:color="auto"/>
              <w:bottom w:val="single" w:sz="12" w:space="0" w:color="auto"/>
              <w:right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РАСШИФРОВКА</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1</w:t>
            </w:r>
          </w:p>
        </w:tc>
        <w:tc>
          <w:tcPr>
            <w:tcW w:w="1366" w:type="pct"/>
            <w:tcBorders>
              <w:top w:val="single" w:sz="12" w:space="0" w:color="auto"/>
              <w:left w:val="single" w:sz="6" w:space="0" w:color="auto"/>
              <w:bottom w:val="single" w:sz="12" w:space="0" w:color="auto"/>
              <w:right w:val="single" w:sz="6" w:space="0" w:color="auto"/>
            </w:tcBorders>
            <w:shd w:val="clear" w:color="auto" w:fill="FFD200"/>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2</w:t>
            </w:r>
          </w:p>
        </w:tc>
        <w:tc>
          <w:tcPr>
            <w:tcW w:w="1079" w:type="pct"/>
            <w:tcBorders>
              <w:top w:val="single" w:sz="12" w:space="0" w:color="auto"/>
              <w:left w:val="single" w:sz="6" w:space="0" w:color="auto"/>
              <w:bottom w:val="single" w:sz="12" w:space="0" w:color="auto"/>
              <w:right w:val="single" w:sz="6"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3</w:t>
            </w:r>
          </w:p>
        </w:tc>
        <w:tc>
          <w:tcPr>
            <w:tcW w:w="2284" w:type="pct"/>
            <w:tcBorders>
              <w:top w:val="single" w:sz="12" w:space="0" w:color="auto"/>
              <w:left w:val="single" w:sz="6" w:space="0" w:color="auto"/>
              <w:bottom w:val="single" w:sz="12" w:space="0" w:color="auto"/>
              <w:right w:val="single" w:sz="12" w:space="0" w:color="auto"/>
            </w:tcBorders>
            <w:shd w:val="clear" w:color="auto" w:fill="FFD200"/>
            <w:vAlign w:val="center"/>
          </w:tcPr>
          <w:p>
            <w:pPr>
              <w:keepNext/>
              <w:widowControl w:val="0"/>
              <w:spacing w:before="20" w:after="20"/>
              <w:jc w:val="center"/>
              <w:rPr>
                <w:rFonts w:ascii="Arial" w:eastAsia="Times New Roman" w:hAnsi="Arial"/>
                <w:b/>
                <w:caps/>
                <w:sz w:val="16"/>
                <w:szCs w:val="16"/>
              </w:rPr>
            </w:pPr>
            <w:r>
              <w:rPr>
                <w:rFonts w:ascii="Arial" w:eastAsia="Times New Roman" w:hAnsi="Arial"/>
                <w:b/>
                <w:caps/>
                <w:sz w:val="16"/>
                <w:szCs w:val="16"/>
              </w:rPr>
              <w:t>4</w:t>
            </w:r>
          </w:p>
        </w:tc>
      </w:tr>
      <w:tr>
        <w:trPr>
          <w:trHeight w:val="255"/>
        </w:trPr>
        <w:tc>
          <w:tcPr>
            <w:tcW w:w="271" w:type="pct"/>
            <w:tcBorders>
              <w:top w:val="single" w:sz="12"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rPr>
            </w:pPr>
            <w:r>
              <w:rPr>
                <w:rFonts w:eastAsia="Times New Roman"/>
                <w:sz w:val="20"/>
                <w:szCs w:val="20"/>
              </w:rPr>
              <w:t>1</w:t>
            </w:r>
          </w:p>
        </w:tc>
        <w:tc>
          <w:tcPr>
            <w:tcW w:w="1366" w:type="pct"/>
            <w:tcBorders>
              <w:top w:val="single" w:sz="12"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Вид МТР</w:t>
            </w:r>
          </w:p>
        </w:tc>
        <w:tc>
          <w:tcPr>
            <w:tcW w:w="1079" w:type="pct"/>
            <w:tcBorders>
              <w:top w:val="single" w:sz="12"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КШ</w:t>
            </w:r>
          </w:p>
        </w:tc>
        <w:tc>
          <w:tcPr>
            <w:tcW w:w="2284" w:type="pct"/>
            <w:tcBorders>
              <w:top w:val="single" w:sz="12"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Кран шаровой</w:t>
            </w:r>
          </w:p>
        </w:tc>
      </w:tr>
      <w:tr>
        <w:trPr>
          <w:trHeight w:val="255"/>
        </w:trPr>
        <w:tc>
          <w:tcPr>
            <w:tcW w:w="271" w:type="pc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rPr>
            </w:pPr>
            <w:r>
              <w:rPr>
                <w:rFonts w:eastAsia="Times New Roman"/>
                <w:sz w:val="20"/>
                <w:szCs w:val="20"/>
              </w:rPr>
              <w:t>2</w:t>
            </w:r>
          </w:p>
        </w:tc>
        <w:tc>
          <w:tcPr>
            <w:tcW w:w="1366" w:type="pc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lang w:val="en-US"/>
              </w:rPr>
              <w:t>DN</w:t>
            </w:r>
            <w:r>
              <w:rPr>
                <w:rFonts w:eastAsia="Times New Roman"/>
                <w:sz w:val="20"/>
                <w:szCs w:val="20"/>
              </w:rPr>
              <w:t>, мм</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lang w:val="en-US"/>
              </w:rPr>
            </w:pPr>
            <w:r>
              <w:rPr>
                <w:rFonts w:eastAsia="Times New Roman"/>
                <w:b/>
                <w:sz w:val="20"/>
                <w:szCs w:val="20"/>
              </w:rPr>
              <w:t>10; 15; 20; 25; 32; 40; 50; 65; 80; 100; 150; 200; 250; 300; 350; 400; 450; 500; 600; 700; 800; 1000, 1200</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Номинальный диаметр</w:t>
            </w:r>
          </w:p>
        </w:tc>
      </w:tr>
      <w:tr>
        <w:trPr>
          <w:trHeight w:val="255"/>
        </w:trPr>
        <w:tc>
          <w:tcPr>
            <w:tcW w:w="271" w:type="pc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rPr>
            </w:pPr>
            <w:r>
              <w:rPr>
                <w:rFonts w:eastAsia="Times New Roman"/>
                <w:sz w:val="20"/>
                <w:szCs w:val="20"/>
              </w:rPr>
              <w:t>3</w:t>
            </w:r>
          </w:p>
        </w:tc>
        <w:tc>
          <w:tcPr>
            <w:tcW w:w="1366" w:type="pc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lang w:val="en-US"/>
              </w:rPr>
              <w:t>PN</w:t>
            </w:r>
            <w:r>
              <w:rPr>
                <w:rFonts w:eastAsia="Times New Roman"/>
                <w:sz w:val="20"/>
                <w:szCs w:val="20"/>
              </w:rPr>
              <w:t>, кгс/см²</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10, 16, 20, 25, 40, 63, 100, 125, 160, 200, 250, 320</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Номинальное давление</w:t>
            </w:r>
          </w:p>
        </w:tc>
      </w:tr>
      <w:tr>
        <w:trPr>
          <w:trHeight w:val="255"/>
        </w:trPr>
        <w:tc>
          <w:tcPr>
            <w:tcW w:w="271" w:type="pct"/>
            <w:vMerge w:val="restar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rPr>
            </w:pPr>
            <w:r>
              <w:rPr>
                <w:rFonts w:eastAsia="Times New Roman"/>
                <w:sz w:val="20"/>
                <w:szCs w:val="20"/>
              </w:rPr>
              <w:t>4</w:t>
            </w:r>
          </w:p>
        </w:tc>
        <w:tc>
          <w:tcPr>
            <w:tcW w:w="1366" w:type="pct"/>
            <w:vMerge w:val="restar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Times New Roman"/>
                <w:sz w:val="20"/>
                <w:szCs w:val="20"/>
              </w:rPr>
              <w:t>Место установки</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П</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 xml:space="preserve">Подземная </w:t>
            </w:r>
          </w:p>
        </w:tc>
      </w:tr>
      <w:tr>
        <w:trPr>
          <w:trHeight w:val="255"/>
        </w:trPr>
        <w:tc>
          <w:tcPr>
            <w:tcW w:w="271" w:type="pct"/>
            <w:vMerge/>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rPr>
            </w:pPr>
          </w:p>
        </w:tc>
        <w:tc>
          <w:tcPr>
            <w:tcW w:w="1366" w:type="pct"/>
            <w:vMerge/>
            <w:tcBorders>
              <w:top w:val="single" w:sz="6" w:space="0" w:color="auto"/>
              <w:left w:val="single" w:sz="6" w:space="0" w:color="auto"/>
              <w:bottom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Н</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Надземная</w:t>
            </w:r>
          </w:p>
        </w:tc>
      </w:tr>
      <w:tr>
        <w:trPr>
          <w:trHeight w:val="255"/>
        </w:trPr>
        <w:tc>
          <w:tcPr>
            <w:tcW w:w="271" w:type="pct"/>
            <w:vMerge w:val="restart"/>
            <w:tcBorders>
              <w:top w:val="single" w:sz="6" w:space="0" w:color="auto"/>
              <w:left w:val="single" w:sz="12" w:space="0" w:color="auto"/>
              <w:right w:val="single" w:sz="6" w:space="0" w:color="auto"/>
            </w:tcBorders>
            <w:shd w:val="clear" w:color="auto" w:fill="auto"/>
          </w:tcPr>
          <w:p>
            <w:pPr>
              <w:jc w:val="left"/>
              <w:rPr>
                <w:rFonts w:eastAsia="Times New Roman"/>
                <w:sz w:val="20"/>
                <w:szCs w:val="20"/>
                <w:lang w:val="en-US"/>
              </w:rPr>
            </w:pPr>
            <w:r>
              <w:rPr>
                <w:rFonts w:eastAsia="Times New Roman"/>
                <w:sz w:val="20"/>
                <w:szCs w:val="20"/>
                <w:lang w:val="en-US"/>
              </w:rPr>
              <w:t>5</w:t>
            </w:r>
          </w:p>
        </w:tc>
        <w:tc>
          <w:tcPr>
            <w:tcW w:w="1366" w:type="pct"/>
            <w:vMerge w:val="restart"/>
            <w:tcBorders>
              <w:top w:val="single" w:sz="6" w:space="0" w:color="auto"/>
              <w:left w:val="single" w:sz="6" w:space="0" w:color="auto"/>
              <w:right w:val="single" w:sz="6" w:space="0" w:color="auto"/>
            </w:tcBorders>
          </w:tcPr>
          <w:p>
            <w:pPr>
              <w:jc w:val="left"/>
              <w:rPr>
                <w:rFonts w:eastAsia="Times New Roman"/>
                <w:sz w:val="20"/>
                <w:szCs w:val="20"/>
              </w:rPr>
            </w:pPr>
            <w:r>
              <w:rPr>
                <w:rFonts w:eastAsia="Times New Roman"/>
                <w:sz w:val="20"/>
                <w:szCs w:val="20"/>
              </w:rPr>
              <w:t xml:space="preserve">Тип присоединения </w:t>
            </w:r>
          </w:p>
          <w:p>
            <w:pPr>
              <w:jc w:val="left"/>
              <w:rPr>
                <w:rFonts w:eastAsia="Times New Roman"/>
                <w:sz w:val="20"/>
                <w:szCs w:val="20"/>
              </w:rPr>
            </w:pPr>
            <w:r>
              <w:rPr>
                <w:rFonts w:eastAsia="Times New Roman"/>
                <w:sz w:val="20"/>
                <w:szCs w:val="20"/>
              </w:rPr>
              <w:t>к трубопроводу</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Ф</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keepNext/>
              <w:jc w:val="left"/>
              <w:rPr>
                <w:rFonts w:eastAsia="Times New Roman"/>
                <w:sz w:val="20"/>
                <w:szCs w:val="20"/>
              </w:rPr>
            </w:pPr>
            <w:r>
              <w:rPr>
                <w:rFonts w:eastAsia="Times New Roman"/>
                <w:sz w:val="20"/>
                <w:szCs w:val="20"/>
              </w:rPr>
              <w:t>Фланцевое с ответными фланцами под приварку к трубопроводу, прокладками и крепежом</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lang w:eastAsia="en-US"/>
              </w:rPr>
            </w:pPr>
            <w:r>
              <w:rPr>
                <w:rFonts w:eastAsia="Times New Roman"/>
                <w:b/>
                <w:sz w:val="20"/>
                <w:szCs w:val="20"/>
              </w:rPr>
              <w:t>С</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lang w:eastAsia="en-US"/>
              </w:rPr>
            </w:pPr>
            <w:r>
              <w:rPr>
                <w:rFonts w:eastAsia="Times New Roman"/>
                <w:sz w:val="20"/>
                <w:szCs w:val="20"/>
              </w:rPr>
              <w:t>С концами под приварку</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lang w:eastAsia="en-US"/>
              </w:rPr>
            </w:pPr>
            <w:r>
              <w:rPr>
                <w:rFonts w:eastAsia="Times New Roman"/>
                <w:b/>
                <w:sz w:val="20"/>
                <w:szCs w:val="20"/>
              </w:rPr>
              <w:t>М</w:t>
            </w:r>
            <w:r>
              <w:rPr>
                <w:rFonts w:eastAsia="Times New Roman"/>
                <w:b/>
                <w:sz w:val="20"/>
                <w:szCs w:val="20"/>
                <w:lang w:val="en-US"/>
              </w:rPr>
              <w:t>G</w:t>
            </w:r>
          </w:p>
        </w:tc>
        <w:tc>
          <w:tcPr>
            <w:tcW w:w="2284" w:type="pct"/>
            <w:tcBorders>
              <w:top w:val="single" w:sz="6" w:space="0" w:color="auto"/>
              <w:left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 xml:space="preserve">Муфтовый </w:t>
            </w:r>
            <w:r>
              <w:rPr>
                <w:rFonts w:eastAsia="Times New Roman"/>
                <w:sz w:val="20"/>
                <w:szCs w:val="20"/>
                <w:lang w:val="en-US"/>
              </w:rPr>
              <w:t>c</w:t>
            </w:r>
            <w:r>
              <w:rPr>
                <w:rFonts w:eastAsia="Times New Roman"/>
                <w:sz w:val="20"/>
                <w:szCs w:val="20"/>
              </w:rPr>
              <w:t xml:space="preserve"> </w:t>
            </w:r>
            <w:r>
              <w:rPr>
                <w:sz w:val="20"/>
                <w:szCs w:val="20"/>
              </w:rPr>
              <w:t xml:space="preserve">G – трубной цилиндрической </w:t>
            </w:r>
            <w:r>
              <w:rPr>
                <w:sz w:val="20"/>
                <w:szCs w:val="20"/>
              </w:rPr>
              <w:lastRenderedPageBreak/>
              <w:t>резьбой по ГОСТ</w:t>
            </w:r>
            <w:r>
              <w:rPr>
                <w:sz w:val="20"/>
                <w:szCs w:val="20"/>
                <w:lang w:val="en-US"/>
              </w:rPr>
              <w:t> </w:t>
            </w:r>
            <w:r>
              <w:rPr>
                <w:sz w:val="20"/>
                <w:szCs w:val="20"/>
              </w:rPr>
              <w:t>6357</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rPr>
            </w:pPr>
            <w:r>
              <w:rPr>
                <w:rFonts w:eastAsia="Times New Roman"/>
                <w:b/>
                <w:sz w:val="20"/>
                <w:szCs w:val="20"/>
                <w:lang w:val="en-US"/>
              </w:rPr>
              <w:t>MRc</w:t>
            </w:r>
          </w:p>
        </w:tc>
        <w:tc>
          <w:tcPr>
            <w:tcW w:w="2284" w:type="pct"/>
            <w:tcBorders>
              <w:left w:val="single" w:sz="6" w:space="0" w:color="auto"/>
              <w:right w:val="single" w:sz="12" w:space="0" w:color="auto"/>
            </w:tcBorders>
            <w:shd w:val="clear" w:color="auto" w:fill="auto"/>
          </w:tcPr>
          <w:p>
            <w:pPr>
              <w:jc w:val="left"/>
              <w:rPr>
                <w:sz w:val="20"/>
                <w:szCs w:val="20"/>
              </w:rPr>
            </w:pPr>
            <w:r>
              <w:rPr>
                <w:sz w:val="20"/>
                <w:szCs w:val="20"/>
              </w:rPr>
              <w:t>Rc – конической резьбой по ГОСТ 6211</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rPr>
            </w:pPr>
            <w:r>
              <w:rPr>
                <w:rFonts w:eastAsia="Times New Roman"/>
                <w:b/>
                <w:sz w:val="20"/>
                <w:szCs w:val="20"/>
                <w:lang w:val="en-US"/>
              </w:rPr>
              <w:t>MK</w:t>
            </w:r>
          </w:p>
        </w:tc>
        <w:tc>
          <w:tcPr>
            <w:tcW w:w="2284" w:type="pct"/>
            <w:tcBorders>
              <w:left w:val="single" w:sz="6" w:space="0" w:color="auto"/>
              <w:bottom w:val="single" w:sz="6" w:space="0" w:color="auto"/>
              <w:right w:val="single" w:sz="12" w:space="0" w:color="auto"/>
            </w:tcBorders>
            <w:shd w:val="clear" w:color="auto" w:fill="auto"/>
          </w:tcPr>
          <w:p>
            <w:pPr>
              <w:jc w:val="left"/>
              <w:rPr>
                <w:sz w:val="20"/>
                <w:szCs w:val="20"/>
              </w:rPr>
            </w:pPr>
            <w:r>
              <w:rPr>
                <w:sz w:val="20"/>
                <w:szCs w:val="20"/>
              </w:rPr>
              <w:t>К – конической дюймовой резьбой по ГОСТ 6111</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rPr>
            </w:pPr>
            <w:r>
              <w:rPr>
                <w:rFonts w:eastAsia="Times New Roman"/>
                <w:b/>
                <w:sz w:val="20"/>
                <w:szCs w:val="20"/>
              </w:rPr>
              <w:t>Н</w:t>
            </w:r>
            <w:r>
              <w:rPr>
                <w:rFonts w:eastAsia="Times New Roman"/>
                <w:b/>
                <w:sz w:val="20"/>
                <w:szCs w:val="20"/>
                <w:lang w:val="en-US"/>
              </w:rPr>
              <w:t>G</w:t>
            </w:r>
          </w:p>
        </w:tc>
        <w:tc>
          <w:tcPr>
            <w:tcW w:w="2284" w:type="pct"/>
            <w:tcBorders>
              <w:top w:val="single" w:sz="6" w:space="0" w:color="auto"/>
              <w:left w:val="single" w:sz="6" w:space="0" w:color="auto"/>
              <w:right w:val="single" w:sz="12" w:space="0" w:color="auto"/>
            </w:tcBorders>
            <w:shd w:val="clear" w:color="auto" w:fill="auto"/>
          </w:tcPr>
          <w:p>
            <w:pPr>
              <w:jc w:val="left"/>
              <w:rPr>
                <w:sz w:val="20"/>
                <w:szCs w:val="20"/>
              </w:rPr>
            </w:pPr>
            <w:r>
              <w:rPr>
                <w:sz w:val="20"/>
                <w:szCs w:val="20"/>
              </w:rPr>
              <w:t>Ниппельный c G – трубной цилиндрической резьбой по ГОСТ</w:t>
            </w:r>
            <w:r>
              <w:rPr>
                <w:sz w:val="20"/>
                <w:szCs w:val="20"/>
                <w:lang w:val="en-US"/>
              </w:rPr>
              <w:t> </w:t>
            </w:r>
            <w:r>
              <w:rPr>
                <w:sz w:val="20"/>
                <w:szCs w:val="20"/>
              </w:rPr>
              <w:t>6357</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rPr>
            </w:pPr>
            <w:r>
              <w:rPr>
                <w:rFonts w:eastAsia="Times New Roman"/>
                <w:b/>
                <w:sz w:val="20"/>
                <w:szCs w:val="20"/>
              </w:rPr>
              <w:t>Н</w:t>
            </w:r>
            <w:r>
              <w:rPr>
                <w:rFonts w:eastAsia="Times New Roman"/>
                <w:b/>
                <w:sz w:val="20"/>
                <w:szCs w:val="20"/>
                <w:lang w:val="en-US"/>
              </w:rPr>
              <w:t>Rc</w:t>
            </w:r>
          </w:p>
        </w:tc>
        <w:tc>
          <w:tcPr>
            <w:tcW w:w="2284" w:type="pct"/>
            <w:tcBorders>
              <w:left w:val="single" w:sz="6" w:space="0" w:color="auto"/>
              <w:right w:val="single" w:sz="12" w:space="0" w:color="auto"/>
            </w:tcBorders>
            <w:shd w:val="clear" w:color="auto" w:fill="auto"/>
          </w:tcPr>
          <w:p>
            <w:pPr>
              <w:pStyle w:val="S0"/>
              <w:tabs>
                <w:tab w:val="left" w:pos="539"/>
              </w:tabs>
              <w:jc w:val="left"/>
              <w:rPr>
                <w:sz w:val="20"/>
                <w:szCs w:val="20"/>
              </w:rPr>
            </w:pPr>
            <w:r>
              <w:rPr>
                <w:sz w:val="20"/>
                <w:szCs w:val="20"/>
              </w:rPr>
              <w:t>Rc – конической резьбой по ГОСТ</w:t>
            </w:r>
            <w:r>
              <w:rPr>
                <w:sz w:val="20"/>
                <w:szCs w:val="20"/>
                <w:lang w:val="en-US"/>
              </w:rPr>
              <w:t> </w:t>
            </w:r>
            <w:r>
              <w:rPr>
                <w:sz w:val="20"/>
                <w:szCs w:val="20"/>
              </w:rPr>
              <w:t>6211</w:t>
            </w:r>
          </w:p>
        </w:tc>
      </w:tr>
      <w:tr>
        <w:trPr>
          <w:trHeight w:val="255"/>
        </w:trPr>
        <w:tc>
          <w:tcPr>
            <w:tcW w:w="271" w:type="pct"/>
            <w:vMerge/>
            <w:tcBorders>
              <w:left w:val="single" w:sz="12" w:space="0" w:color="auto"/>
              <w:bottom w:val="single" w:sz="6"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bottom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vAlign w:val="center"/>
          </w:tcPr>
          <w:p>
            <w:pPr>
              <w:jc w:val="center"/>
              <w:rPr>
                <w:rFonts w:eastAsia="Times New Roman"/>
                <w:b/>
                <w:sz w:val="20"/>
                <w:szCs w:val="20"/>
              </w:rPr>
            </w:pPr>
            <w:r>
              <w:rPr>
                <w:rFonts w:eastAsia="Times New Roman"/>
                <w:b/>
                <w:sz w:val="20"/>
                <w:szCs w:val="20"/>
              </w:rPr>
              <w:t>Н</w:t>
            </w:r>
            <w:r>
              <w:rPr>
                <w:rFonts w:eastAsia="Times New Roman"/>
                <w:b/>
                <w:sz w:val="20"/>
                <w:szCs w:val="20"/>
                <w:lang w:val="en-US"/>
              </w:rPr>
              <w:t>K</w:t>
            </w:r>
          </w:p>
        </w:tc>
        <w:tc>
          <w:tcPr>
            <w:tcW w:w="2284" w:type="pct"/>
            <w:tcBorders>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sz w:val="20"/>
                <w:szCs w:val="20"/>
              </w:rPr>
              <w:t>К – конической дюймовой резьбой по ГОСТ</w:t>
            </w:r>
            <w:r>
              <w:rPr>
                <w:sz w:val="20"/>
                <w:szCs w:val="20"/>
                <w:lang w:val="en-US"/>
              </w:rPr>
              <w:t> </w:t>
            </w:r>
            <w:r>
              <w:rPr>
                <w:sz w:val="20"/>
                <w:szCs w:val="20"/>
              </w:rPr>
              <w:t>6111</w:t>
            </w:r>
          </w:p>
        </w:tc>
      </w:tr>
      <w:tr>
        <w:trPr>
          <w:trHeight w:val="255"/>
        </w:trPr>
        <w:tc>
          <w:tcPr>
            <w:tcW w:w="271" w:type="pct"/>
            <w:vMerge w:val="restar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val="en-US" w:eastAsia="en-US"/>
              </w:rPr>
            </w:pPr>
            <w:r>
              <w:rPr>
                <w:rFonts w:eastAsia="Times New Roman"/>
                <w:sz w:val="20"/>
                <w:szCs w:val="20"/>
                <w:lang w:val="en-US" w:eastAsia="en-US"/>
              </w:rPr>
              <w:t>6</w:t>
            </w:r>
          </w:p>
        </w:tc>
        <w:tc>
          <w:tcPr>
            <w:tcW w:w="1366" w:type="pct"/>
            <w:vMerge w:val="restar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rPr>
            </w:pPr>
            <w:r>
              <w:rPr>
                <w:rFonts w:eastAsia="PMingLiU"/>
                <w:spacing w:val="-1"/>
                <w:sz w:val="20"/>
                <w:lang w:eastAsia="en-US"/>
              </w:rPr>
              <w:t>Классификация рабочей среды в зависимости от содержания сероводорода</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К0</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pStyle w:val="afff6"/>
              <w:jc w:val="left"/>
              <w:rPr>
                <w:sz w:val="20"/>
                <w:szCs w:val="20"/>
                <w:lang w:eastAsia="ru-RU"/>
              </w:rPr>
            </w:pPr>
            <w:r>
              <w:rPr>
                <w:sz w:val="20"/>
                <w:szCs w:val="20"/>
              </w:rPr>
              <w:t>Отсутствует (Р</w:t>
            </w:r>
            <w:r>
              <w:rPr>
                <w:sz w:val="20"/>
                <w:szCs w:val="20"/>
                <w:vertAlign w:val="subscript"/>
              </w:rPr>
              <w:t>H2S</w:t>
            </w:r>
            <w:r>
              <w:rPr>
                <w:rFonts w:eastAsiaTheme="minorEastAsia"/>
                <w:sz w:val="20"/>
                <w:szCs w:val="20"/>
                <w:lang w:val="en-US" w:eastAsia="ru-RU"/>
              </w:rPr>
              <w:t> </w:t>
            </w:r>
            <w:r>
              <w:rPr>
                <w:sz w:val="20"/>
                <w:szCs w:val="20"/>
                <w:lang w:val="en-US"/>
              </w:rPr>
              <w:t>&lt;</w:t>
            </w:r>
            <w:r>
              <w:rPr>
                <w:rFonts w:eastAsiaTheme="minorEastAsia"/>
                <w:sz w:val="20"/>
                <w:szCs w:val="20"/>
                <w:lang w:val="en-US" w:eastAsia="ru-RU"/>
              </w:rPr>
              <w:t> </w:t>
            </w:r>
            <w:r>
              <w:rPr>
                <w:sz w:val="20"/>
                <w:szCs w:val="20"/>
              </w:rPr>
              <w:t>300 Па)</w:t>
            </w:r>
          </w:p>
        </w:tc>
      </w:tr>
      <w:tr>
        <w:trPr>
          <w:trHeight w:val="255"/>
        </w:trPr>
        <w:tc>
          <w:tcPr>
            <w:tcW w:w="271" w:type="pct"/>
            <w:vMerge/>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top w:val="single" w:sz="6" w:space="0" w:color="auto"/>
              <w:left w:val="single" w:sz="6" w:space="0" w:color="auto"/>
              <w:bottom w:val="single" w:sz="6" w:space="0" w:color="auto"/>
              <w:right w:val="single" w:sz="6" w:space="0" w:color="auto"/>
            </w:tcBorders>
          </w:tcPr>
          <w:p>
            <w:pPr>
              <w:jc w:val="left"/>
              <w:rPr>
                <w:rFonts w:eastAsia="PMingLiU"/>
                <w:spacing w:val="-1"/>
                <w:sz w:val="20"/>
                <w:lang w:eastAsia="en-US"/>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К1</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pStyle w:val="afff6"/>
              <w:jc w:val="left"/>
              <w:rPr>
                <w:sz w:val="20"/>
                <w:szCs w:val="20"/>
                <w:lang w:eastAsia="ru-RU"/>
              </w:rPr>
            </w:pPr>
            <w:r>
              <w:rPr>
                <w:sz w:val="20"/>
                <w:szCs w:val="20"/>
              </w:rPr>
              <w:t>Р</w:t>
            </w:r>
            <w:r>
              <w:rPr>
                <w:sz w:val="20"/>
                <w:szCs w:val="20"/>
                <w:vertAlign w:val="subscript"/>
              </w:rPr>
              <w:t>H2S</w:t>
            </w:r>
            <w:r>
              <w:rPr>
                <w:sz w:val="20"/>
                <w:szCs w:val="20"/>
              </w:rPr>
              <w:t xml:space="preserve"> от 300 до 10 000 Па включительно</w:t>
            </w:r>
          </w:p>
        </w:tc>
      </w:tr>
      <w:tr>
        <w:trPr>
          <w:trHeight w:val="255"/>
        </w:trPr>
        <w:tc>
          <w:tcPr>
            <w:tcW w:w="271" w:type="pct"/>
            <w:vMerge/>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top w:val="single" w:sz="6" w:space="0" w:color="auto"/>
              <w:left w:val="single" w:sz="6" w:space="0" w:color="auto"/>
              <w:bottom w:val="single" w:sz="6" w:space="0" w:color="auto"/>
              <w:right w:val="single" w:sz="6" w:space="0" w:color="auto"/>
            </w:tcBorders>
          </w:tcPr>
          <w:p>
            <w:pPr>
              <w:jc w:val="left"/>
              <w:rPr>
                <w:rFonts w:eastAsia="PMingLiU"/>
                <w:spacing w:val="-1"/>
                <w:sz w:val="20"/>
                <w:lang w:eastAsia="en-US"/>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К2</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pStyle w:val="afff6"/>
              <w:jc w:val="left"/>
              <w:rPr>
                <w:sz w:val="20"/>
                <w:szCs w:val="20"/>
                <w:lang w:eastAsia="ru-RU"/>
              </w:rPr>
            </w:pPr>
            <w:r>
              <w:rPr>
                <w:sz w:val="20"/>
                <w:szCs w:val="20"/>
              </w:rPr>
              <w:t>Р</w:t>
            </w:r>
            <w:r>
              <w:rPr>
                <w:sz w:val="20"/>
                <w:szCs w:val="20"/>
                <w:vertAlign w:val="subscript"/>
              </w:rPr>
              <w:t>H2S</w:t>
            </w:r>
            <w:r>
              <w:rPr>
                <w:sz w:val="20"/>
                <w:szCs w:val="20"/>
              </w:rPr>
              <w:t xml:space="preserve"> свыше 10 000 Па до 1 000 000 Па включительно</w:t>
            </w:r>
          </w:p>
        </w:tc>
      </w:tr>
      <w:tr>
        <w:trPr>
          <w:trHeight w:val="255"/>
        </w:trPr>
        <w:tc>
          <w:tcPr>
            <w:tcW w:w="271" w:type="pct"/>
            <w:vMerge/>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top w:val="single" w:sz="6" w:space="0" w:color="auto"/>
              <w:left w:val="single" w:sz="6" w:space="0" w:color="auto"/>
              <w:bottom w:val="single" w:sz="6" w:space="0" w:color="auto"/>
              <w:right w:val="single" w:sz="6" w:space="0" w:color="auto"/>
            </w:tcBorders>
          </w:tcPr>
          <w:p>
            <w:pPr>
              <w:jc w:val="left"/>
              <w:rPr>
                <w:rFonts w:eastAsia="PMingLiU"/>
                <w:spacing w:val="-1"/>
                <w:sz w:val="20"/>
                <w:lang w:eastAsia="en-US"/>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К3</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pStyle w:val="afff6"/>
              <w:jc w:val="left"/>
              <w:rPr>
                <w:sz w:val="20"/>
                <w:szCs w:val="20"/>
              </w:rPr>
            </w:pPr>
            <w:r>
              <w:rPr>
                <w:sz w:val="20"/>
                <w:szCs w:val="20"/>
              </w:rPr>
              <w:t>Р</w:t>
            </w:r>
            <w:r>
              <w:rPr>
                <w:sz w:val="20"/>
                <w:szCs w:val="20"/>
                <w:vertAlign w:val="subscript"/>
              </w:rPr>
              <w:t>H2S</w:t>
            </w:r>
            <w:r>
              <w:rPr>
                <w:rFonts w:eastAsiaTheme="minorEastAsia"/>
                <w:sz w:val="20"/>
                <w:szCs w:val="20"/>
                <w:lang w:val="en-US" w:eastAsia="ru-RU"/>
              </w:rPr>
              <w:t> </w:t>
            </w:r>
            <w:r>
              <w:rPr>
                <w:sz w:val="20"/>
                <w:szCs w:val="20"/>
                <w:lang w:val="en-US"/>
              </w:rPr>
              <w:t>&gt;</w:t>
            </w:r>
            <w:r>
              <w:rPr>
                <w:rFonts w:eastAsiaTheme="minorEastAsia"/>
                <w:sz w:val="20"/>
                <w:szCs w:val="20"/>
                <w:lang w:val="en-US" w:eastAsia="ru-RU"/>
              </w:rPr>
              <w:t> </w:t>
            </w:r>
            <w:r>
              <w:rPr>
                <w:sz w:val="20"/>
                <w:szCs w:val="20"/>
              </w:rPr>
              <w:t>1 000 000 Па</w:t>
            </w:r>
          </w:p>
        </w:tc>
      </w:tr>
      <w:tr>
        <w:trPr>
          <w:trHeight w:val="255"/>
        </w:trPr>
        <w:tc>
          <w:tcPr>
            <w:tcW w:w="271" w:type="pct"/>
            <w:vMerge/>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top w:val="single" w:sz="6" w:space="0" w:color="auto"/>
              <w:left w:val="single" w:sz="6" w:space="0" w:color="auto"/>
              <w:bottom w:val="single" w:sz="6" w:space="0" w:color="auto"/>
              <w:right w:val="single" w:sz="6" w:space="0" w:color="auto"/>
            </w:tcBorders>
          </w:tcPr>
          <w:p>
            <w:pPr>
              <w:jc w:val="left"/>
              <w:rPr>
                <w:rFonts w:eastAsia="PMingLiU"/>
                <w:spacing w:val="-1"/>
                <w:sz w:val="20"/>
                <w:lang w:eastAsia="en-US"/>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А</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pStyle w:val="affff8"/>
              <w:rPr>
                <w:sz w:val="20"/>
                <w:szCs w:val="20"/>
              </w:rPr>
            </w:pPr>
            <w:r>
              <w:rPr>
                <w:sz w:val="20"/>
                <w:szCs w:val="20"/>
              </w:rPr>
              <w:t>От 1 000 000 включительно</w:t>
            </w:r>
          </w:p>
        </w:tc>
      </w:tr>
      <w:tr>
        <w:trPr>
          <w:trHeight w:val="255"/>
        </w:trPr>
        <w:tc>
          <w:tcPr>
            <w:tcW w:w="271" w:type="pc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val="en-US" w:eastAsia="en-US"/>
              </w:rPr>
            </w:pPr>
            <w:r>
              <w:rPr>
                <w:rFonts w:eastAsia="Times New Roman"/>
                <w:sz w:val="20"/>
                <w:szCs w:val="20"/>
                <w:lang w:val="en-US" w:eastAsia="en-US"/>
              </w:rPr>
              <w:t>7</w:t>
            </w:r>
          </w:p>
        </w:tc>
        <w:tc>
          <w:tcPr>
            <w:tcW w:w="1366" w:type="pc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lang w:eastAsia="en-US"/>
              </w:rPr>
            </w:pPr>
            <w:r>
              <w:rPr>
                <w:rFonts w:eastAsia="Times New Roman"/>
                <w:sz w:val="20"/>
                <w:szCs w:val="20"/>
                <w:lang w:eastAsia="en-US"/>
              </w:rPr>
              <w:t>Значение толщины стенки присоединяемого трубопровода, мм</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2 ÷ 34</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lang w:eastAsia="en-US"/>
              </w:rPr>
            </w:pPr>
            <w:r>
              <w:rPr>
                <w:rFonts w:eastAsia="Times New Roman"/>
                <w:sz w:val="20"/>
                <w:szCs w:val="20"/>
                <w:lang w:eastAsia="en-US"/>
              </w:rPr>
              <w:t>Число, обозначающее толщину стенки присоединяемого трубопровода, мм.</w:t>
            </w:r>
          </w:p>
          <w:p>
            <w:pPr>
              <w:ind w:left="480" w:firstLine="51"/>
              <w:jc w:val="left"/>
              <w:rPr>
                <w:rFonts w:eastAsia="Times New Roman"/>
                <w:sz w:val="20"/>
                <w:szCs w:val="20"/>
                <w:lang w:eastAsia="en-US"/>
              </w:rPr>
            </w:pPr>
            <w:r>
              <w:rPr>
                <w:rFonts w:eastAsia="Times New Roman"/>
                <w:i/>
                <w:sz w:val="20"/>
                <w:szCs w:val="20"/>
                <w:u w:val="single"/>
                <w:lang w:eastAsia="en-US"/>
              </w:rPr>
              <w:t xml:space="preserve">Примечание: </w:t>
            </w:r>
            <w:r>
              <w:rPr>
                <w:rFonts w:eastAsia="Times New Roman"/>
                <w:i/>
                <w:sz w:val="20"/>
                <w:szCs w:val="20"/>
                <w:lang w:eastAsia="en-US"/>
              </w:rPr>
              <w:t>для муфтовых кранов шаровых в условное обозначение не включается</w:t>
            </w:r>
          </w:p>
        </w:tc>
      </w:tr>
      <w:tr>
        <w:trPr>
          <w:trHeight w:val="255"/>
        </w:trPr>
        <w:tc>
          <w:tcPr>
            <w:tcW w:w="271" w:type="pct"/>
            <w:tcBorders>
              <w:top w:val="single" w:sz="6" w:space="0" w:color="auto"/>
              <w:left w:val="single" w:sz="12" w:space="0" w:color="auto"/>
              <w:bottom w:val="single" w:sz="6" w:space="0" w:color="auto"/>
              <w:right w:val="single" w:sz="6" w:space="0" w:color="auto"/>
            </w:tcBorders>
            <w:shd w:val="clear" w:color="auto" w:fill="auto"/>
          </w:tcPr>
          <w:p>
            <w:pPr>
              <w:jc w:val="left"/>
              <w:rPr>
                <w:rFonts w:eastAsia="Times New Roman"/>
                <w:sz w:val="20"/>
                <w:szCs w:val="20"/>
                <w:lang w:val="en-US"/>
              </w:rPr>
            </w:pPr>
            <w:r>
              <w:rPr>
                <w:rFonts w:eastAsia="Times New Roman"/>
                <w:sz w:val="20"/>
                <w:szCs w:val="20"/>
                <w:lang w:val="en-US"/>
              </w:rPr>
              <w:t>8</w:t>
            </w:r>
          </w:p>
        </w:tc>
        <w:tc>
          <w:tcPr>
            <w:tcW w:w="1366" w:type="pct"/>
            <w:tcBorders>
              <w:top w:val="single" w:sz="6" w:space="0" w:color="auto"/>
              <w:left w:val="single" w:sz="6" w:space="0" w:color="auto"/>
              <w:bottom w:val="single" w:sz="6" w:space="0" w:color="auto"/>
              <w:right w:val="single" w:sz="6" w:space="0" w:color="auto"/>
            </w:tcBorders>
          </w:tcPr>
          <w:p>
            <w:pPr>
              <w:jc w:val="left"/>
              <w:rPr>
                <w:rFonts w:eastAsia="Times New Roman"/>
                <w:sz w:val="20"/>
                <w:szCs w:val="20"/>
                <w:lang w:eastAsia="en-US"/>
              </w:rPr>
            </w:pPr>
            <w:r>
              <w:rPr>
                <w:sz w:val="20"/>
                <w:szCs w:val="20"/>
              </w:rPr>
              <w:t>Класс (группа) прочности присоединяемого трубопровода, значение временного сопротивления разрыву Ơв, кгс/мм</w:t>
            </w:r>
            <w:r>
              <w:rPr>
                <w:sz w:val="20"/>
                <w:szCs w:val="20"/>
                <w:vertAlign w:val="superscript"/>
              </w:rPr>
              <w:t>2</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b/>
                <w:sz w:val="20"/>
                <w:szCs w:val="20"/>
              </w:rPr>
              <w:t>К42,</w:t>
            </w:r>
            <w:r>
              <w:rPr>
                <w:b/>
                <w:sz w:val="20"/>
                <w:szCs w:val="20"/>
                <w:lang w:val="en-US"/>
              </w:rPr>
              <w:t xml:space="preserve"> </w:t>
            </w:r>
            <w:r>
              <w:rPr>
                <w:b/>
                <w:sz w:val="20"/>
                <w:szCs w:val="20"/>
              </w:rPr>
              <w:t>К</w:t>
            </w:r>
            <w:r>
              <w:rPr>
                <w:b/>
                <w:sz w:val="20"/>
                <w:szCs w:val="20"/>
                <w:lang w:val="en-US"/>
              </w:rPr>
              <w:t>46</w:t>
            </w:r>
            <w:r>
              <w:rPr>
                <w:b/>
                <w:sz w:val="20"/>
                <w:szCs w:val="20"/>
              </w:rPr>
              <w:t>, К48, К50, К52, К55, К60</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lang w:eastAsia="en-US"/>
              </w:rPr>
            </w:pPr>
            <w:r>
              <w:rPr>
                <w:sz w:val="20"/>
                <w:szCs w:val="20"/>
              </w:rPr>
              <w:t>Химический состав металла ответных фланцев в зависимости от группы прочности должен соответствовать Таблице 19 настоящих Методических указаний</w:t>
            </w:r>
          </w:p>
          <w:p>
            <w:pPr>
              <w:ind w:left="480" w:firstLine="51"/>
              <w:jc w:val="left"/>
              <w:rPr>
                <w:rFonts w:eastAsia="Times New Roman"/>
                <w:sz w:val="20"/>
                <w:szCs w:val="20"/>
                <w:lang w:eastAsia="en-US"/>
              </w:rPr>
            </w:pPr>
            <w:r>
              <w:rPr>
                <w:rFonts w:eastAsia="Times New Roman"/>
                <w:i/>
                <w:sz w:val="20"/>
                <w:szCs w:val="20"/>
                <w:u w:val="single"/>
                <w:lang w:eastAsia="en-US"/>
              </w:rPr>
              <w:t>Примечание:</w:t>
            </w:r>
            <w:r>
              <w:rPr>
                <w:rFonts w:eastAsia="Times New Roman"/>
                <w:i/>
                <w:sz w:val="20"/>
                <w:szCs w:val="20"/>
                <w:lang w:eastAsia="en-US"/>
              </w:rPr>
              <w:t xml:space="preserve"> для муфтовых кранов шаровых в условное обозначение не включается</w:t>
            </w:r>
          </w:p>
        </w:tc>
      </w:tr>
      <w:tr>
        <w:trPr>
          <w:trHeight w:val="255"/>
        </w:trPr>
        <w:tc>
          <w:tcPr>
            <w:tcW w:w="271" w:type="pct"/>
            <w:vMerge w:val="restart"/>
            <w:tcBorders>
              <w:top w:val="single" w:sz="6" w:space="0" w:color="auto"/>
              <w:left w:val="single" w:sz="12" w:space="0" w:color="auto"/>
              <w:right w:val="single" w:sz="6" w:space="0" w:color="auto"/>
            </w:tcBorders>
            <w:shd w:val="clear" w:color="auto" w:fill="auto"/>
          </w:tcPr>
          <w:p>
            <w:pPr>
              <w:jc w:val="left"/>
              <w:rPr>
                <w:rFonts w:eastAsia="Times New Roman"/>
                <w:sz w:val="20"/>
                <w:szCs w:val="20"/>
                <w:lang w:val="en-US"/>
              </w:rPr>
            </w:pPr>
            <w:r>
              <w:rPr>
                <w:rFonts w:eastAsia="Times New Roman"/>
                <w:sz w:val="20"/>
                <w:szCs w:val="20"/>
                <w:lang w:val="en-US"/>
              </w:rPr>
              <w:t>9</w:t>
            </w:r>
          </w:p>
        </w:tc>
        <w:tc>
          <w:tcPr>
            <w:tcW w:w="1366" w:type="pct"/>
            <w:vMerge w:val="restart"/>
            <w:tcBorders>
              <w:top w:val="single" w:sz="6" w:space="0" w:color="auto"/>
              <w:left w:val="single" w:sz="6" w:space="0" w:color="auto"/>
              <w:right w:val="single" w:sz="6" w:space="0" w:color="auto"/>
            </w:tcBorders>
          </w:tcPr>
          <w:p>
            <w:pPr>
              <w:jc w:val="left"/>
              <w:rPr>
                <w:rFonts w:eastAsia="Times New Roman"/>
                <w:sz w:val="20"/>
                <w:szCs w:val="20"/>
              </w:rPr>
            </w:pPr>
            <w:r>
              <w:rPr>
                <w:rFonts w:eastAsia="Times New Roman"/>
                <w:sz w:val="20"/>
                <w:szCs w:val="20"/>
              </w:rPr>
              <w:t>Тип привода</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Р</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Ручной</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lang w:eastAsia="en-US"/>
              </w:rPr>
            </w:pPr>
            <w:r>
              <w:rPr>
                <w:rFonts w:eastAsia="Times New Roman"/>
                <w:b/>
                <w:sz w:val="20"/>
                <w:szCs w:val="20"/>
              </w:rPr>
              <w:t>ЭПХХХ</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lang w:eastAsia="en-US"/>
              </w:rPr>
            </w:pPr>
            <w:r>
              <w:rPr>
                <w:rFonts w:eastAsia="Times New Roman"/>
                <w:sz w:val="20"/>
                <w:szCs w:val="20"/>
              </w:rPr>
              <w:t xml:space="preserve">Стандартный электропривод со временем перекрытия арматуры, приведенным в </w:t>
            </w:r>
            <w:r>
              <w:rPr>
                <w:rFonts w:eastAsia="Times New Roman"/>
                <w:sz w:val="20"/>
                <w:szCs w:val="20"/>
              </w:rPr>
              <w:br/>
              <w:t xml:space="preserve">Таблице 23, и с обозначением модификации в соответствии с </w:t>
            </w:r>
            <w:hyperlink w:anchor="_ПРИЛОЖЕНИЕ_1._МОДИФИКАЦИОННЫЕ" w:history="1">
              <w:r>
                <w:rPr>
                  <w:rStyle w:val="a6"/>
                  <w:rFonts w:eastAsia="PMingLiU"/>
                  <w:sz w:val="20"/>
                  <w:szCs w:val="20"/>
                  <w:lang w:eastAsia="en-US"/>
                </w:rPr>
                <w:t>Приложением 1</w:t>
              </w:r>
            </w:hyperlink>
            <w:r>
              <w:rPr>
                <w:rFonts w:eastAsia="PMingLiU"/>
                <w:sz w:val="20"/>
                <w:szCs w:val="20"/>
                <w:lang w:eastAsia="en-US"/>
              </w:rPr>
              <w:t xml:space="preserve"> настоящих Методических указаний</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ЭБХХХ</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 xml:space="preserve">Быстродействующий электропривод, с обозначением модификации в соответствии с </w:t>
            </w:r>
            <w:hyperlink w:anchor="_ПРИЛОЖЕНИЕ_1._МОДИФИКАЦИОННЫЕ" w:history="1">
              <w:r>
                <w:rPr>
                  <w:rStyle w:val="a6"/>
                  <w:rFonts w:eastAsia="PMingLiU"/>
                  <w:sz w:val="20"/>
                  <w:szCs w:val="20"/>
                  <w:lang w:eastAsia="en-US"/>
                </w:rPr>
                <w:t>Приложением 1</w:t>
              </w:r>
            </w:hyperlink>
            <w:r>
              <w:rPr>
                <w:rFonts w:eastAsia="PMingLiU"/>
                <w:sz w:val="20"/>
                <w:szCs w:val="20"/>
                <w:lang w:eastAsia="en-US"/>
              </w:rPr>
              <w:t xml:space="preserve"> настоящих Методических указаний</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ППХХХ</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 xml:space="preserve">Стандартный пневмопривод со временем перекрытия арматуры, приведенным в </w:t>
            </w:r>
            <w:r>
              <w:rPr>
                <w:rFonts w:eastAsia="Times New Roman"/>
                <w:sz w:val="20"/>
                <w:szCs w:val="20"/>
              </w:rPr>
              <w:br/>
              <w:t xml:space="preserve">Таблице 23, и с обозначением модификации в соответствии с </w:t>
            </w:r>
            <w:hyperlink w:anchor="_ПРИЛОЖЕНИЕ_3_МОДЕЛЬНЫЕ" w:history="1">
              <w:r>
                <w:rPr>
                  <w:rStyle w:val="a6"/>
                  <w:rFonts w:eastAsia="PMingLiU"/>
                  <w:sz w:val="20"/>
                  <w:szCs w:val="20"/>
                  <w:lang w:eastAsia="en-US"/>
                </w:rPr>
                <w:t>Приложением 2</w:t>
              </w:r>
            </w:hyperlink>
            <w:r>
              <w:rPr>
                <w:rFonts w:eastAsia="PMingLiU"/>
                <w:sz w:val="20"/>
                <w:szCs w:val="20"/>
                <w:lang w:eastAsia="en-US"/>
              </w:rPr>
              <w:t xml:space="preserve"> настоящих Методических указаний</w:t>
            </w:r>
          </w:p>
        </w:tc>
      </w:tr>
      <w:tr>
        <w:trPr>
          <w:trHeight w:val="255"/>
        </w:trPr>
        <w:tc>
          <w:tcPr>
            <w:tcW w:w="271" w:type="pct"/>
            <w:vMerge/>
            <w:tcBorders>
              <w:left w:val="single" w:sz="12" w:space="0" w:color="auto"/>
              <w:bottom w:val="single" w:sz="6"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bottom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ПБХХХ</w:t>
            </w:r>
          </w:p>
        </w:tc>
        <w:tc>
          <w:tcPr>
            <w:tcW w:w="2284" w:type="pct"/>
            <w:tcBorders>
              <w:top w:val="single" w:sz="6" w:space="0" w:color="auto"/>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 xml:space="preserve">Быстродействующий пневмопривод с обозначением модификации в соответствии с </w:t>
            </w:r>
            <w:hyperlink w:anchor="_ПРИЛОЖЕНИЕ_3_МОДЕЛЬНЫЕ" w:history="1">
              <w:r>
                <w:rPr>
                  <w:rStyle w:val="a6"/>
                  <w:rFonts w:eastAsia="PMingLiU"/>
                  <w:sz w:val="20"/>
                  <w:szCs w:val="20"/>
                  <w:lang w:eastAsia="en-US"/>
                </w:rPr>
                <w:t>Приложением 2</w:t>
              </w:r>
            </w:hyperlink>
            <w:r>
              <w:rPr>
                <w:rFonts w:eastAsia="PMingLiU"/>
                <w:sz w:val="20"/>
                <w:szCs w:val="20"/>
                <w:lang w:eastAsia="en-US"/>
              </w:rPr>
              <w:t xml:space="preserve"> настоящих Методических указаний</w:t>
            </w:r>
          </w:p>
        </w:tc>
      </w:tr>
      <w:tr>
        <w:trPr>
          <w:trHeight w:val="255"/>
        </w:trPr>
        <w:tc>
          <w:tcPr>
            <w:tcW w:w="271" w:type="pct"/>
            <w:vMerge w:val="restart"/>
            <w:tcBorders>
              <w:left w:val="single" w:sz="12" w:space="0" w:color="auto"/>
              <w:right w:val="single" w:sz="6" w:space="0" w:color="auto"/>
            </w:tcBorders>
            <w:shd w:val="clear" w:color="auto" w:fill="auto"/>
          </w:tcPr>
          <w:p>
            <w:pPr>
              <w:jc w:val="left"/>
              <w:rPr>
                <w:rFonts w:eastAsia="Times New Roman"/>
                <w:sz w:val="20"/>
                <w:szCs w:val="20"/>
                <w:lang w:val="en-US"/>
              </w:rPr>
            </w:pPr>
            <w:r>
              <w:rPr>
                <w:rFonts w:eastAsia="Times New Roman"/>
                <w:sz w:val="20"/>
                <w:szCs w:val="20"/>
              </w:rPr>
              <w:t>1</w:t>
            </w:r>
            <w:r>
              <w:rPr>
                <w:rFonts w:eastAsia="Times New Roman"/>
                <w:sz w:val="20"/>
                <w:szCs w:val="20"/>
                <w:lang w:val="en-US"/>
              </w:rPr>
              <w:t>0</w:t>
            </w:r>
          </w:p>
        </w:tc>
        <w:tc>
          <w:tcPr>
            <w:tcW w:w="1366" w:type="pct"/>
            <w:vMerge w:val="restart"/>
            <w:tcBorders>
              <w:left w:val="single" w:sz="6" w:space="0" w:color="auto"/>
              <w:right w:val="single" w:sz="6" w:space="0" w:color="auto"/>
            </w:tcBorders>
          </w:tcPr>
          <w:p>
            <w:pPr>
              <w:jc w:val="left"/>
              <w:rPr>
                <w:rFonts w:eastAsia="Times New Roman"/>
                <w:sz w:val="20"/>
                <w:szCs w:val="20"/>
              </w:rPr>
            </w:pPr>
            <w:r>
              <w:rPr>
                <w:sz w:val="20"/>
              </w:rPr>
              <w:t>Характеристика рабочей среды</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pStyle w:val="afff6"/>
              <w:jc w:val="center"/>
              <w:rPr>
                <w:b/>
                <w:sz w:val="20"/>
                <w:szCs w:val="20"/>
                <w:lang w:eastAsia="ru-RU"/>
              </w:rPr>
            </w:pPr>
            <w:r>
              <w:rPr>
                <w:b/>
                <w:sz w:val="20"/>
                <w:szCs w:val="20"/>
                <w:lang w:eastAsia="ru-RU"/>
              </w:rPr>
              <w:t>О</w:t>
            </w:r>
          </w:p>
        </w:tc>
        <w:tc>
          <w:tcPr>
            <w:tcW w:w="2284" w:type="pct"/>
            <w:tcBorders>
              <w:top w:val="single" w:sz="6" w:space="0" w:color="auto"/>
              <w:left w:val="single" w:sz="6" w:space="0" w:color="auto"/>
              <w:right w:val="single" w:sz="12" w:space="0" w:color="auto"/>
            </w:tcBorders>
            <w:shd w:val="clear" w:color="auto" w:fill="auto"/>
          </w:tcPr>
          <w:p>
            <w:pPr>
              <w:pStyle w:val="affff8"/>
              <w:rPr>
                <w:sz w:val="20"/>
              </w:rPr>
            </w:pPr>
            <w:r>
              <w:rPr>
                <w:sz w:val="20"/>
              </w:rPr>
              <w:t>Опасная (среда групп А, Б, в соответствии с Таблицей 4 настоящих Методических указаний)</w:t>
            </w:r>
          </w:p>
        </w:tc>
      </w:tr>
      <w:tr>
        <w:trPr>
          <w:trHeight w:val="255"/>
        </w:trPr>
        <w:tc>
          <w:tcPr>
            <w:tcW w:w="271" w:type="pct"/>
            <w:vMerge/>
            <w:tcBorders>
              <w:left w:val="single" w:sz="12" w:space="0" w:color="auto"/>
              <w:bottom w:val="single" w:sz="6" w:space="0" w:color="auto"/>
              <w:right w:val="single" w:sz="6" w:space="0" w:color="auto"/>
            </w:tcBorders>
            <w:shd w:val="clear" w:color="auto" w:fill="auto"/>
          </w:tcPr>
          <w:p>
            <w:pPr>
              <w:jc w:val="left"/>
              <w:rPr>
                <w:rFonts w:eastAsia="Times New Roman"/>
                <w:sz w:val="20"/>
                <w:szCs w:val="20"/>
              </w:rPr>
            </w:pPr>
          </w:p>
        </w:tc>
        <w:tc>
          <w:tcPr>
            <w:tcW w:w="1366" w:type="pct"/>
            <w:vMerge/>
            <w:tcBorders>
              <w:left w:val="single" w:sz="6" w:space="0" w:color="auto"/>
              <w:bottom w:val="single" w:sz="6" w:space="0" w:color="auto"/>
              <w:right w:val="single" w:sz="6" w:space="0" w:color="auto"/>
            </w:tcBorders>
          </w:tcPr>
          <w:p>
            <w:pPr>
              <w:jc w:val="left"/>
              <w:rPr>
                <w:sz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pStyle w:val="afff6"/>
              <w:jc w:val="center"/>
              <w:rPr>
                <w:b/>
                <w:sz w:val="20"/>
                <w:szCs w:val="20"/>
                <w:lang w:eastAsia="ru-RU"/>
              </w:rPr>
            </w:pPr>
            <w:r>
              <w:rPr>
                <w:b/>
                <w:sz w:val="20"/>
                <w:szCs w:val="20"/>
                <w:lang w:eastAsia="ru-RU"/>
              </w:rPr>
              <w:t>Н</w:t>
            </w:r>
          </w:p>
        </w:tc>
        <w:tc>
          <w:tcPr>
            <w:tcW w:w="2284" w:type="pct"/>
            <w:tcBorders>
              <w:left w:val="single" w:sz="6" w:space="0" w:color="auto"/>
              <w:bottom w:val="single" w:sz="6" w:space="0" w:color="auto"/>
              <w:right w:val="single" w:sz="12" w:space="0" w:color="auto"/>
            </w:tcBorders>
            <w:shd w:val="clear" w:color="auto" w:fill="auto"/>
          </w:tcPr>
          <w:p>
            <w:pPr>
              <w:pStyle w:val="affff8"/>
              <w:rPr>
                <w:sz w:val="20"/>
              </w:rPr>
            </w:pPr>
            <w:r>
              <w:rPr>
                <w:sz w:val="20"/>
              </w:rPr>
              <w:t>Не опасная (среда группы В в соответствии с Таблицей 4 настоящих Методических указаний)</w:t>
            </w:r>
          </w:p>
        </w:tc>
      </w:tr>
      <w:tr>
        <w:trPr>
          <w:trHeight w:val="310"/>
        </w:trPr>
        <w:tc>
          <w:tcPr>
            <w:tcW w:w="271" w:type="pct"/>
            <w:vMerge w:val="restart"/>
            <w:tcBorders>
              <w:top w:val="single" w:sz="6" w:space="0" w:color="auto"/>
              <w:left w:val="single" w:sz="12" w:space="0" w:color="auto"/>
              <w:right w:val="single" w:sz="6" w:space="0" w:color="auto"/>
            </w:tcBorders>
            <w:shd w:val="clear" w:color="auto" w:fill="auto"/>
          </w:tcPr>
          <w:p>
            <w:pPr>
              <w:jc w:val="left"/>
              <w:rPr>
                <w:rFonts w:eastAsia="Times New Roman"/>
                <w:sz w:val="20"/>
                <w:szCs w:val="20"/>
                <w:lang w:val="en-US" w:eastAsia="en-US"/>
              </w:rPr>
            </w:pPr>
            <w:r>
              <w:rPr>
                <w:rFonts w:eastAsia="Times New Roman"/>
                <w:sz w:val="20"/>
                <w:szCs w:val="20"/>
                <w:lang w:eastAsia="en-US"/>
              </w:rPr>
              <w:t>1</w:t>
            </w:r>
            <w:r>
              <w:rPr>
                <w:rFonts w:eastAsia="Times New Roman"/>
                <w:sz w:val="20"/>
                <w:szCs w:val="20"/>
                <w:lang w:val="en-US" w:eastAsia="en-US"/>
              </w:rPr>
              <w:t>1</w:t>
            </w:r>
          </w:p>
        </w:tc>
        <w:tc>
          <w:tcPr>
            <w:tcW w:w="1366" w:type="pct"/>
            <w:vMerge w:val="restart"/>
            <w:tcBorders>
              <w:top w:val="single" w:sz="6" w:space="0" w:color="auto"/>
              <w:left w:val="single" w:sz="6" w:space="0" w:color="auto"/>
              <w:right w:val="single" w:sz="6" w:space="0" w:color="auto"/>
            </w:tcBorders>
          </w:tcPr>
          <w:p>
            <w:pPr>
              <w:jc w:val="left"/>
              <w:rPr>
                <w:rFonts w:eastAsia="Times New Roman"/>
                <w:sz w:val="20"/>
                <w:szCs w:val="20"/>
                <w:lang w:eastAsia="en-US"/>
              </w:rPr>
            </w:pPr>
            <w:r>
              <w:rPr>
                <w:rFonts w:eastAsia="Times New Roman"/>
                <w:sz w:val="20"/>
                <w:szCs w:val="20"/>
              </w:rPr>
              <w:t>Климатическое исполнение по ГОСТ</w:t>
            </w:r>
            <w:r>
              <w:rPr>
                <w:rFonts w:eastAsia="Times New Roman"/>
                <w:sz w:val="20"/>
                <w:szCs w:val="20"/>
                <w:lang w:val="en-US"/>
              </w:rPr>
              <w:t> </w:t>
            </w:r>
            <w:r>
              <w:rPr>
                <w:rFonts w:eastAsia="Times New Roman"/>
                <w:sz w:val="20"/>
                <w:szCs w:val="20"/>
              </w:rPr>
              <w:t>15150 с категорией размещения 1</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1</w:t>
            </w:r>
          </w:p>
        </w:tc>
        <w:tc>
          <w:tcPr>
            <w:tcW w:w="2284" w:type="pct"/>
            <w:tcBorders>
              <w:top w:val="single" w:sz="6" w:space="0" w:color="auto"/>
              <w:left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Умеренный и холодный климат</w:t>
            </w:r>
          </w:p>
        </w:tc>
      </w:tr>
      <w:tr>
        <w:trPr>
          <w:trHeight w:val="340"/>
        </w:trPr>
        <w:tc>
          <w:tcPr>
            <w:tcW w:w="271" w:type="pct"/>
            <w:vMerge/>
            <w:tcBorders>
              <w:left w:val="single" w:sz="12" w:space="0" w:color="auto"/>
              <w:bottom w:val="single" w:sz="6"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left w:val="single" w:sz="6" w:space="0" w:color="auto"/>
              <w:bottom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lang w:eastAsia="en-US"/>
              </w:rPr>
            </w:pPr>
            <w:r>
              <w:rPr>
                <w:rFonts w:eastAsia="Times New Roman"/>
                <w:b/>
                <w:sz w:val="20"/>
                <w:szCs w:val="20"/>
              </w:rPr>
              <w:t>2</w:t>
            </w:r>
          </w:p>
        </w:tc>
        <w:tc>
          <w:tcPr>
            <w:tcW w:w="2284" w:type="pct"/>
            <w:tcBorders>
              <w:left w:val="single" w:sz="6" w:space="0" w:color="auto"/>
              <w:bottom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Умеренный  климат</w:t>
            </w:r>
          </w:p>
        </w:tc>
      </w:tr>
      <w:tr>
        <w:trPr>
          <w:trHeight w:val="255"/>
        </w:trPr>
        <w:tc>
          <w:tcPr>
            <w:tcW w:w="271" w:type="pct"/>
            <w:vMerge w:val="restart"/>
            <w:tcBorders>
              <w:top w:val="single" w:sz="6" w:space="0" w:color="auto"/>
              <w:left w:val="single" w:sz="12" w:space="0" w:color="auto"/>
              <w:right w:val="single" w:sz="6" w:space="0" w:color="auto"/>
            </w:tcBorders>
            <w:shd w:val="clear" w:color="auto" w:fill="auto"/>
          </w:tcPr>
          <w:p>
            <w:pPr>
              <w:jc w:val="left"/>
              <w:rPr>
                <w:rFonts w:eastAsia="Times New Roman"/>
                <w:sz w:val="20"/>
                <w:szCs w:val="20"/>
                <w:lang w:val="en-US" w:eastAsia="en-US"/>
              </w:rPr>
            </w:pPr>
            <w:r>
              <w:rPr>
                <w:rFonts w:eastAsia="Times New Roman"/>
                <w:sz w:val="20"/>
                <w:szCs w:val="20"/>
                <w:lang w:eastAsia="en-US"/>
              </w:rPr>
              <w:t>1</w:t>
            </w:r>
            <w:r>
              <w:rPr>
                <w:rFonts w:eastAsia="Times New Roman"/>
                <w:sz w:val="20"/>
                <w:szCs w:val="20"/>
                <w:lang w:val="en-US" w:eastAsia="en-US"/>
              </w:rPr>
              <w:t>2</w:t>
            </w:r>
          </w:p>
        </w:tc>
        <w:tc>
          <w:tcPr>
            <w:tcW w:w="1366" w:type="pct"/>
            <w:vMerge w:val="restart"/>
            <w:tcBorders>
              <w:top w:val="single" w:sz="6" w:space="0" w:color="auto"/>
              <w:left w:val="single" w:sz="6" w:space="0" w:color="auto"/>
              <w:right w:val="single" w:sz="6" w:space="0" w:color="auto"/>
            </w:tcBorders>
          </w:tcPr>
          <w:p>
            <w:pPr>
              <w:jc w:val="left"/>
              <w:rPr>
                <w:rFonts w:eastAsia="Times New Roman"/>
                <w:sz w:val="20"/>
                <w:szCs w:val="20"/>
                <w:lang w:eastAsia="en-US"/>
              </w:rPr>
            </w:pPr>
            <w:r>
              <w:rPr>
                <w:rFonts w:eastAsia="Times New Roman"/>
                <w:sz w:val="20"/>
                <w:szCs w:val="20"/>
              </w:rPr>
              <w:t>Сейсмостойкое исполнение</w:t>
            </w: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1</w:t>
            </w:r>
          </w:p>
        </w:tc>
        <w:tc>
          <w:tcPr>
            <w:tcW w:w="2284" w:type="pct"/>
            <w:tcBorders>
              <w:top w:val="single" w:sz="6" w:space="0" w:color="auto"/>
              <w:left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Несейсмостойкое</w:t>
            </w:r>
          </w:p>
        </w:tc>
      </w:tr>
      <w:tr>
        <w:trPr>
          <w:trHeight w:val="255"/>
        </w:trPr>
        <w:tc>
          <w:tcPr>
            <w:tcW w:w="271" w:type="pct"/>
            <w:vMerge/>
            <w:tcBorders>
              <w:left w:val="single" w:sz="12"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left w:val="single" w:sz="6"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6"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2</w:t>
            </w:r>
          </w:p>
        </w:tc>
        <w:tc>
          <w:tcPr>
            <w:tcW w:w="2284" w:type="pct"/>
            <w:tcBorders>
              <w:left w:val="single" w:sz="6"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Сейсмостойкое</w:t>
            </w:r>
          </w:p>
        </w:tc>
      </w:tr>
      <w:tr>
        <w:trPr>
          <w:trHeight w:val="255"/>
        </w:trPr>
        <w:tc>
          <w:tcPr>
            <w:tcW w:w="271" w:type="pct"/>
            <w:vMerge/>
            <w:tcBorders>
              <w:left w:val="single" w:sz="12" w:space="0" w:color="auto"/>
              <w:bottom w:val="single" w:sz="12" w:space="0" w:color="auto"/>
              <w:right w:val="single" w:sz="6" w:space="0" w:color="auto"/>
            </w:tcBorders>
            <w:shd w:val="clear" w:color="auto" w:fill="auto"/>
          </w:tcPr>
          <w:p>
            <w:pPr>
              <w:jc w:val="left"/>
              <w:rPr>
                <w:rFonts w:eastAsia="Times New Roman"/>
                <w:sz w:val="20"/>
                <w:szCs w:val="20"/>
                <w:lang w:eastAsia="en-US"/>
              </w:rPr>
            </w:pPr>
          </w:p>
        </w:tc>
        <w:tc>
          <w:tcPr>
            <w:tcW w:w="1366" w:type="pct"/>
            <w:vMerge/>
            <w:tcBorders>
              <w:left w:val="single" w:sz="6" w:space="0" w:color="auto"/>
              <w:bottom w:val="single" w:sz="12" w:space="0" w:color="auto"/>
              <w:right w:val="single" w:sz="6" w:space="0" w:color="auto"/>
            </w:tcBorders>
          </w:tcPr>
          <w:p>
            <w:pPr>
              <w:jc w:val="left"/>
              <w:rPr>
                <w:rFonts w:eastAsia="Times New Roman"/>
                <w:sz w:val="20"/>
                <w:szCs w:val="20"/>
              </w:rPr>
            </w:pPr>
          </w:p>
        </w:tc>
        <w:tc>
          <w:tcPr>
            <w:tcW w:w="1079" w:type="pct"/>
            <w:tcBorders>
              <w:top w:val="single" w:sz="6" w:space="0" w:color="auto"/>
              <w:left w:val="single" w:sz="6" w:space="0" w:color="auto"/>
              <w:bottom w:val="single" w:sz="12" w:space="0" w:color="auto"/>
              <w:right w:val="single" w:sz="6" w:space="0" w:color="auto"/>
            </w:tcBorders>
            <w:shd w:val="clear" w:color="auto" w:fill="auto"/>
          </w:tcPr>
          <w:p>
            <w:pPr>
              <w:jc w:val="center"/>
              <w:rPr>
                <w:rFonts w:eastAsia="Times New Roman"/>
                <w:b/>
                <w:sz w:val="20"/>
                <w:szCs w:val="20"/>
              </w:rPr>
            </w:pPr>
            <w:r>
              <w:rPr>
                <w:rFonts w:eastAsia="Times New Roman"/>
                <w:b/>
                <w:sz w:val="20"/>
                <w:szCs w:val="20"/>
              </w:rPr>
              <w:t>3</w:t>
            </w:r>
          </w:p>
        </w:tc>
        <w:tc>
          <w:tcPr>
            <w:tcW w:w="2284" w:type="pct"/>
            <w:tcBorders>
              <w:left w:val="single" w:sz="6" w:space="0" w:color="auto"/>
              <w:bottom w:val="single" w:sz="12" w:space="0" w:color="auto"/>
              <w:right w:val="single" w:sz="12" w:space="0" w:color="auto"/>
            </w:tcBorders>
            <w:shd w:val="clear" w:color="auto" w:fill="auto"/>
          </w:tcPr>
          <w:p>
            <w:pPr>
              <w:jc w:val="left"/>
              <w:rPr>
                <w:rFonts w:eastAsia="Times New Roman"/>
                <w:sz w:val="20"/>
                <w:szCs w:val="20"/>
              </w:rPr>
            </w:pPr>
            <w:r>
              <w:rPr>
                <w:rFonts w:eastAsia="Times New Roman"/>
                <w:sz w:val="20"/>
                <w:szCs w:val="20"/>
              </w:rPr>
              <w:t>Повышенной сейсмостойкости</w:t>
            </w:r>
          </w:p>
        </w:tc>
      </w:tr>
    </w:tbl>
    <w:p>
      <w:bookmarkStart w:id="275" w:name="_Toc481662423"/>
      <w:bookmarkStart w:id="276" w:name="_Toc514169542"/>
      <w:bookmarkStart w:id="277" w:name="_Toc392607784"/>
      <w:bookmarkStart w:id="278" w:name="_Toc392695962"/>
      <w:bookmarkStart w:id="279" w:name="_Toc392696018"/>
      <w:bookmarkStart w:id="280" w:name="_Toc392752884"/>
      <w:bookmarkStart w:id="281" w:name="_Toc404615361"/>
    </w:p>
    <w:p/>
    <w:p>
      <w:pPr>
        <w:keepNext/>
        <w:keepLines/>
        <w:outlineLvl w:val="1"/>
        <w:rPr>
          <w:rFonts w:ascii="Arial" w:eastAsia="Calibri" w:hAnsi="Arial"/>
          <w:b/>
          <w:caps/>
        </w:rPr>
      </w:pPr>
      <w:r>
        <w:rPr>
          <w:rFonts w:ascii="Arial" w:eastAsia="Calibri" w:hAnsi="Arial"/>
          <w:b/>
          <w:caps/>
        </w:rPr>
        <w:t>5.3.</w:t>
      </w:r>
      <w:r>
        <w:rPr>
          <w:rFonts w:ascii="Arial" w:eastAsia="Calibri" w:hAnsi="Arial"/>
          <w:b/>
          <w:caps/>
        </w:rPr>
        <w:tab/>
        <w:t>ПРИМЕРЫ УСЛОВНОГО ОБОЗНАЧЕНИЯ</w:t>
      </w:r>
      <w:bookmarkEnd w:id="275"/>
      <w:bookmarkEnd w:id="276"/>
      <w:r>
        <w:rPr>
          <w:rFonts w:ascii="Arial" w:eastAsia="Calibri" w:hAnsi="Arial"/>
          <w:b/>
          <w:caps/>
        </w:rPr>
        <w:t xml:space="preserve"> </w:t>
      </w:r>
      <w:bookmarkEnd w:id="277"/>
      <w:bookmarkEnd w:id="278"/>
      <w:bookmarkEnd w:id="279"/>
      <w:bookmarkEnd w:id="280"/>
      <w:bookmarkEnd w:id="281"/>
    </w:p>
    <w:p>
      <w:pPr>
        <w:tabs>
          <w:tab w:val="left" w:pos="284"/>
          <w:tab w:val="left" w:pos="426"/>
        </w:tabs>
        <w:rPr>
          <w:rFonts w:eastAsia="Times New Roman"/>
        </w:rPr>
      </w:pPr>
    </w:p>
    <w:p>
      <w:pPr>
        <w:numPr>
          <w:ilvl w:val="0"/>
          <w:numId w:val="31"/>
        </w:numPr>
        <w:tabs>
          <w:tab w:val="left" w:pos="539"/>
        </w:tabs>
        <w:spacing w:before="120"/>
        <w:ind w:left="538" w:hanging="357"/>
        <w:rPr>
          <w:rFonts w:eastAsia="PMingLiU"/>
          <w:b/>
          <w:lang w:eastAsia="en-US"/>
        </w:rPr>
      </w:pPr>
      <w:r>
        <w:rPr>
          <w:rFonts w:eastAsia="PMingLiU"/>
          <w:b/>
          <w:lang w:eastAsia="en-US"/>
        </w:rPr>
        <w:t>КШ250*16НФК1-6К52ЭПБГ1-О-1-2</w:t>
      </w:r>
    </w:p>
    <w:p/>
    <w:p>
      <w:pPr>
        <w:rPr>
          <w:rFonts w:eastAsia="Times New Roman"/>
        </w:rPr>
      </w:pPr>
      <w:r>
        <w:rPr>
          <w:rFonts w:eastAsia="Times New Roman"/>
          <w:b/>
          <w:lang w:eastAsia="en-US"/>
        </w:rPr>
        <w:t xml:space="preserve">КШ </w:t>
      </w:r>
      <w:r>
        <w:rPr>
          <w:rFonts w:eastAsia="Times New Roman"/>
          <w:lang w:eastAsia="en-US"/>
        </w:rPr>
        <w:t xml:space="preserve">– кран шаровой, </w:t>
      </w:r>
      <w:r>
        <w:rPr>
          <w:rFonts w:eastAsia="Times New Roman"/>
          <w:b/>
          <w:lang w:eastAsia="en-US"/>
        </w:rPr>
        <w:t>250</w:t>
      </w:r>
      <w:r>
        <w:rPr>
          <w:rFonts w:eastAsia="Times New Roman"/>
          <w:lang w:eastAsia="en-US"/>
        </w:rPr>
        <w:t xml:space="preserve"> – номинальный диаметр, мм; </w:t>
      </w:r>
      <w:r>
        <w:rPr>
          <w:rFonts w:eastAsia="Times New Roman"/>
          <w:b/>
          <w:lang w:eastAsia="en-US"/>
        </w:rPr>
        <w:t xml:space="preserve">16 </w:t>
      </w:r>
      <w:r>
        <w:rPr>
          <w:rFonts w:eastAsia="Times New Roman"/>
          <w:lang w:eastAsia="en-US"/>
        </w:rPr>
        <w:t xml:space="preserve">– номинальное давление, кгс/см²; </w:t>
      </w:r>
      <w:r>
        <w:rPr>
          <w:rFonts w:eastAsia="Times New Roman"/>
          <w:b/>
          <w:lang w:eastAsia="en-US"/>
        </w:rPr>
        <w:t>Н</w:t>
      </w:r>
      <w:r>
        <w:rPr>
          <w:rFonts w:eastAsia="Times New Roman"/>
          <w:lang w:eastAsia="en-US"/>
        </w:rPr>
        <w:t xml:space="preserve"> – надземная установка</w:t>
      </w:r>
      <w:r>
        <w:rPr>
          <w:rFonts w:eastAsia="PMingLiU"/>
          <w:lang w:eastAsia="en-US"/>
        </w:rPr>
        <w:t xml:space="preserve">; </w:t>
      </w:r>
      <w:r>
        <w:rPr>
          <w:rFonts w:eastAsia="PMingLiU"/>
          <w:b/>
          <w:lang w:eastAsia="en-US"/>
        </w:rPr>
        <w:t xml:space="preserve">Ф </w:t>
      </w:r>
      <w:r>
        <w:rPr>
          <w:rFonts w:eastAsia="PMingLiU"/>
          <w:lang w:eastAsia="en-US"/>
        </w:rPr>
        <w:t>– фланцевое с ответными фланцами под приварку к трубопроводу</w:t>
      </w:r>
      <w:r>
        <w:rPr>
          <w:rFonts w:eastAsia="Times New Roman"/>
          <w:lang w:eastAsia="en-US"/>
        </w:rPr>
        <w:t xml:space="preserve">; </w:t>
      </w:r>
      <w:r>
        <w:rPr>
          <w:rFonts w:eastAsia="Times New Roman"/>
          <w:b/>
          <w:lang w:eastAsia="en-US"/>
        </w:rPr>
        <w:t>К1</w:t>
      </w:r>
      <w:r>
        <w:rPr>
          <w:rFonts w:eastAsia="Times New Roman"/>
          <w:lang w:eastAsia="en-US"/>
        </w:rPr>
        <w:t xml:space="preserve"> </w:t>
      </w:r>
      <w:r>
        <w:rPr>
          <w:rFonts w:eastAsia="Times New Roman"/>
        </w:rPr>
        <w:t>–</w:t>
      </w:r>
      <w:r>
        <w:rPr>
          <w:rFonts w:eastAsia="Times New Roman"/>
          <w:lang w:eastAsia="en-US"/>
        </w:rPr>
        <w:t xml:space="preserve"> </w:t>
      </w:r>
      <w:r>
        <w:rPr>
          <w:rFonts w:eastAsia="PMingLiU"/>
          <w:spacing w:val="-1"/>
          <w:lang w:eastAsia="en-US"/>
        </w:rPr>
        <w:t>классификация рабочей среды в зависимости от содержания сероводорода</w:t>
      </w:r>
      <w:r>
        <w:rPr>
          <w:rFonts w:eastAsia="Times New Roman"/>
          <w:lang w:eastAsia="en-US"/>
        </w:rPr>
        <w:t xml:space="preserve">; </w:t>
      </w:r>
      <w:r>
        <w:rPr>
          <w:rFonts w:eastAsia="Times New Roman"/>
          <w:b/>
        </w:rPr>
        <w:t>6</w:t>
      </w:r>
      <w:r>
        <w:rPr>
          <w:rFonts w:eastAsia="PMingLiU"/>
          <w:spacing w:val="-1"/>
          <w:lang w:eastAsia="en-US"/>
        </w:rPr>
        <w:t xml:space="preserve"> – значение толщины стенки присоединяемого трубопровода; </w:t>
      </w:r>
      <w:r>
        <w:rPr>
          <w:rFonts w:eastAsia="Times New Roman"/>
          <w:b/>
          <w:lang w:eastAsia="en-US"/>
        </w:rPr>
        <w:t>К52</w:t>
      </w:r>
      <w:r>
        <w:rPr>
          <w:rFonts w:eastAsia="Times New Roman"/>
          <w:szCs w:val="20"/>
        </w:rPr>
        <w:t xml:space="preserve"> </w:t>
      </w:r>
      <w:r>
        <w:rPr>
          <w:rFonts w:eastAsia="PMingLiU"/>
          <w:spacing w:val="-1"/>
          <w:lang w:eastAsia="en-US"/>
        </w:rPr>
        <w:t xml:space="preserve">– </w:t>
      </w:r>
      <w:r>
        <w:t xml:space="preserve">класс прочности присоединяемого трубопровода, значение временного сопротивления разрыву </w:t>
      </w:r>
      <w:r>
        <w:rPr>
          <w:rFonts w:hint="eastAsia"/>
        </w:rPr>
        <w:t>Ơ</w:t>
      </w:r>
      <w:r>
        <w:t>в, кгс/мм</w:t>
      </w:r>
      <w:r>
        <w:rPr>
          <w:vertAlign w:val="superscript"/>
        </w:rPr>
        <w:t>2</w:t>
      </w:r>
      <w:r>
        <w:t>;</w:t>
      </w:r>
      <w:r>
        <w:rPr>
          <w:rFonts w:eastAsia="PMingLiU"/>
        </w:rPr>
        <w:t xml:space="preserve"> </w:t>
      </w:r>
      <w:r>
        <w:rPr>
          <w:rFonts w:eastAsia="PMingLiU"/>
          <w:b/>
        </w:rPr>
        <w:t>ЭПБГ1</w:t>
      </w:r>
      <w:r>
        <w:rPr>
          <w:rFonts w:eastAsia="PMingLiU"/>
        </w:rPr>
        <w:t xml:space="preserve"> – стандартный электропривод, взрывозащита </w:t>
      </w:r>
      <w:r>
        <w:rPr>
          <w:rFonts w:eastAsia="PMingLiU"/>
          <w:lang w:val="en-US"/>
        </w:rPr>
        <w:t>Exd</w:t>
      </w:r>
      <w:r>
        <w:rPr>
          <w:rFonts w:eastAsia="PMingLiU"/>
        </w:rPr>
        <w:t xml:space="preserve">, пылевлагозащита не ниже </w:t>
      </w:r>
      <w:r>
        <w:rPr>
          <w:rFonts w:eastAsia="PMingLiU"/>
          <w:lang w:val="en-US"/>
        </w:rPr>
        <w:t>IP</w:t>
      </w:r>
      <w:r>
        <w:rPr>
          <w:rFonts w:eastAsia="PMingLiU"/>
        </w:rPr>
        <w:t xml:space="preserve">65, напряжение питание 220 В, сигнал состояния 24 с.к., сигнал управления 220 В, протокол передачи </w:t>
      </w:r>
      <w:r>
        <w:rPr>
          <w:rFonts w:eastAsia="PMingLiU"/>
          <w:lang w:val="en-US"/>
        </w:rPr>
        <w:t>Fieldbas</w:t>
      </w:r>
      <w:r>
        <w:rPr>
          <w:rFonts w:eastAsia="PMingLiU"/>
        </w:rPr>
        <w:t>, блок расположен на электроприводе, кабельный ввод для бронированного кабеля</w:t>
      </w:r>
      <w:r>
        <w:rPr>
          <w:rFonts w:eastAsia="Times New Roman"/>
        </w:rPr>
        <w:t xml:space="preserve">; </w:t>
      </w:r>
      <w:r>
        <w:rPr>
          <w:b/>
        </w:rPr>
        <w:t>О</w:t>
      </w:r>
      <w:r>
        <w:t xml:space="preserve"> – характеристика рабочей среды (опасная); </w:t>
      </w:r>
      <w:r>
        <w:br/>
      </w:r>
      <w:r>
        <w:rPr>
          <w:rFonts w:eastAsia="Times New Roman"/>
          <w:b/>
          <w:lang w:eastAsia="en-US"/>
        </w:rPr>
        <w:t>1 –</w:t>
      </w:r>
      <w:r>
        <w:rPr>
          <w:rFonts w:eastAsia="Times New Roman"/>
          <w:lang w:eastAsia="en-US"/>
        </w:rPr>
        <w:t xml:space="preserve"> климатическое исполнение; </w:t>
      </w:r>
      <w:r>
        <w:rPr>
          <w:rFonts w:eastAsia="Times New Roman"/>
          <w:b/>
          <w:lang w:eastAsia="en-US"/>
        </w:rPr>
        <w:t xml:space="preserve">2 – </w:t>
      </w:r>
      <w:r>
        <w:rPr>
          <w:rFonts w:eastAsia="Times New Roman"/>
          <w:szCs w:val="20"/>
        </w:rPr>
        <w:t>сейсмичность района размещения.</w:t>
      </w:r>
    </w:p>
    <w:p>
      <w:pPr>
        <w:tabs>
          <w:tab w:val="left" w:pos="1418"/>
        </w:tabs>
        <w:rPr>
          <w:rFonts w:eastAsia="PMingLiU"/>
          <w:lang w:eastAsia="en-US"/>
        </w:rPr>
      </w:pPr>
    </w:p>
    <w:p>
      <w:pPr>
        <w:tabs>
          <w:tab w:val="left" w:pos="1418"/>
        </w:tabs>
        <w:rPr>
          <w:rFonts w:eastAsia="PMingLiU"/>
          <w:lang w:eastAsia="en-US"/>
        </w:rPr>
      </w:pPr>
    </w:p>
    <w:p>
      <w:pPr>
        <w:keepNext/>
        <w:outlineLvl w:val="1"/>
        <w:rPr>
          <w:rFonts w:ascii="Arial" w:eastAsia="Calibri" w:hAnsi="Arial"/>
          <w:b/>
          <w:caps/>
        </w:rPr>
      </w:pPr>
      <w:bookmarkStart w:id="282" w:name="_Toc392607785"/>
      <w:bookmarkStart w:id="283" w:name="_Toc392695963"/>
      <w:bookmarkStart w:id="284" w:name="_Toc392696019"/>
      <w:bookmarkStart w:id="285" w:name="_Toc392752885"/>
      <w:bookmarkStart w:id="286" w:name="_Toc404615362"/>
      <w:bookmarkStart w:id="287" w:name="_Toc514169543"/>
      <w:bookmarkStart w:id="288" w:name="_Toc481662424"/>
      <w:r>
        <w:rPr>
          <w:rFonts w:ascii="Arial" w:eastAsia="Calibri" w:hAnsi="Arial"/>
          <w:b/>
          <w:caps/>
        </w:rPr>
        <w:t>5.4.</w:t>
      </w:r>
      <w:r>
        <w:rPr>
          <w:rFonts w:ascii="Arial" w:eastAsia="Calibri" w:hAnsi="Arial"/>
          <w:b/>
          <w:caps/>
        </w:rPr>
        <w:tab/>
        <w:t>ПРИМЕНЕНИЕ УСЛОВНОГО ОБОЗНАЧЕНИЯ</w:t>
      </w:r>
      <w:bookmarkEnd w:id="282"/>
      <w:bookmarkEnd w:id="283"/>
      <w:bookmarkEnd w:id="284"/>
      <w:bookmarkEnd w:id="285"/>
      <w:bookmarkEnd w:id="286"/>
      <w:bookmarkEnd w:id="287"/>
      <w:r>
        <w:rPr>
          <w:rFonts w:ascii="Arial" w:eastAsia="Calibri" w:hAnsi="Arial"/>
          <w:b/>
          <w:caps/>
        </w:rPr>
        <w:t xml:space="preserve"> </w:t>
      </w:r>
      <w:bookmarkEnd w:id="288"/>
    </w:p>
    <w:p>
      <w:pPr>
        <w:rPr>
          <w:rFonts w:eastAsiaTheme="minorHAnsi"/>
          <w:lang w:eastAsia="en-US"/>
        </w:rPr>
      </w:pPr>
    </w:p>
    <w:p>
      <w:r>
        <w:t xml:space="preserve">Схема условного обозначения </w:t>
      </w:r>
      <w:r>
        <w:rPr>
          <w:rFonts w:eastAsia="PMingLiU"/>
          <w:lang w:eastAsia="en-US"/>
        </w:rPr>
        <w:t>крана шарового</w:t>
      </w:r>
      <w:r>
        <w:t xml:space="preserve"> должна применяться при формировании унифицированного обозначения МТР в проектной документации. </w:t>
      </w:r>
    </w:p>
    <w:p>
      <w:pPr>
        <w:rPr>
          <w:rFonts w:eastAsia="Calibri"/>
          <w:lang w:eastAsia="en-US"/>
        </w:rPr>
      </w:pPr>
    </w:p>
    <w:p>
      <w:r>
        <w:t>Условное обозначение, заданное в настоящих Методических указаниях, рекомендуется применять также для формирования аналитических материалов для нужд планирования развития Системы типового проектирования Компании, в том числе с использованием корпоративных информационных систем, содержащих данные о МТР.</w:t>
      </w:r>
    </w:p>
    <w:p>
      <w:pPr>
        <w:rPr>
          <w:rFonts w:eastAsia="Calibri"/>
          <w:lang w:eastAsia="en-US"/>
        </w:rPr>
      </w:pPr>
    </w:p>
    <w:p>
      <w:r>
        <w:rPr>
          <w:rFonts w:eastAsiaTheme="minorHAnsi"/>
          <w:lang w:eastAsia="en-US"/>
        </w:rPr>
        <w:t>Условное обозначение</w:t>
      </w:r>
      <w:r>
        <w:t xml:space="preserve"> для </w:t>
      </w:r>
      <w:r>
        <w:rPr>
          <w:rFonts w:eastAsia="PMingLiU"/>
          <w:lang w:eastAsia="en-US"/>
        </w:rPr>
        <w:t>крана шарового</w:t>
      </w:r>
      <w:r>
        <w:rPr>
          <w:rFonts w:eastAsiaTheme="minorHAnsi"/>
          <w:lang w:eastAsia="en-US"/>
        </w:rPr>
        <w:t xml:space="preserve"> вносится в спецификацию оборудования, изделий и материалов по форме ГОСТ</w:t>
      </w:r>
      <w:r>
        <w:rPr>
          <w:rFonts w:eastAsiaTheme="minorHAnsi"/>
          <w:lang w:val="en-US" w:eastAsia="en-US"/>
        </w:rPr>
        <w:t> </w:t>
      </w:r>
      <w:r>
        <w:rPr>
          <w:rFonts w:eastAsiaTheme="minorHAnsi"/>
          <w:lang w:eastAsia="en-US"/>
        </w:rPr>
        <w:t>21.110 в графу «Наименование и техническая характеристика»</w:t>
      </w:r>
      <w:r>
        <w:rPr>
          <w:rFonts w:eastAsiaTheme="minorHAnsi"/>
          <w:color w:val="000000"/>
          <w:lang w:eastAsia="en-US"/>
        </w:rPr>
        <w:t>,</w:t>
      </w:r>
      <w:r>
        <w:rPr>
          <w:rFonts w:eastAsiaTheme="minorHAnsi"/>
          <w:lang w:eastAsia="en-US"/>
        </w:rPr>
        <w:t xml:space="preserve"> в графу «Тип, марка, обозначение документа, опросного листа» вносится номер и наименование настоящих Методических указаний Компании</w:t>
      </w:r>
      <w:r>
        <w:t>.</w:t>
      </w:r>
    </w:p>
    <w:p/>
    <w:p>
      <w:pPr>
        <w:rPr>
          <w:rFonts w:eastAsiaTheme="minorHAnsi"/>
          <w:lang w:eastAsia="en-US"/>
        </w:rPr>
      </w:pPr>
      <w:r>
        <w:rPr>
          <w:rFonts w:eastAsia="PMingLiU"/>
          <w:szCs w:val="22"/>
          <w:lang w:eastAsia="en-US"/>
        </w:rPr>
        <w:t xml:space="preserve">Условное обозначение РГС, проектируемых согласно настоящим Методическим указаниям, соответствует следующему подклассу КФК корпоративного справочника материалов: </w:t>
      </w:r>
      <w:r>
        <w:rPr>
          <w:rFonts w:eastAsiaTheme="minorHAnsi"/>
          <w:lang w:eastAsia="en-US"/>
        </w:rPr>
        <w:t xml:space="preserve"> </w:t>
      </w:r>
      <w:r>
        <w:rPr>
          <w:rFonts w:eastAsiaTheme="minorHAnsi"/>
          <w:lang w:eastAsia="en-US"/>
        </w:rPr>
        <w:br/>
      </w:r>
      <w:r>
        <w:rPr>
          <w:rFonts w:eastAsia="Times New Roman"/>
          <w:color w:val="000000"/>
        </w:rPr>
        <w:t>06-040000</w:t>
      </w:r>
      <w:r>
        <w:rPr>
          <w:rFonts w:eastAsiaTheme="minorHAnsi"/>
          <w:lang w:eastAsia="en-US"/>
        </w:rPr>
        <w:t>.</w:t>
      </w:r>
    </w:p>
    <w:p>
      <w:pPr>
        <w:jc w:val="left"/>
        <w:rPr>
          <w:rFonts w:eastAsia="PMingLiU"/>
          <w:lang w:eastAsia="en-US"/>
        </w:rPr>
      </w:pPr>
    </w:p>
    <w:p>
      <w:pPr>
        <w:jc w:val="left"/>
        <w:rPr>
          <w:rFonts w:eastAsia="PMingLiU"/>
          <w:lang w:eastAsia="en-US"/>
        </w:rPr>
        <w:sectPr>
          <w:headerReference w:type="even" r:id="rId47"/>
          <w:headerReference w:type="default" r:id="rId48"/>
          <w:headerReference w:type="first" r:id="rId49"/>
          <w:pgSz w:w="11906" w:h="16838" w:code="9"/>
          <w:pgMar w:top="510" w:right="1021" w:bottom="567" w:left="1247" w:header="737" w:footer="680" w:gutter="0"/>
          <w:cols w:space="708"/>
          <w:docGrid w:linePitch="360"/>
        </w:sectPr>
      </w:pPr>
    </w:p>
    <w:p>
      <w:pPr>
        <w:pStyle w:val="S13"/>
        <w:numPr>
          <w:ilvl w:val="0"/>
          <w:numId w:val="26"/>
        </w:numPr>
        <w:ind w:left="0" w:firstLine="0"/>
      </w:pPr>
      <w:bookmarkStart w:id="289" w:name="_Toc481662426"/>
      <w:bookmarkStart w:id="290" w:name="_Toc514169544"/>
      <w:r>
        <w:lastRenderedPageBreak/>
        <w:t>ССЫЛКИ</w:t>
      </w:r>
      <w:bookmarkEnd w:id="289"/>
      <w:bookmarkEnd w:id="290"/>
    </w:p>
    <w:p>
      <w:pPr>
        <w:pStyle w:val="S0"/>
      </w:pPr>
    </w:p>
    <w:p>
      <w:pPr>
        <w:rPr>
          <w:rFonts w:eastAsia="PMingLiU"/>
          <w:szCs w:val="22"/>
          <w:lang w:eastAsia="en-US"/>
        </w:rPr>
      </w:pPr>
    </w:p>
    <w:p>
      <w:pPr>
        <w:numPr>
          <w:ilvl w:val="0"/>
          <w:numId w:val="24"/>
        </w:numPr>
        <w:tabs>
          <w:tab w:val="clear" w:pos="363"/>
          <w:tab w:val="num" w:pos="567"/>
        </w:tabs>
        <w:ind w:left="567" w:hanging="567"/>
        <w:rPr>
          <w:rFonts w:eastAsia="Times New Roman"/>
        </w:rPr>
      </w:pPr>
      <w:r>
        <w:rPr>
          <w:rFonts w:eastAsia="Times New Roman"/>
        </w:rPr>
        <w:t>Технический регламент Таможенного союза «О безопасности машин и оборудования» (ТР</w:t>
      </w:r>
      <w:r>
        <w:rPr>
          <w:rFonts w:eastAsia="Times New Roman"/>
          <w:lang w:val="en-US"/>
        </w:rPr>
        <w:t> </w:t>
      </w:r>
      <w:r>
        <w:rPr>
          <w:rFonts w:eastAsia="Times New Roman"/>
        </w:rPr>
        <w:t>ТС</w:t>
      </w:r>
      <w:r>
        <w:rPr>
          <w:rFonts w:eastAsia="Times New Roman"/>
          <w:lang w:val="en-US"/>
        </w:rPr>
        <w:t> </w:t>
      </w:r>
      <w:r>
        <w:rPr>
          <w:rFonts w:eastAsia="Times New Roman"/>
        </w:rPr>
        <w:t>010/2011).</w:t>
      </w:r>
    </w:p>
    <w:p>
      <w:pPr>
        <w:rPr>
          <w:rFonts w:eastAsia="Times New Roman"/>
        </w:rPr>
      </w:pPr>
    </w:p>
    <w:p>
      <w:pPr>
        <w:pStyle w:val="S0"/>
        <w:numPr>
          <w:ilvl w:val="0"/>
          <w:numId w:val="24"/>
        </w:numPr>
        <w:tabs>
          <w:tab w:val="clear" w:pos="363"/>
          <w:tab w:val="num" w:pos="567"/>
        </w:tabs>
        <w:ind w:left="567" w:hanging="567"/>
      </w:pPr>
      <w:r>
        <w:t>Технический регламент Таможенного союза «О безопасности оборудования для работы во взрывоопасных средах» (ТР</w:t>
      </w:r>
      <w:r>
        <w:rPr>
          <w:lang w:val="en-US"/>
        </w:rPr>
        <w:t> </w:t>
      </w:r>
      <w:r>
        <w:t>ТС</w:t>
      </w:r>
      <w:r>
        <w:rPr>
          <w:lang w:val="en-US"/>
        </w:rPr>
        <w:t> </w:t>
      </w:r>
      <w:r>
        <w:t>012/2011).</w:t>
      </w:r>
    </w:p>
    <w:p>
      <w:pPr>
        <w:pStyle w:val="S0"/>
      </w:pPr>
    </w:p>
    <w:p>
      <w:pPr>
        <w:numPr>
          <w:ilvl w:val="0"/>
          <w:numId w:val="24"/>
        </w:numPr>
        <w:tabs>
          <w:tab w:val="clear" w:pos="363"/>
          <w:tab w:val="num" w:pos="567"/>
        </w:tabs>
        <w:ind w:left="567" w:hanging="567"/>
        <w:rPr>
          <w:rFonts w:eastAsia="Times New Roman"/>
        </w:rPr>
      </w:pPr>
      <w:r>
        <w:rPr>
          <w:rFonts w:eastAsia="Times New Roman"/>
        </w:rPr>
        <w:t>Технический регламент Таможенного союза «О безопасности оборудования, работающего под избыточным давлением» (ТР</w:t>
      </w:r>
      <w:r>
        <w:rPr>
          <w:rFonts w:eastAsia="Times New Roman"/>
          <w:lang w:val="en-US"/>
        </w:rPr>
        <w:t> </w:t>
      </w:r>
      <w:r>
        <w:rPr>
          <w:rFonts w:eastAsia="Times New Roman"/>
        </w:rPr>
        <w:t>ТС</w:t>
      </w:r>
      <w:r>
        <w:rPr>
          <w:rFonts w:eastAsia="Times New Roman"/>
          <w:lang w:val="en-US"/>
        </w:rPr>
        <w:t> </w:t>
      </w:r>
      <w:r>
        <w:rPr>
          <w:rFonts w:eastAsia="Times New Roman"/>
        </w:rPr>
        <w:t>032/2013).</w:t>
      </w:r>
    </w:p>
    <w:p>
      <w:pPr>
        <w:rPr>
          <w:rFonts w:eastAsia="PMingLiU"/>
          <w:color w:val="000000"/>
          <w:lang w:eastAsia="en-US"/>
        </w:rPr>
      </w:pPr>
    </w:p>
    <w:p>
      <w:pPr>
        <w:numPr>
          <w:ilvl w:val="0"/>
          <w:numId w:val="24"/>
        </w:numPr>
        <w:tabs>
          <w:tab w:val="clear" w:pos="363"/>
        </w:tabs>
        <w:ind w:left="567" w:hanging="567"/>
        <w:rPr>
          <w:rFonts w:eastAsia="PMingLiU"/>
          <w:color w:val="000000"/>
          <w:lang w:eastAsia="en-US"/>
        </w:rPr>
      </w:pPr>
      <w:r>
        <w:rPr>
          <w:rFonts w:eastAsia="PMingLiU"/>
          <w:color w:val="000000"/>
          <w:lang w:eastAsia="en-US"/>
        </w:rPr>
        <w:t>Федеральный закон от 24.06.1998 №</w:t>
      </w:r>
      <w:r>
        <w:rPr>
          <w:rFonts w:eastAsia="PMingLiU"/>
          <w:color w:val="000000"/>
          <w:lang w:val="en-US" w:eastAsia="en-US"/>
        </w:rPr>
        <w:t> </w:t>
      </w:r>
      <w:r>
        <w:rPr>
          <w:rFonts w:eastAsia="PMingLiU"/>
          <w:color w:val="000000"/>
          <w:lang w:eastAsia="en-US"/>
        </w:rPr>
        <w:t>89-ФЗ «Об отходах производства и потребления».</w:t>
      </w:r>
    </w:p>
    <w:p/>
    <w:p>
      <w:pPr>
        <w:pStyle w:val="S0"/>
        <w:numPr>
          <w:ilvl w:val="0"/>
          <w:numId w:val="24"/>
        </w:numPr>
        <w:tabs>
          <w:tab w:val="clear" w:pos="363"/>
          <w:tab w:val="num" w:pos="567"/>
        </w:tabs>
        <w:ind w:left="567" w:hanging="567"/>
      </w:pPr>
      <w:r>
        <w:t>Федеральный закон от 27.12.2002 №</w:t>
      </w:r>
      <w:r>
        <w:rPr>
          <w:lang w:val="en-US"/>
        </w:rPr>
        <w:t> </w:t>
      </w:r>
      <w:r>
        <w:t>184-ФЗ «О техническом регулировании».</w:t>
      </w:r>
    </w:p>
    <w:p>
      <w:pPr>
        <w:pStyle w:val="S0"/>
      </w:pPr>
    </w:p>
    <w:p>
      <w:pPr>
        <w:pStyle w:val="S0"/>
        <w:numPr>
          <w:ilvl w:val="0"/>
          <w:numId w:val="24"/>
        </w:numPr>
        <w:tabs>
          <w:tab w:val="clear" w:pos="363"/>
          <w:tab w:val="num" w:pos="567"/>
        </w:tabs>
        <w:ind w:left="567" w:hanging="567"/>
      </w:pPr>
      <w:r>
        <w:rPr>
          <w:rFonts w:eastAsia="SimSun"/>
          <w:lang w:eastAsia="zh-CN"/>
        </w:rPr>
        <w:t>Приказ Госгортехнадзора РФ от 19.12.1997 №</w:t>
      </w:r>
      <w:r>
        <w:rPr>
          <w:rFonts w:eastAsia="SimSun"/>
          <w:lang w:val="en-US" w:eastAsia="zh-CN"/>
        </w:rPr>
        <w:t> </w:t>
      </w:r>
      <w:r>
        <w:rPr>
          <w:rFonts w:eastAsia="SimSun"/>
          <w:lang w:eastAsia="zh-CN"/>
        </w:rPr>
        <w:t>221 «Об утверждении «Методических указаний по организации и осуществлению надзора за конструированием и изготовлением оборудования для опасных производственных объектов в химической, нефтехимической и нефтеперерабатывающей промышленности».</w:t>
      </w:r>
    </w:p>
    <w:p>
      <w:pPr>
        <w:pStyle w:val="S0"/>
      </w:pPr>
    </w:p>
    <w:p>
      <w:pPr>
        <w:pStyle w:val="S0"/>
        <w:numPr>
          <w:ilvl w:val="0"/>
          <w:numId w:val="24"/>
        </w:numPr>
        <w:tabs>
          <w:tab w:val="clear" w:pos="363"/>
          <w:tab w:val="num" w:pos="567"/>
        </w:tabs>
        <w:ind w:left="567" w:hanging="567"/>
      </w:pPr>
      <w:r>
        <w:t>Приказ Минэкономразвития России от 30.05.2014 № 326 «Об утверждении Критериев аккредитации, перечня документов, подтверждающих соответствие заявителя, аккредитованного лица критериям аккредитации, и перечня документов в области стандартизации, соблюдение требований которых заявителями, аккредитованными лицами обеспечивает их соответствие критериям аккредитации».</w:t>
      </w:r>
    </w:p>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10051-75</w:t>
      </w:r>
      <w:r>
        <w:rPr>
          <w:rFonts w:eastAsia="PMingLiU"/>
          <w:lang w:val="en-US" w:eastAsia="en-US"/>
        </w:rPr>
        <w:t> </w:t>
      </w:r>
      <w:r>
        <w:rPr>
          <w:rFonts w:eastAsia="PMingLiU"/>
          <w:lang w:eastAsia="en-US"/>
        </w:rPr>
        <w:t>Электроды покрытые металлические для ручной дуговой наплавки поверхностных слоев с особыми свойствами.</w:t>
      </w:r>
    </w:p>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10198-91</w:t>
      </w:r>
      <w:r>
        <w:rPr>
          <w:rFonts w:eastAsia="PMingLiU"/>
          <w:lang w:val="en-US" w:eastAsia="en-US"/>
        </w:rPr>
        <w:t> </w:t>
      </w:r>
      <w:r>
        <w:rPr>
          <w:rFonts w:eastAsia="PMingLiU"/>
          <w:lang w:eastAsia="en-US"/>
        </w:rPr>
        <w:t>Ящики деревянные для грузов массой св. 200 до 20000 кг. Общие технические условия.</w:t>
      </w:r>
    </w:p>
    <w:p>
      <w:pPr>
        <w:rPr>
          <w:rFonts w:eastAsia="PMingLiU"/>
        </w:rPr>
      </w:pPr>
    </w:p>
    <w:p>
      <w:pPr>
        <w:numPr>
          <w:ilvl w:val="0"/>
          <w:numId w:val="24"/>
        </w:numPr>
        <w:tabs>
          <w:tab w:val="clear" w:pos="363"/>
          <w:tab w:val="num" w:pos="567"/>
        </w:tabs>
        <w:ind w:left="567" w:hanging="567"/>
      </w:pPr>
      <w:r>
        <w:t>ГОСТ</w:t>
      </w:r>
      <w:r>
        <w:rPr>
          <w:lang w:val="en-US"/>
        </w:rPr>
        <w:t> </w:t>
      </w:r>
      <w:r>
        <w:t>10243-75</w:t>
      </w:r>
      <w:r>
        <w:rPr>
          <w:lang w:val="en-US"/>
        </w:rPr>
        <w:t> </w:t>
      </w:r>
      <w:r>
        <w:t xml:space="preserve"> (СТ СЭВ 2837-81) Сталь. Методы испытаний и оценки макроструктуры.</w:t>
      </w:r>
    </w:p>
    <w:p>
      <w:pPr>
        <w:rPr>
          <w:rFonts w:eastAsia="PMingLiU"/>
        </w:rPr>
      </w:pPr>
    </w:p>
    <w:p>
      <w:pPr>
        <w:numPr>
          <w:ilvl w:val="0"/>
          <w:numId w:val="24"/>
        </w:numPr>
        <w:shd w:val="clear" w:color="auto" w:fill="FFFFFF"/>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10354-82</w:t>
      </w:r>
      <w:r>
        <w:rPr>
          <w:rFonts w:eastAsia="PMingLiU"/>
          <w:lang w:val="en-US" w:eastAsia="en-US"/>
        </w:rPr>
        <w:t> </w:t>
      </w:r>
      <w:r>
        <w:rPr>
          <w:rFonts w:eastAsia="PMingLiU"/>
          <w:lang w:eastAsia="en-US"/>
        </w:rPr>
        <w:t>Пленка полиэтиленовая. Технические условия.</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10494-80</w:t>
      </w:r>
      <w:r>
        <w:rPr>
          <w:rFonts w:eastAsia="PMingLiU"/>
          <w:lang w:val="en-US" w:eastAsia="en-US"/>
        </w:rPr>
        <w:t> </w:t>
      </w:r>
      <w:r>
        <w:rPr>
          <w:rFonts w:eastAsia="PMingLiU"/>
          <w:lang w:eastAsia="en-US"/>
        </w:rPr>
        <w:t>Шпильки для фланцевых соединений с линзовым уплотнением на Ру свыше 10 до 100 МПа (свыше 100 до 1000 кгс/см</w:t>
      </w:r>
      <w:r>
        <w:rPr>
          <w:rFonts w:eastAsia="PMingLiU"/>
          <w:vertAlign w:val="superscript"/>
          <w:lang w:eastAsia="en-US"/>
        </w:rPr>
        <w:t>2</w:t>
      </w:r>
      <w:r>
        <w:rPr>
          <w:rFonts w:eastAsia="PMingLiU"/>
          <w:lang w:eastAsia="en-US"/>
        </w:rPr>
        <w:t xml:space="preserve">). </w:t>
      </w:r>
      <w:r>
        <w:t>Технические условия.</w:t>
      </w:r>
    </w:p>
    <w:p>
      <w:pPr>
        <w:shd w:val="clear" w:color="auto" w:fill="FFFFFF"/>
        <w:tabs>
          <w:tab w:val="num" w:pos="567"/>
        </w:tabs>
        <w:ind w:left="567" w:hanging="567"/>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10495-80</w:t>
      </w:r>
      <w:r>
        <w:rPr>
          <w:rFonts w:eastAsia="PMingLiU"/>
          <w:lang w:val="en-US" w:eastAsia="en-US"/>
        </w:rPr>
        <w:t> </w:t>
      </w:r>
      <w:r>
        <w:rPr>
          <w:rFonts w:eastAsia="PMingLiU"/>
          <w:lang w:eastAsia="en-US"/>
        </w:rPr>
        <w:t xml:space="preserve">Гайки шестигранные для фланцевых соединений на Ру свыше 10 до </w:t>
      </w:r>
      <w:r>
        <w:rPr>
          <w:rFonts w:eastAsia="PMingLiU"/>
          <w:lang w:eastAsia="en-US"/>
        </w:rPr>
        <w:br/>
        <w:t>100 МПа (свыше 100 до 1000 кгс/</w:t>
      </w:r>
      <w:r>
        <w:rPr>
          <w:rFonts w:eastAsia="PMingLiU"/>
          <w:lang w:val="en-US" w:eastAsia="en-US"/>
        </w:rPr>
        <w:t>c</w:t>
      </w:r>
      <w:r>
        <w:rPr>
          <w:rFonts w:eastAsia="PMingLiU"/>
          <w:lang w:eastAsia="en-US"/>
        </w:rPr>
        <w:t>м</w:t>
      </w:r>
      <w:r>
        <w:rPr>
          <w:rFonts w:eastAsia="PMingLiU"/>
          <w:vertAlign w:val="superscript"/>
          <w:lang w:eastAsia="en-US"/>
        </w:rPr>
        <w:t>2</w:t>
      </w:r>
      <w:r>
        <w:rPr>
          <w:rFonts w:eastAsia="PMingLiU"/>
          <w:lang w:eastAsia="en-US"/>
        </w:rPr>
        <w:t xml:space="preserve">). </w:t>
      </w:r>
      <w:r>
        <w:t>Технические условия.</w:t>
      </w:r>
    </w:p>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10549-80</w:t>
      </w:r>
      <w:r>
        <w:rPr>
          <w:rFonts w:eastAsia="PMingLiU"/>
          <w:lang w:val="en-US" w:eastAsia="en-US"/>
        </w:rPr>
        <w:t> </w:t>
      </w:r>
      <w:r>
        <w:rPr>
          <w:rFonts w:eastAsia="PMingLiU"/>
          <w:lang w:eastAsia="en-US"/>
        </w:rPr>
        <w:t>Выход резьбы. Сбеги, недорезы, проточки и фаски.</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10877-76</w:t>
      </w:r>
      <w:r>
        <w:rPr>
          <w:rFonts w:eastAsia="PMingLiU"/>
          <w:lang w:val="en-US" w:eastAsia="en-US"/>
        </w:rPr>
        <w:t> </w:t>
      </w:r>
      <w:r>
        <w:rPr>
          <w:rFonts w:eastAsia="PMingLiU"/>
          <w:lang w:eastAsia="en-US"/>
        </w:rPr>
        <w:t>Масло консервационное К-17. Технические условия.</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11447-80</w:t>
      </w:r>
      <w:r>
        <w:rPr>
          <w:rFonts w:eastAsia="PMingLiU"/>
          <w:lang w:val="en-US" w:eastAsia="en-US"/>
        </w:rPr>
        <w:t> </w:t>
      </w:r>
      <w:r>
        <w:rPr>
          <w:rFonts w:eastAsia="PMingLiU"/>
          <w:lang w:eastAsia="en-US"/>
        </w:rPr>
        <w:t xml:space="preserve">Шпильки упорные на Ру свыше 10 до 100 МПа (свыше 100 до </w:t>
      </w:r>
      <w:r>
        <w:rPr>
          <w:rFonts w:eastAsia="PMingLiU"/>
          <w:lang w:eastAsia="en-US"/>
        </w:rPr>
        <w:br/>
        <w:t>1000 кгс/см²). Технически условия.</w:t>
      </w:r>
    </w:p>
    <w:p>
      <w:pPr>
        <w:numPr>
          <w:ilvl w:val="0"/>
          <w:numId w:val="24"/>
        </w:numPr>
        <w:tabs>
          <w:tab w:val="clear" w:pos="363"/>
          <w:tab w:val="num" w:pos="567"/>
        </w:tabs>
        <w:ind w:left="567" w:hanging="567"/>
        <w:rPr>
          <w:rFonts w:eastAsia="PMingLiU"/>
          <w:lang w:eastAsia="en-US"/>
        </w:rPr>
      </w:pPr>
      <w:r>
        <w:rPr>
          <w:rFonts w:eastAsia="PMingLiU"/>
          <w:lang w:eastAsia="en-US"/>
        </w:rPr>
        <w:lastRenderedPageBreak/>
        <w:t>ГОСТ</w:t>
      </w:r>
      <w:r>
        <w:rPr>
          <w:rFonts w:eastAsia="PMingLiU"/>
          <w:lang w:val="en-US" w:eastAsia="en-US"/>
        </w:rPr>
        <w:t> </w:t>
      </w:r>
      <w:r>
        <w:rPr>
          <w:rFonts w:eastAsia="PMingLiU"/>
          <w:lang w:eastAsia="en-US"/>
        </w:rPr>
        <w:t>12.1.007-76</w:t>
      </w:r>
      <w:r>
        <w:rPr>
          <w:rFonts w:eastAsia="PMingLiU"/>
          <w:lang w:val="en-US" w:eastAsia="en-US"/>
        </w:rPr>
        <w:t> </w:t>
      </w:r>
      <w:r>
        <w:rPr>
          <w:rFonts w:eastAsia="PMingLiU"/>
          <w:lang w:eastAsia="en-US"/>
        </w:rPr>
        <w:t>Система стандартов безопасности труда. Вредные вещества. Классификация и общие требования безопасности.</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12.1.012-2004 Система стандартов безопасности труда. Вибрационная безопасность. Общие требования.</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12.1.044-89</w:t>
      </w:r>
      <w:r>
        <w:rPr>
          <w:rFonts w:eastAsia="PMingLiU"/>
          <w:lang w:val="en-US" w:eastAsia="en-US"/>
        </w:rPr>
        <w:t> </w:t>
      </w:r>
      <w:r>
        <w:t>(ИСО 4589-84) Система стандартов безопасности труда. Пожаровзрывоопасность веществ и материалов. Номенклатура показателей и методы их определения.</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12.2.007.0-75</w:t>
      </w:r>
      <w:r>
        <w:rPr>
          <w:rFonts w:eastAsia="PMingLiU"/>
          <w:lang w:val="en-US" w:eastAsia="en-US"/>
        </w:rPr>
        <w:t> </w:t>
      </w:r>
      <w:r>
        <w:rPr>
          <w:rFonts w:eastAsia="PMingLiU"/>
          <w:lang w:eastAsia="en-US"/>
        </w:rPr>
        <w:t>Система стандартов безопасности труда. Изделия электротехнические. Общие требования безопасности.</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12.2.063-2015</w:t>
      </w:r>
      <w:r>
        <w:rPr>
          <w:rFonts w:eastAsia="PMingLiU"/>
          <w:lang w:val="en-US" w:eastAsia="en-US"/>
        </w:rPr>
        <w:t> </w:t>
      </w:r>
      <w:r>
        <w:rPr>
          <w:rFonts w:eastAsia="PMingLiU"/>
          <w:lang w:eastAsia="en-US"/>
        </w:rPr>
        <w:t>Арматура трубопроводная. Общие требования безопасности.</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12.3.009-76</w:t>
      </w:r>
      <w:r>
        <w:rPr>
          <w:rFonts w:eastAsia="PMingLiU"/>
          <w:lang w:val="en-US" w:eastAsia="en-US"/>
        </w:rPr>
        <w:t> </w:t>
      </w:r>
      <w:r>
        <w:rPr>
          <w:rFonts w:eastAsia="PMingLiU"/>
          <w:lang w:eastAsia="en-US"/>
        </w:rPr>
        <w:t>Система стандартов безопасности труда. Работы погрузочно-разгрузочные. Общие требования безопасности.</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12971-67</w:t>
      </w:r>
      <w:r>
        <w:rPr>
          <w:rFonts w:eastAsia="PMingLiU"/>
          <w:lang w:val="en-US" w:eastAsia="en-US"/>
        </w:rPr>
        <w:t> </w:t>
      </w:r>
      <w:r>
        <w:rPr>
          <w:rFonts w:eastAsia="PMingLiU"/>
          <w:lang w:eastAsia="en-US"/>
        </w:rPr>
        <w:t>Таблички прямоугольные для машин и приборов. Размеры.</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14192-96</w:t>
      </w:r>
      <w:r>
        <w:rPr>
          <w:rFonts w:eastAsia="PMingLiU"/>
          <w:lang w:val="en-US" w:eastAsia="en-US"/>
        </w:rPr>
        <w:t> </w:t>
      </w:r>
      <w:r>
        <w:rPr>
          <w:rFonts w:eastAsia="PMingLiU"/>
          <w:lang w:eastAsia="en-US"/>
        </w:rPr>
        <w:t>Маркировка грузов.</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14254-2015</w:t>
      </w:r>
      <w:r>
        <w:rPr>
          <w:rFonts w:eastAsia="PMingLiU"/>
          <w:lang w:val="en-US" w:eastAsia="en-US"/>
        </w:rPr>
        <w:t> </w:t>
      </w:r>
      <w:r>
        <w:t xml:space="preserve">(IEC 60529:2013) </w:t>
      </w:r>
      <w:r>
        <w:rPr>
          <w:rFonts w:eastAsia="PMingLiU"/>
          <w:lang w:eastAsia="en-US"/>
        </w:rPr>
        <w:t xml:space="preserve">Степени защиты, обеспечиваемые оболочками </w:t>
      </w:r>
      <w:r>
        <w:rPr>
          <w:rFonts w:eastAsia="PMingLiU"/>
          <w:lang w:eastAsia="en-US"/>
        </w:rPr>
        <w:br/>
        <w:t xml:space="preserve">(код </w:t>
      </w:r>
      <w:r>
        <w:rPr>
          <w:rFonts w:eastAsia="PMingLiU"/>
          <w:lang w:val="en-US" w:eastAsia="en-US"/>
        </w:rPr>
        <w:t>IP</w:t>
      </w:r>
      <w:r>
        <w:rPr>
          <w:rFonts w:eastAsia="PMingLiU"/>
          <w:lang w:eastAsia="en-US"/>
        </w:rPr>
        <w:t>).</w:t>
      </w:r>
    </w:p>
    <w:p>
      <w:pPr>
        <w:rPr>
          <w:rFonts w:eastAsia="PMingLiU"/>
        </w:rPr>
      </w:pPr>
    </w:p>
    <w:p>
      <w:pPr>
        <w:numPr>
          <w:ilvl w:val="0"/>
          <w:numId w:val="24"/>
        </w:numPr>
        <w:tabs>
          <w:tab w:val="clear" w:pos="363"/>
          <w:tab w:val="num" w:pos="567"/>
        </w:tabs>
        <w:ind w:left="567" w:hanging="567"/>
      </w:pPr>
      <w:r>
        <w:t>ГОСТ</w:t>
      </w:r>
      <w:r>
        <w:rPr>
          <w:lang w:val="en-US"/>
        </w:rPr>
        <w:t> </w:t>
      </w:r>
      <w:r>
        <w:t>1497-84</w:t>
      </w:r>
      <w:r>
        <w:rPr>
          <w:lang w:val="en-US"/>
        </w:rPr>
        <w:t> </w:t>
      </w:r>
      <w:r>
        <w:t>(ИСО</w:t>
      </w:r>
      <w:r>
        <w:rPr>
          <w:lang w:val="en-US"/>
        </w:rPr>
        <w:t> </w:t>
      </w:r>
      <w:r>
        <w:t>6892-84, СТ</w:t>
      </w:r>
      <w:r>
        <w:rPr>
          <w:lang w:val="en-US"/>
        </w:rPr>
        <w:t> </w:t>
      </w:r>
      <w:r>
        <w:t>СЭВ</w:t>
      </w:r>
      <w:r>
        <w:rPr>
          <w:lang w:val="en-US"/>
        </w:rPr>
        <w:t> </w:t>
      </w:r>
      <w:r>
        <w:t>471-88) Металлы. Методы испытаний на растяжение.</w:t>
      </w:r>
    </w:p>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15150-69</w:t>
      </w:r>
      <w:r>
        <w:rPr>
          <w:rFonts w:eastAsia="PMingLiU"/>
          <w:lang w:val="en-US" w:eastAsia="en-US"/>
        </w:rPr>
        <w:t> </w:t>
      </w:r>
      <w:r>
        <w:rPr>
          <w:rFonts w:eastAsia="PMingLiU"/>
          <w:lang w:eastAsia="en-US"/>
        </w:rPr>
        <w:t>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pPr>
        <w:rPr>
          <w:rFonts w:eastAsia="PMingLiU"/>
        </w:rPr>
      </w:pPr>
    </w:p>
    <w:p>
      <w:pPr>
        <w:numPr>
          <w:ilvl w:val="0"/>
          <w:numId w:val="24"/>
        </w:numPr>
        <w:tabs>
          <w:tab w:val="clear" w:pos="363"/>
          <w:tab w:val="num" w:pos="567"/>
        </w:tabs>
        <w:ind w:left="567" w:hanging="567"/>
        <w:rPr>
          <w:rFonts w:eastAsia="PMingLiU"/>
          <w:lang w:eastAsia="en-US"/>
        </w:rPr>
      </w:pPr>
      <w:r>
        <w:rPr>
          <w:rFonts w:eastAsia="Times New Roman"/>
        </w:rPr>
        <w:t>ГОСТ</w:t>
      </w:r>
      <w:r>
        <w:rPr>
          <w:rFonts w:eastAsia="Times New Roman"/>
          <w:lang w:val="en-US"/>
        </w:rPr>
        <w:t> </w:t>
      </w:r>
      <w:r>
        <w:rPr>
          <w:rFonts w:eastAsia="Times New Roman"/>
        </w:rPr>
        <w:t>15180-86 </w:t>
      </w:r>
      <w:r>
        <w:rPr>
          <w:rFonts w:eastAsia="PMingLiU"/>
          <w:lang w:eastAsia="en-US"/>
        </w:rPr>
        <w:t>Прокладки плоские эластичные. Основные параметры и размеры.</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15.309-98</w:t>
      </w:r>
      <w:r>
        <w:rPr>
          <w:rFonts w:eastAsia="PMingLiU"/>
          <w:lang w:val="en-US" w:eastAsia="en-US"/>
        </w:rPr>
        <w:t> </w:t>
      </w:r>
      <w:r>
        <w:rPr>
          <w:rFonts w:eastAsia="PMingLiU"/>
          <w:lang w:eastAsia="en-US"/>
        </w:rPr>
        <w:t>Система разработки и постановки продукции на производство. Испытание и приёмка выпускаемой продукции. Основные положения.</w:t>
      </w:r>
    </w:p>
    <w:p>
      <w:pPr>
        <w:rPr>
          <w:rFonts w:eastAsia="PMingLiU"/>
          <w:lang w:eastAsia="en-US"/>
        </w:rPr>
      </w:pPr>
    </w:p>
    <w:p>
      <w:pPr>
        <w:numPr>
          <w:ilvl w:val="0"/>
          <w:numId w:val="24"/>
        </w:numPr>
        <w:tabs>
          <w:tab w:val="clear" w:pos="363"/>
          <w:tab w:val="num" w:pos="567"/>
        </w:tabs>
        <w:ind w:left="567" w:hanging="567"/>
        <w:rPr>
          <w:rFonts w:eastAsia="PMingLiU"/>
          <w:lang w:eastAsia="en-US"/>
        </w:rPr>
      </w:pPr>
      <w:r>
        <w:t>ГОСТ</w:t>
      </w:r>
      <w:r>
        <w:rPr>
          <w:lang w:val="en-US"/>
        </w:rPr>
        <w:t> </w:t>
      </w:r>
      <w:r>
        <w:t>15.311-90</w:t>
      </w:r>
      <w:r>
        <w:rPr>
          <w:lang w:val="en-US"/>
        </w:rPr>
        <w:t> </w:t>
      </w:r>
      <w:r>
        <w:t>Система разработки и постановки продукции на производство. Постановка на производство продукции по технической документации иностранных фирм.</w:t>
      </w:r>
    </w:p>
    <w:p>
      <w:pPr>
        <w:tabs>
          <w:tab w:val="num" w:pos="567"/>
        </w:tabs>
        <w:ind w:left="567" w:hanging="567"/>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16037-80</w:t>
      </w:r>
      <w:r>
        <w:rPr>
          <w:rFonts w:eastAsia="PMingLiU"/>
          <w:lang w:val="en-US" w:eastAsia="en-US"/>
        </w:rPr>
        <w:t> </w:t>
      </w:r>
      <w:r>
        <w:rPr>
          <w:rFonts w:eastAsia="PMingLiU"/>
          <w:lang w:eastAsia="en-US"/>
        </w:rPr>
        <w:t>Соединения сварные стальных трубопроводов. Основные типы, конструктивные элементы и размеры.</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16093-2004</w:t>
      </w:r>
      <w:r>
        <w:rPr>
          <w:rFonts w:eastAsia="PMingLiU"/>
          <w:lang w:val="en-US" w:eastAsia="en-US"/>
        </w:rPr>
        <w:t> </w:t>
      </w:r>
      <w:r>
        <w:t xml:space="preserve">(ИСО 965-1:1998, ИСО 965-3:1998) </w:t>
      </w:r>
      <w:r>
        <w:rPr>
          <w:rFonts w:eastAsia="PMingLiU"/>
          <w:lang w:eastAsia="en-US"/>
        </w:rPr>
        <w:t>Основные нормы взаимозаменяемости. Резьба метрическая. Допуски. Посадки с зазором.</w:t>
      </w:r>
    </w:p>
    <w:p>
      <w:pPr>
        <w:rPr>
          <w:rFonts w:eastAsia="PMingLiU"/>
          <w:lang w:val="en-US" w:eastAsia="en-US"/>
        </w:rPr>
      </w:pPr>
    </w:p>
    <w:p>
      <w:pPr>
        <w:numPr>
          <w:ilvl w:val="0"/>
          <w:numId w:val="24"/>
        </w:numPr>
        <w:tabs>
          <w:tab w:val="clear" w:pos="363"/>
          <w:tab w:val="num" w:pos="567"/>
          <w:tab w:val="left" w:pos="851"/>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16118-70</w:t>
      </w:r>
      <w:r>
        <w:rPr>
          <w:rFonts w:eastAsia="PMingLiU"/>
          <w:lang w:val="en-US" w:eastAsia="en-US"/>
        </w:rPr>
        <w:t> </w:t>
      </w:r>
      <w:r>
        <w:rPr>
          <w:rFonts w:eastAsia="PMingLiU"/>
          <w:lang w:eastAsia="en-US"/>
        </w:rPr>
        <w:t>Пружины винтовые цилиндрические сжатия и растяжения из стали круглого сечения. Технические условия.</w:t>
      </w:r>
    </w:p>
    <w:p>
      <w:pPr>
        <w:rPr>
          <w:rFonts w:eastAsia="PMingLiU"/>
        </w:rPr>
      </w:pPr>
    </w:p>
    <w:p>
      <w:pPr>
        <w:numPr>
          <w:ilvl w:val="0"/>
          <w:numId w:val="24"/>
        </w:numPr>
        <w:tabs>
          <w:tab w:val="clear" w:pos="363"/>
          <w:tab w:val="num" w:pos="567"/>
        </w:tabs>
        <w:ind w:left="567" w:hanging="567"/>
        <w:rPr>
          <w:rFonts w:eastAsia="PMingLiU"/>
          <w:lang w:eastAsia="en-US"/>
        </w:rPr>
      </w:pPr>
      <w:r>
        <w:rPr>
          <w:rStyle w:val="urtxtemph"/>
        </w:rPr>
        <w:lastRenderedPageBreak/>
        <w:t>ГОСТ</w:t>
      </w:r>
      <w:r>
        <w:rPr>
          <w:rStyle w:val="urtxtemph"/>
          <w:lang w:val="en-US"/>
        </w:rPr>
        <w:t> </w:t>
      </w:r>
      <w:r>
        <w:rPr>
          <w:rStyle w:val="urtxtemph"/>
        </w:rPr>
        <w:t>16504-81</w:t>
      </w:r>
      <w:r>
        <w:rPr>
          <w:rStyle w:val="urtxtemph"/>
          <w:lang w:val="en-US"/>
        </w:rPr>
        <w:t> </w:t>
      </w:r>
      <w:r>
        <w:rPr>
          <w:rFonts w:eastAsia="PMingLiU"/>
          <w:lang w:eastAsia="en-US"/>
        </w:rPr>
        <w:t>Система государственных испытаний продукции. Испытания и контроль качества продукции. Основные термины и определения.</w:t>
      </w:r>
    </w:p>
    <w:p>
      <w:pPr>
        <w:ind w:left="567"/>
        <w:rPr>
          <w:rFonts w:eastAsia="PMingLiU"/>
          <w:lang w:eastAsia="en-US"/>
        </w:rPr>
      </w:pPr>
    </w:p>
    <w:p>
      <w:pPr>
        <w:numPr>
          <w:ilvl w:val="0"/>
          <w:numId w:val="24"/>
        </w:numPr>
        <w:tabs>
          <w:tab w:val="clear" w:pos="363"/>
          <w:tab w:val="num" w:pos="567"/>
        </w:tabs>
        <w:ind w:left="567" w:hanging="567"/>
        <w:rPr>
          <w:rFonts w:eastAsia="PMingLiU"/>
          <w:lang w:eastAsia="en-US"/>
        </w:rPr>
      </w:pPr>
      <w:r>
        <w:t>ГОСТ</w:t>
      </w:r>
      <w:r>
        <w:rPr>
          <w:lang w:val="en-US"/>
        </w:rPr>
        <w:t> </w:t>
      </w:r>
      <w:r>
        <w:t>166-89</w:t>
      </w:r>
      <w:r>
        <w:rPr>
          <w:lang w:val="en-US"/>
        </w:rPr>
        <w:t> </w:t>
      </w:r>
      <w:r>
        <w:t>(СТ</w:t>
      </w:r>
      <w:r>
        <w:rPr>
          <w:lang w:val="en-US"/>
        </w:rPr>
        <w:t> </w:t>
      </w:r>
      <w:r>
        <w:t>СЭВ</w:t>
      </w:r>
      <w:r>
        <w:rPr>
          <w:lang w:val="en-US"/>
        </w:rPr>
        <w:t> </w:t>
      </w:r>
      <w:r>
        <w:t>704-77 – СТ</w:t>
      </w:r>
      <w:r>
        <w:rPr>
          <w:lang w:val="en-US"/>
        </w:rPr>
        <w:t> </w:t>
      </w:r>
      <w:r>
        <w:t>СЭВ</w:t>
      </w:r>
      <w:r>
        <w:rPr>
          <w:lang w:val="en-US"/>
        </w:rPr>
        <w:t> </w:t>
      </w:r>
      <w:r>
        <w:t>707-77; СТ</w:t>
      </w:r>
      <w:r>
        <w:rPr>
          <w:lang w:val="en-US"/>
        </w:rPr>
        <w:t> </w:t>
      </w:r>
      <w:r>
        <w:t>СЭВ</w:t>
      </w:r>
      <w:r>
        <w:rPr>
          <w:lang w:val="en-US"/>
        </w:rPr>
        <w:t> </w:t>
      </w:r>
      <w:r>
        <w:t>1309-78, ИСО</w:t>
      </w:r>
      <w:r>
        <w:rPr>
          <w:lang w:val="en-US"/>
        </w:rPr>
        <w:t> </w:t>
      </w:r>
      <w:r>
        <w:t>3599-76) Штангенциркули. Технические условия.</w:t>
      </w:r>
    </w:p>
    <w:p>
      <w:pPr>
        <w:tabs>
          <w:tab w:val="left" w:pos="851"/>
        </w:tabs>
        <w:rPr>
          <w:rFonts w:eastAsia="PMingLiU"/>
          <w:lang w:eastAsia="en-US"/>
        </w:rPr>
      </w:pPr>
    </w:p>
    <w:p>
      <w:pPr>
        <w:numPr>
          <w:ilvl w:val="0"/>
          <w:numId w:val="24"/>
        </w:numPr>
        <w:tabs>
          <w:tab w:val="clear" w:pos="363"/>
          <w:tab w:val="num" w:pos="567"/>
          <w:tab w:val="left" w:pos="851"/>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17433-80</w:t>
      </w:r>
      <w:r>
        <w:rPr>
          <w:rFonts w:eastAsia="PMingLiU"/>
          <w:lang w:val="en-US" w:eastAsia="en-US"/>
        </w:rPr>
        <w:t> </w:t>
      </w:r>
      <w:r>
        <w:t xml:space="preserve">(СТ СЭВ 1704-79) </w:t>
      </w:r>
      <w:r>
        <w:rPr>
          <w:rFonts w:eastAsia="PMingLiU"/>
          <w:lang w:eastAsia="en-US"/>
        </w:rPr>
        <w:t>Промышленная чистота. Сжатый воздух. Классы загрязненности.</w:t>
      </w:r>
    </w:p>
    <w:p>
      <w:pPr>
        <w:widowControl w:val="0"/>
        <w:tabs>
          <w:tab w:val="num" w:pos="567"/>
        </w:tabs>
        <w:ind w:left="567" w:hanging="567"/>
        <w:contextualSpacing/>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1759.0-87</w:t>
      </w:r>
      <w:r>
        <w:rPr>
          <w:rFonts w:eastAsia="PMingLiU"/>
          <w:lang w:val="en-US" w:eastAsia="en-US"/>
        </w:rPr>
        <w:t> </w:t>
      </w:r>
      <w:r>
        <w:rPr>
          <w:rFonts w:eastAsia="Times New Roman"/>
        </w:rPr>
        <w:t>(СТ</w:t>
      </w:r>
      <w:r>
        <w:rPr>
          <w:rFonts w:eastAsia="Times New Roman"/>
          <w:lang w:val="en-US"/>
        </w:rPr>
        <w:t> </w:t>
      </w:r>
      <w:r>
        <w:rPr>
          <w:rFonts w:eastAsia="Times New Roman"/>
        </w:rPr>
        <w:t>СЭВ</w:t>
      </w:r>
      <w:r>
        <w:rPr>
          <w:rFonts w:eastAsia="Times New Roman"/>
          <w:lang w:val="en-US"/>
        </w:rPr>
        <w:t> </w:t>
      </w:r>
      <w:r>
        <w:rPr>
          <w:rFonts w:eastAsia="Times New Roman"/>
        </w:rPr>
        <w:t>4203-83)</w:t>
      </w:r>
      <w:r>
        <w:rPr>
          <w:rFonts w:eastAsia="Times New Roman"/>
          <w:lang w:val="en-US"/>
        </w:rPr>
        <w:t> </w:t>
      </w:r>
      <w:r>
        <w:rPr>
          <w:rFonts w:eastAsia="PMingLiU"/>
          <w:lang w:eastAsia="en-US"/>
        </w:rPr>
        <w:t xml:space="preserve">Болты, винты, шпильки и гайки. </w:t>
      </w:r>
      <w:r>
        <w:t>Технические условия.</w:t>
      </w:r>
    </w:p>
    <w:p>
      <w:pPr>
        <w:rPr>
          <w:rFonts w:eastAsia="PMingLiU"/>
        </w:rPr>
      </w:pPr>
    </w:p>
    <w:p>
      <w:pPr>
        <w:numPr>
          <w:ilvl w:val="0"/>
          <w:numId w:val="24"/>
        </w:numPr>
        <w:tabs>
          <w:tab w:val="clear" w:pos="363"/>
          <w:tab w:val="num" w:pos="567"/>
        </w:tabs>
        <w:ind w:left="567" w:hanging="567"/>
      </w:pPr>
      <w:r>
        <w:t>ГОСТ</w:t>
      </w:r>
      <w:r>
        <w:rPr>
          <w:lang w:val="en-US"/>
        </w:rPr>
        <w:t> </w:t>
      </w:r>
      <w:r>
        <w:t>1763-68</w:t>
      </w:r>
      <w:r>
        <w:rPr>
          <w:lang w:val="en-US"/>
        </w:rPr>
        <w:t> </w:t>
      </w:r>
      <w:r>
        <w:t>(СТ</w:t>
      </w:r>
      <w:r>
        <w:rPr>
          <w:lang w:val="en-US"/>
        </w:rPr>
        <w:t> </w:t>
      </w:r>
      <w:r>
        <w:t>СЭВ</w:t>
      </w:r>
      <w:r>
        <w:rPr>
          <w:lang w:val="en-US"/>
        </w:rPr>
        <w:t> </w:t>
      </w:r>
      <w:r>
        <w:t>477-77,</w:t>
      </w:r>
      <w:r>
        <w:rPr>
          <w:lang w:val="en-US"/>
        </w:rPr>
        <w:t> </w:t>
      </w:r>
      <w:r>
        <w:t>ИСО</w:t>
      </w:r>
      <w:r>
        <w:rPr>
          <w:lang w:val="en-US"/>
        </w:rPr>
        <w:t> </w:t>
      </w:r>
      <w:r>
        <w:t>3887-77)</w:t>
      </w:r>
      <w:r>
        <w:rPr>
          <w:lang w:val="en-US"/>
        </w:rPr>
        <w:t> </w:t>
      </w:r>
      <w:r>
        <w:t>Сталь. Методы определения глубины обезуглероженного слоя.</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1778-70</w:t>
      </w:r>
      <w:r>
        <w:rPr>
          <w:rFonts w:eastAsia="PMingLiU"/>
          <w:lang w:val="en-US" w:eastAsia="en-US"/>
        </w:rPr>
        <w:t> </w:t>
      </w:r>
      <w:r>
        <w:rPr>
          <w:rFonts w:eastAsia="PMingLiU"/>
          <w:lang w:eastAsia="en-US"/>
        </w:rPr>
        <w:t>(ИСО</w:t>
      </w:r>
      <w:r>
        <w:rPr>
          <w:rFonts w:eastAsia="PMingLiU"/>
          <w:lang w:val="en-US" w:eastAsia="en-US"/>
        </w:rPr>
        <w:t> </w:t>
      </w:r>
      <w:r>
        <w:rPr>
          <w:rFonts w:eastAsia="PMingLiU"/>
          <w:lang w:eastAsia="en-US"/>
        </w:rPr>
        <w:t>4967-79)</w:t>
      </w:r>
      <w:r>
        <w:rPr>
          <w:rFonts w:eastAsia="PMingLiU"/>
          <w:lang w:val="en-US" w:eastAsia="en-US"/>
        </w:rPr>
        <w:t> </w:t>
      </w:r>
      <w:r>
        <w:rPr>
          <w:rFonts w:eastAsia="PMingLiU"/>
          <w:lang w:eastAsia="en-US"/>
        </w:rPr>
        <w:t xml:space="preserve"> Металлографические методы определения неметаллических включений.</w:t>
      </w:r>
    </w:p>
    <w:p>
      <w:pPr>
        <w:rPr>
          <w:rFonts w:eastAsia="PMingLiU"/>
        </w:rPr>
      </w:pPr>
    </w:p>
    <w:p>
      <w:pPr>
        <w:numPr>
          <w:ilvl w:val="0"/>
          <w:numId w:val="24"/>
        </w:numPr>
        <w:tabs>
          <w:tab w:val="clear" w:pos="363"/>
          <w:tab w:val="num" w:pos="567"/>
          <w:tab w:val="left" w:pos="851"/>
        </w:tabs>
        <w:ind w:left="567" w:hanging="567"/>
        <w:rPr>
          <w:rFonts w:eastAsia="PMingLiU"/>
          <w:lang w:eastAsia="en-US"/>
        </w:rPr>
      </w:pPr>
      <w:r>
        <w:t>ГОСТ</w:t>
      </w:r>
      <w:r>
        <w:rPr>
          <w:lang w:val="en-US"/>
        </w:rPr>
        <w:t> </w:t>
      </w:r>
      <w:r>
        <w:t>18442-80</w:t>
      </w:r>
      <w:r>
        <w:rPr>
          <w:lang w:val="en-US"/>
        </w:rPr>
        <w:t> </w:t>
      </w:r>
      <w:r>
        <w:t>Контроль неразрушающий. Капиллярные методы. Общие требования.</w:t>
      </w:r>
    </w:p>
    <w:p>
      <w:pPr>
        <w:rPr>
          <w:rFonts w:eastAsia="PMingLiU"/>
        </w:rPr>
      </w:pPr>
    </w:p>
    <w:p>
      <w:pPr>
        <w:numPr>
          <w:ilvl w:val="0"/>
          <w:numId w:val="24"/>
        </w:numPr>
        <w:tabs>
          <w:tab w:val="clear" w:pos="363"/>
          <w:tab w:val="num" w:pos="567"/>
        </w:tabs>
        <w:ind w:left="567" w:hanging="567"/>
      </w:pPr>
      <w:r>
        <w:t>ГОСТ</w:t>
      </w:r>
      <w:r>
        <w:rPr>
          <w:lang w:val="en-US"/>
        </w:rPr>
        <w:t> </w:t>
      </w:r>
      <w:r>
        <w:t>18895-97</w:t>
      </w:r>
      <w:r>
        <w:rPr>
          <w:lang w:val="en-US"/>
        </w:rPr>
        <w:t> </w:t>
      </w:r>
      <w:r>
        <w:t>Сталь. Метод фотоэлектрического спектрального анализа.</w:t>
      </w:r>
    </w:p>
    <w:p/>
    <w:p>
      <w:pPr>
        <w:numPr>
          <w:ilvl w:val="0"/>
          <w:numId w:val="24"/>
        </w:numPr>
        <w:tabs>
          <w:tab w:val="clear" w:pos="363"/>
          <w:tab w:val="num" w:pos="567"/>
        </w:tabs>
        <w:ind w:left="567" w:hanging="567"/>
      </w:pPr>
      <w:r>
        <w:t>ГОСТ</w:t>
      </w:r>
      <w:r>
        <w:rPr>
          <w:lang w:val="en-US"/>
        </w:rPr>
        <w:t> </w:t>
      </w:r>
      <w:r>
        <w:t>19300-86</w:t>
      </w:r>
      <w:r>
        <w:rPr>
          <w:lang w:val="en-US"/>
        </w:rPr>
        <w:t> </w:t>
      </w:r>
      <w:r>
        <w:t>Средства измерений шероховатости поверхности профильным методом. Профилографы-профилометры контактные. Типы и основные параметры.</w:t>
      </w:r>
    </w:p>
    <w:p/>
    <w:p>
      <w:pPr>
        <w:numPr>
          <w:ilvl w:val="0"/>
          <w:numId w:val="24"/>
        </w:numPr>
        <w:tabs>
          <w:tab w:val="clear" w:pos="363"/>
          <w:tab w:val="num" w:pos="567"/>
        </w:tabs>
        <w:ind w:left="567" w:hanging="567"/>
        <w:rPr>
          <w:rFonts w:eastAsia="PMingLiU"/>
          <w:lang w:eastAsia="en-US"/>
        </w:rPr>
      </w:pPr>
      <w:r>
        <w:rPr>
          <w:rFonts w:eastAsia="PMingLiU"/>
          <w:lang w:eastAsia="en-US"/>
        </w:rPr>
        <w:t>ГОСТ 20295-85 Трубы стальные сварные для магистральных газонефтепроводов. Технические условия.</w:t>
      </w:r>
    </w:p>
    <w:p>
      <w:pPr>
        <w:rPr>
          <w:rFonts w:eastAsia="PMingLiU"/>
          <w:lang w:val="en-US"/>
        </w:rPr>
      </w:pPr>
    </w:p>
    <w:p>
      <w:pPr>
        <w:numPr>
          <w:ilvl w:val="0"/>
          <w:numId w:val="24"/>
        </w:numPr>
        <w:tabs>
          <w:tab w:val="clear" w:pos="363"/>
          <w:tab w:val="num" w:pos="567"/>
        </w:tabs>
        <w:ind w:left="567" w:hanging="567"/>
        <w:rPr>
          <w:rFonts w:eastAsia="PMingLiU"/>
          <w:lang w:eastAsia="en-US"/>
        </w:rPr>
      </w:pPr>
      <w:r>
        <w:rPr>
          <w:rFonts w:eastAsia="PMingLiU"/>
          <w:lang w:eastAsia="en-US"/>
        </w:rPr>
        <w:t>ГОСТ 20700-75 Болты, шпильки, гайки и шайбы для фланцевых и анкерных соединений, пробки и хомуты с температурой среды от 0 до 650 </w:t>
      </w:r>
      <w:r>
        <w:rPr>
          <w:rFonts w:eastAsia="Times New Roman"/>
        </w:rPr>
        <w:t>°С. Технические условия.</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21.110-2013</w:t>
      </w:r>
      <w:r>
        <w:rPr>
          <w:rFonts w:eastAsia="PMingLiU"/>
          <w:lang w:val="en-US" w:eastAsia="en-US"/>
        </w:rPr>
        <w:t> </w:t>
      </w:r>
      <w:r>
        <w:rPr>
          <w:rFonts w:eastAsia="PMingLiU"/>
          <w:lang w:eastAsia="en-US"/>
        </w:rPr>
        <w:t>Система проектной документации для строительства. Правила выполнения  спецификации оборудования, изделий и материалов.</w:t>
      </w:r>
    </w:p>
    <w:p>
      <w:pPr>
        <w:rPr>
          <w:rFonts w:eastAsia="PMingLiU"/>
        </w:rPr>
      </w:pPr>
    </w:p>
    <w:p>
      <w:pPr>
        <w:numPr>
          <w:ilvl w:val="0"/>
          <w:numId w:val="24"/>
        </w:numPr>
        <w:tabs>
          <w:tab w:val="clear" w:pos="363"/>
          <w:tab w:val="num" w:pos="567"/>
          <w:tab w:val="left" w:pos="851"/>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21345-2005</w:t>
      </w:r>
      <w:r>
        <w:rPr>
          <w:rFonts w:eastAsia="PMingLiU"/>
          <w:lang w:val="en-US" w:eastAsia="en-US"/>
        </w:rPr>
        <w:t> </w:t>
      </w:r>
      <w:r>
        <w:rPr>
          <w:rFonts w:eastAsia="PMingLiU"/>
          <w:lang w:eastAsia="en-US"/>
        </w:rPr>
        <w:t>Краны шаровые, конусные и цилиндрические на номинальное давление не более PN 250. Общие технические условия.</w:t>
      </w:r>
    </w:p>
    <w:p>
      <w:pPr>
        <w:tabs>
          <w:tab w:val="left" w:pos="851"/>
        </w:tabs>
        <w:rPr>
          <w:rFonts w:eastAsia="PMingLiU"/>
          <w:lang w:eastAsia="en-US"/>
        </w:rPr>
      </w:pPr>
    </w:p>
    <w:p>
      <w:pPr>
        <w:numPr>
          <w:ilvl w:val="0"/>
          <w:numId w:val="24"/>
        </w:numPr>
        <w:tabs>
          <w:tab w:val="clear" w:pos="363"/>
          <w:tab w:val="num" w:pos="567"/>
          <w:tab w:val="left" w:pos="851"/>
        </w:tabs>
        <w:ind w:left="567" w:hanging="567"/>
        <w:rPr>
          <w:rFonts w:eastAsia="Times New Roman"/>
        </w:rPr>
      </w:pPr>
      <w:r>
        <w:rPr>
          <w:rFonts w:eastAsia="Times New Roman"/>
        </w:rPr>
        <w:t>ГОСТ</w:t>
      </w:r>
      <w:r>
        <w:rPr>
          <w:rFonts w:eastAsia="Times New Roman"/>
          <w:lang w:val="en-US"/>
        </w:rPr>
        <w:t> </w:t>
      </w:r>
      <w:r>
        <w:rPr>
          <w:rFonts w:eastAsia="Times New Roman"/>
        </w:rPr>
        <w:t>21752-76</w:t>
      </w:r>
      <w:r>
        <w:rPr>
          <w:rFonts w:eastAsia="Times New Roman"/>
          <w:lang w:val="en-US"/>
        </w:rPr>
        <w:t> </w:t>
      </w:r>
      <w:r>
        <w:rPr>
          <w:rFonts w:eastAsia="Times New Roman"/>
        </w:rPr>
        <w:t>Система «Человек-машина». Маховики управления и штурвалы. Общие эргономические требования.</w:t>
      </w:r>
    </w:p>
    <w:p>
      <w:pPr>
        <w:rPr>
          <w:rFonts w:eastAsia="Times New Roman"/>
        </w:rPr>
      </w:pPr>
    </w:p>
    <w:p>
      <w:pPr>
        <w:numPr>
          <w:ilvl w:val="0"/>
          <w:numId w:val="24"/>
        </w:numPr>
        <w:tabs>
          <w:tab w:val="clear" w:pos="363"/>
          <w:tab w:val="num" w:pos="567"/>
        </w:tabs>
        <w:ind w:left="567" w:hanging="567"/>
        <w:rPr>
          <w:rFonts w:eastAsia="Times New Roman"/>
        </w:rPr>
      </w:pPr>
      <w:r>
        <w:rPr>
          <w:rFonts w:eastAsia="Times New Roman"/>
        </w:rPr>
        <w:t>ГОСТ</w:t>
      </w:r>
      <w:r>
        <w:rPr>
          <w:rFonts w:eastAsia="Times New Roman"/>
          <w:lang w:val="en-US"/>
        </w:rPr>
        <w:t> </w:t>
      </w:r>
      <w:r>
        <w:rPr>
          <w:rFonts w:eastAsia="Times New Roman"/>
        </w:rPr>
        <w:t>24054-80</w:t>
      </w:r>
      <w:r>
        <w:rPr>
          <w:rFonts w:eastAsia="Times New Roman"/>
          <w:lang w:val="en-US"/>
        </w:rPr>
        <w:t> </w:t>
      </w:r>
      <w:r>
        <w:rPr>
          <w:rFonts w:eastAsia="Times New Roman"/>
        </w:rPr>
        <w:t>Изделия машиностроения и приборостроения. Методы испытаний на герметичность. Общие требования.</w:t>
      </w:r>
    </w:p>
    <w:p>
      <w:pPr>
        <w:rPr>
          <w:rFonts w:eastAsia="Times New Roman"/>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24643-81</w:t>
      </w:r>
      <w:r>
        <w:rPr>
          <w:rFonts w:eastAsia="PMingLiU"/>
          <w:lang w:val="en-US" w:eastAsia="en-US"/>
        </w:rPr>
        <w:t> </w:t>
      </w:r>
      <w:r>
        <w:rPr>
          <w:rFonts w:eastAsia="PMingLiU"/>
          <w:lang w:eastAsia="en-US"/>
        </w:rPr>
        <w:t>Основные нормы взаимозаменяемости. Допуски формы и расположения поверхностей. Числовые значения.</w:t>
      </w:r>
    </w:p>
    <w:p>
      <w:pPr>
        <w:rPr>
          <w:rFonts w:eastAsia="PMingLiU"/>
          <w:lang w:val="en-US"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24705-2004</w:t>
      </w:r>
      <w:r>
        <w:rPr>
          <w:rFonts w:eastAsia="PMingLiU"/>
          <w:lang w:val="en-US" w:eastAsia="en-US"/>
        </w:rPr>
        <w:t> </w:t>
      </w:r>
      <w:r>
        <w:t xml:space="preserve">(ИСО 724:1993) </w:t>
      </w:r>
      <w:r>
        <w:rPr>
          <w:rFonts w:eastAsia="PMingLiU"/>
          <w:lang w:eastAsia="en-US"/>
        </w:rPr>
        <w:t>Основные нормы взаимозаменяемости. Резьба метрическая. Основные размеры.</w:t>
      </w:r>
    </w:p>
    <w:p>
      <w:pPr>
        <w:tabs>
          <w:tab w:val="num" w:pos="567"/>
        </w:tabs>
        <w:ind w:left="567" w:hanging="567"/>
        <w:rPr>
          <w:rFonts w:eastAsia="PMingLiU"/>
          <w:lang w:val="en-US"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24856-2014</w:t>
      </w:r>
      <w:r>
        <w:rPr>
          <w:rFonts w:eastAsia="PMingLiU"/>
          <w:lang w:val="en-US" w:eastAsia="en-US"/>
        </w:rPr>
        <w:t> </w:t>
      </w:r>
      <w:r>
        <w:rPr>
          <w:rFonts w:eastAsia="PMingLiU"/>
          <w:lang w:eastAsia="en-US"/>
        </w:rPr>
        <w:t>Арматура трубопроводная. Термины и определения.</w:t>
      </w:r>
    </w:p>
    <w:p>
      <w:pPr>
        <w:numPr>
          <w:ilvl w:val="0"/>
          <w:numId w:val="24"/>
        </w:numPr>
        <w:tabs>
          <w:tab w:val="clear" w:pos="363"/>
          <w:tab w:val="num" w:pos="567"/>
        </w:tabs>
        <w:ind w:left="567" w:hanging="567"/>
        <w:rPr>
          <w:rFonts w:eastAsia="PMingLiU"/>
          <w:lang w:eastAsia="en-US"/>
        </w:rPr>
      </w:pPr>
      <w:r>
        <w:rPr>
          <w:rFonts w:eastAsia="PMingLiU"/>
          <w:lang w:eastAsia="en-US"/>
        </w:rPr>
        <w:lastRenderedPageBreak/>
        <w:t>ГОСТ</w:t>
      </w:r>
      <w:r>
        <w:rPr>
          <w:rFonts w:eastAsia="PMingLiU"/>
          <w:lang w:val="en-US" w:eastAsia="en-US"/>
        </w:rPr>
        <w:t> </w:t>
      </w:r>
      <w:r>
        <w:rPr>
          <w:rFonts w:eastAsia="PMingLiU"/>
          <w:lang w:eastAsia="en-US"/>
        </w:rPr>
        <w:t>2.601-2013</w:t>
      </w:r>
      <w:r>
        <w:rPr>
          <w:rFonts w:eastAsia="PMingLiU"/>
          <w:lang w:val="en-US" w:eastAsia="en-US"/>
        </w:rPr>
        <w:t> </w:t>
      </w:r>
      <w:r>
        <w:rPr>
          <w:rFonts w:eastAsia="PMingLiU"/>
          <w:lang w:eastAsia="en-US"/>
        </w:rPr>
        <w:t xml:space="preserve">Единая система конструкторской документации. </w:t>
      </w:r>
      <w:r>
        <w:t>Эксплуатационные документы.</w:t>
      </w:r>
    </w:p>
    <w:p>
      <w:pPr>
        <w:rPr>
          <w:rFonts w:eastAsia="PMingLiU"/>
        </w:rPr>
      </w:pPr>
    </w:p>
    <w:p>
      <w:pPr>
        <w:numPr>
          <w:ilvl w:val="0"/>
          <w:numId w:val="24"/>
        </w:numPr>
        <w:tabs>
          <w:tab w:val="clear" w:pos="363"/>
          <w:tab w:val="num" w:pos="567"/>
        </w:tabs>
        <w:ind w:left="567" w:hanging="567"/>
        <w:rPr>
          <w:rFonts w:eastAsia="PMingLiU"/>
          <w:lang w:eastAsia="en-US"/>
        </w:rPr>
      </w:pPr>
      <w:r>
        <w:t>ГОСТ</w:t>
      </w:r>
      <w:r>
        <w:rPr>
          <w:rFonts w:eastAsia="PMingLiU"/>
          <w:lang w:val="en-US" w:eastAsia="en-US"/>
        </w:rPr>
        <w:t> </w:t>
      </w:r>
      <w:r>
        <w:t>263-75</w:t>
      </w:r>
      <w:r>
        <w:rPr>
          <w:rFonts w:eastAsia="PMingLiU"/>
          <w:lang w:val="en-US" w:eastAsia="en-US"/>
        </w:rPr>
        <w:t> </w:t>
      </w:r>
      <w:r>
        <w:t xml:space="preserve"> (СТ</w:t>
      </w:r>
      <w:r>
        <w:rPr>
          <w:rFonts w:eastAsia="PMingLiU"/>
          <w:lang w:val="en-US" w:eastAsia="en-US"/>
        </w:rPr>
        <w:t> </w:t>
      </w:r>
      <w:r>
        <w:t>СЭВ</w:t>
      </w:r>
      <w:r>
        <w:rPr>
          <w:rFonts w:eastAsia="PMingLiU"/>
          <w:lang w:val="en-US" w:eastAsia="en-US"/>
        </w:rPr>
        <w:t> </w:t>
      </w:r>
      <w:r>
        <w:t>1198-78)</w:t>
      </w:r>
      <w:r>
        <w:rPr>
          <w:rFonts w:eastAsia="PMingLiU"/>
          <w:lang w:eastAsia="en-US"/>
        </w:rPr>
        <w:t xml:space="preserve"> </w:t>
      </w:r>
      <w:r>
        <w:rPr>
          <w:rFonts w:eastAsia="PMingLiU"/>
          <w:lang w:val="en-US" w:eastAsia="en-US"/>
        </w:rPr>
        <w:t> </w:t>
      </w:r>
      <w:r>
        <w:t>Резина. Метод определения твердости по Шору А.</w:t>
      </w:r>
    </w:p>
    <w:p>
      <w:pPr>
        <w:rPr>
          <w:rFonts w:eastAsia="PMingLiU"/>
        </w:rPr>
      </w:pPr>
    </w:p>
    <w:p>
      <w:pPr>
        <w:numPr>
          <w:ilvl w:val="0"/>
          <w:numId w:val="24"/>
        </w:numPr>
        <w:tabs>
          <w:tab w:val="clear" w:pos="363"/>
          <w:tab w:val="num" w:pos="567"/>
        </w:tabs>
        <w:ind w:left="567" w:hanging="567"/>
      </w:pPr>
      <w:r>
        <w:t>ГОСТ 2768-84  Ацетон технический. Технические условия.</w:t>
      </w:r>
    </w:p>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2789-73</w:t>
      </w:r>
      <w:r>
        <w:rPr>
          <w:rFonts w:eastAsia="PMingLiU"/>
          <w:lang w:val="en-US" w:eastAsia="en-US"/>
        </w:rPr>
        <w:t> </w:t>
      </w:r>
      <w:r>
        <w:rPr>
          <w:rFonts w:eastAsia="PMingLiU"/>
          <w:lang w:eastAsia="en-US"/>
        </w:rPr>
        <w:t>Шероховатость поверхности. Параметры и характеристики.</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28343-89</w:t>
      </w:r>
      <w:r>
        <w:rPr>
          <w:rFonts w:eastAsia="PMingLiU"/>
          <w:lang w:val="en-US" w:eastAsia="en-US"/>
        </w:rPr>
        <w:t> </w:t>
      </w:r>
      <w:r>
        <w:rPr>
          <w:rFonts w:eastAsia="PMingLiU"/>
          <w:lang w:eastAsia="en-US"/>
        </w:rPr>
        <w:t xml:space="preserve"> </w:t>
      </w:r>
      <w:r>
        <w:t xml:space="preserve">(ИСО 7121-86) </w:t>
      </w:r>
      <w:r>
        <w:rPr>
          <w:rFonts w:eastAsia="PMingLiU"/>
          <w:lang w:eastAsia="en-US"/>
        </w:rPr>
        <w:t>Краны шаровые стальные фланцевые. Технические требования.</w:t>
      </w:r>
    </w:p>
    <w:p>
      <w:pPr>
        <w:rPr>
          <w:rFonts w:eastAsia="PMingLiU"/>
        </w:rPr>
      </w:pPr>
    </w:p>
    <w:p>
      <w:pPr>
        <w:numPr>
          <w:ilvl w:val="0"/>
          <w:numId w:val="24"/>
        </w:numPr>
        <w:tabs>
          <w:tab w:val="clear" w:pos="363"/>
          <w:tab w:val="num" w:pos="567"/>
        </w:tabs>
        <w:ind w:left="567" w:hanging="567"/>
        <w:rPr>
          <w:rFonts w:eastAsia="PMingLiU"/>
          <w:lang w:eastAsia="en-US"/>
        </w:rPr>
      </w:pPr>
      <w:r>
        <w:t>ГОСТ</w:t>
      </w:r>
      <w:r>
        <w:rPr>
          <w:rFonts w:eastAsia="PMingLiU"/>
          <w:lang w:val="en-US" w:eastAsia="en-US"/>
        </w:rPr>
        <w:t> </w:t>
      </w:r>
      <w:r>
        <w:t>28498-90</w:t>
      </w:r>
      <w:r>
        <w:rPr>
          <w:rFonts w:eastAsia="PMingLiU"/>
          <w:lang w:val="en-US" w:eastAsia="en-US"/>
        </w:rPr>
        <w:t> </w:t>
      </w:r>
      <w:r>
        <w:t>Термометры жидкостные стеклянные. Общие технические требования. Методы испытаний.</w:t>
      </w:r>
    </w:p>
    <w:p>
      <w:pPr>
        <w:rPr>
          <w:rFonts w:eastAsia="PMingLiU"/>
          <w:lang w:val="en-US"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w:t>
      </w:r>
      <w:r>
        <w:rPr>
          <w:rFonts w:eastAsia="PMingLiU"/>
          <w:lang w:val="en-US" w:eastAsia="en-US"/>
        </w:rPr>
        <w:t> </w:t>
      </w:r>
      <w:r>
        <w:rPr>
          <w:rFonts w:eastAsia="PMingLiU"/>
          <w:lang w:eastAsia="en-US"/>
        </w:rPr>
        <w:t>28908-91</w:t>
      </w:r>
      <w:r>
        <w:rPr>
          <w:rFonts w:eastAsia="PMingLiU"/>
          <w:lang w:val="en-US" w:eastAsia="en-US"/>
        </w:rPr>
        <w:t> </w:t>
      </w:r>
      <w:r>
        <w:rPr>
          <w:rFonts w:eastAsia="PMingLiU"/>
          <w:lang w:eastAsia="en-US"/>
        </w:rPr>
        <w:t>Краны шаровые и затворы дисковые. Строительные длины.</w:t>
      </w:r>
    </w:p>
    <w:p>
      <w:pPr>
        <w:rPr>
          <w:rFonts w:eastAsia="PMingLiU"/>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28919-91</w:t>
      </w:r>
      <w:r>
        <w:rPr>
          <w:rFonts w:eastAsia="PMingLiU"/>
          <w:lang w:val="en-US" w:eastAsia="en-US"/>
        </w:rPr>
        <w:t> </w:t>
      </w:r>
      <w:r>
        <w:rPr>
          <w:rFonts w:eastAsia="PMingLiU"/>
          <w:lang w:eastAsia="en-US"/>
        </w:rPr>
        <w:t>Фланцевые соединения устьевого оборудования. Типы основные параметры и размеры.</w:t>
      </w:r>
    </w:p>
    <w:p>
      <w:pPr>
        <w:rPr>
          <w:rFonts w:eastAsia="PMingLiU"/>
        </w:rPr>
      </w:pPr>
    </w:p>
    <w:p>
      <w:pPr>
        <w:numPr>
          <w:ilvl w:val="0"/>
          <w:numId w:val="24"/>
        </w:numPr>
        <w:tabs>
          <w:tab w:val="clear" w:pos="363"/>
          <w:tab w:val="num" w:pos="567"/>
        </w:tabs>
        <w:ind w:left="567" w:hanging="567"/>
        <w:contextualSpacing/>
        <w:rPr>
          <w:rFonts w:eastAsia="PMingLiU"/>
          <w:lang w:eastAsia="en-US"/>
        </w:rPr>
      </w:pPr>
      <w:r>
        <w:t>ГОСТ</w:t>
      </w:r>
      <w:r>
        <w:rPr>
          <w:rFonts w:eastAsia="PMingLiU"/>
          <w:lang w:val="en-US" w:eastAsia="en-US"/>
        </w:rPr>
        <w:t> </w:t>
      </w:r>
      <w:r>
        <w:t>2999-75</w:t>
      </w:r>
      <w:r>
        <w:rPr>
          <w:rFonts w:eastAsia="PMingLiU"/>
          <w:lang w:val="en-US" w:eastAsia="en-US"/>
        </w:rPr>
        <w:t> </w:t>
      </w:r>
      <w:r>
        <w:t>(СТ</w:t>
      </w:r>
      <w:r>
        <w:rPr>
          <w:rFonts w:eastAsia="PMingLiU"/>
          <w:lang w:val="en-US" w:eastAsia="en-US"/>
        </w:rPr>
        <w:t> </w:t>
      </w:r>
      <w:r>
        <w:t>СЭВ</w:t>
      </w:r>
      <w:r>
        <w:rPr>
          <w:rFonts w:eastAsia="PMingLiU"/>
          <w:lang w:val="en-US" w:eastAsia="en-US"/>
        </w:rPr>
        <w:t> </w:t>
      </w:r>
      <w:r>
        <w:t>470-77)</w:t>
      </w:r>
      <w:r>
        <w:rPr>
          <w:rFonts w:eastAsia="PMingLiU"/>
          <w:lang w:eastAsia="en-US"/>
        </w:rPr>
        <w:t xml:space="preserve"> </w:t>
      </w:r>
      <w:r>
        <w:rPr>
          <w:rFonts w:eastAsia="PMingLiU"/>
          <w:lang w:val="en-US" w:eastAsia="en-US"/>
        </w:rPr>
        <w:t> </w:t>
      </w:r>
      <w:r>
        <w:t>Металлы и сплавы. Метод измерения твердости по Виккерсу.</w:t>
      </w:r>
    </w:p>
    <w:p>
      <w:pPr>
        <w:rPr>
          <w:rFonts w:eastAsia="PMingLiU"/>
        </w:rPr>
      </w:pPr>
    </w:p>
    <w:p>
      <w:pPr>
        <w:numPr>
          <w:ilvl w:val="0"/>
          <w:numId w:val="24"/>
        </w:numPr>
        <w:tabs>
          <w:tab w:val="clear" w:pos="363"/>
          <w:tab w:val="num" w:pos="567"/>
        </w:tabs>
        <w:ind w:left="567" w:hanging="567"/>
        <w:contextualSpacing/>
        <w:rPr>
          <w:rFonts w:eastAsia="PMingLiU"/>
          <w:lang w:eastAsia="en-US"/>
        </w:rPr>
      </w:pPr>
      <w:hyperlink r:id="rId50" w:history="1">
        <w:r>
          <w:rPr>
            <w:rFonts w:eastAsia="PMingLiU"/>
            <w:lang w:eastAsia="en-US"/>
          </w:rPr>
          <w:t>ГОСТ</w:t>
        </w:r>
        <w:r>
          <w:rPr>
            <w:rFonts w:eastAsia="PMingLiU"/>
            <w:lang w:val="en-US" w:eastAsia="en-US"/>
          </w:rPr>
          <w:t> </w:t>
        </w:r>
        <w:r>
          <w:rPr>
            <w:rFonts w:eastAsia="PMingLiU"/>
            <w:lang w:eastAsia="en-US"/>
          </w:rPr>
          <w:t>30546.1-98</w:t>
        </w:r>
      </w:hyperlink>
      <w:r>
        <w:rPr>
          <w:rFonts w:eastAsia="PMingLiU"/>
          <w:lang w:val="en-US" w:eastAsia="en-US"/>
        </w:rPr>
        <w:t> </w:t>
      </w:r>
      <w:r>
        <w:rPr>
          <w:rFonts w:eastAsia="PMingLiU"/>
          <w:lang w:eastAsia="en-US"/>
        </w:rPr>
        <w:t>Общие требования к машинам, приборам и другим техническим изделиям и методы расчета их сложных конструкций в части сейсмостойкости.</w:t>
      </w:r>
    </w:p>
    <w:p>
      <w:pPr>
        <w:widowControl w:val="0"/>
        <w:tabs>
          <w:tab w:val="num" w:pos="567"/>
        </w:tabs>
        <w:ind w:left="567" w:hanging="567"/>
        <w:contextualSpacing/>
        <w:rPr>
          <w:rFonts w:eastAsia="Calibri"/>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30852.0-2002</w:t>
      </w:r>
      <w:r>
        <w:rPr>
          <w:rFonts w:eastAsia="PMingLiU"/>
          <w:lang w:val="en-US" w:eastAsia="en-US"/>
        </w:rPr>
        <w:t> </w:t>
      </w:r>
      <w:r>
        <w:rPr>
          <w:rFonts w:eastAsia="PMingLiU"/>
          <w:lang w:eastAsia="en-US"/>
        </w:rPr>
        <w:t xml:space="preserve"> (МЭК 60079-0:1998) </w:t>
      </w:r>
      <w:r>
        <w:rPr>
          <w:rFonts w:eastAsia="PMingLiU"/>
          <w:lang w:val="en-US" w:eastAsia="en-US"/>
        </w:rPr>
        <w:t> </w:t>
      </w:r>
      <w:r>
        <w:rPr>
          <w:rFonts w:eastAsia="PMingLiU"/>
          <w:lang w:eastAsia="en-US"/>
        </w:rPr>
        <w:t>Электрооборудование взрывозащищенное. Часть 0. Общие требования.</w:t>
      </w:r>
    </w:p>
    <w:p>
      <w:pPr>
        <w:rPr>
          <w:rFonts w:eastAsia="PMingLiU"/>
          <w:lang w:val="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30852.5-2002</w:t>
      </w:r>
      <w:r>
        <w:rPr>
          <w:rFonts w:eastAsia="PMingLiU"/>
          <w:lang w:val="en-US" w:eastAsia="en-US"/>
        </w:rPr>
        <w:t> </w:t>
      </w:r>
      <w:r>
        <w:rPr>
          <w:rFonts w:eastAsia="PMingLiU"/>
          <w:lang w:eastAsia="en-US"/>
        </w:rPr>
        <w:t xml:space="preserve"> (МЭК</w:t>
      </w:r>
      <w:r>
        <w:rPr>
          <w:rFonts w:eastAsia="PMingLiU"/>
          <w:lang w:val="en-US" w:eastAsia="en-US"/>
        </w:rPr>
        <w:t> </w:t>
      </w:r>
      <w:r>
        <w:rPr>
          <w:rFonts w:eastAsia="PMingLiU"/>
          <w:lang w:eastAsia="en-US"/>
        </w:rPr>
        <w:t>60079-4:1975)</w:t>
      </w:r>
      <w:r>
        <w:rPr>
          <w:rFonts w:eastAsia="PMingLiU"/>
          <w:lang w:val="en-US" w:eastAsia="en-US"/>
        </w:rPr>
        <w:t> </w:t>
      </w:r>
      <w:r>
        <w:rPr>
          <w:rFonts w:eastAsia="PMingLiU"/>
          <w:lang w:eastAsia="en-US"/>
        </w:rPr>
        <w:t>Электрооборудование взрывозащищенное. Часть 4. Метод определения температуры самовоспламенения.</w:t>
      </w:r>
    </w:p>
    <w:p>
      <w:pPr>
        <w:widowControl w:val="0"/>
        <w:tabs>
          <w:tab w:val="num" w:pos="567"/>
        </w:tabs>
        <w:ind w:left="567" w:hanging="567"/>
        <w:contextualSpacing/>
        <w:rPr>
          <w:rFonts w:eastAsia="Calibri"/>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30852.9-2002</w:t>
      </w:r>
      <w:r>
        <w:rPr>
          <w:rFonts w:eastAsia="PMingLiU"/>
          <w:lang w:val="en-US" w:eastAsia="en-US"/>
        </w:rPr>
        <w:t> </w:t>
      </w:r>
      <w:r>
        <w:rPr>
          <w:rFonts w:eastAsia="PMingLiU"/>
          <w:lang w:eastAsia="en-US"/>
        </w:rPr>
        <w:t>(МЭК</w:t>
      </w:r>
      <w:r>
        <w:rPr>
          <w:rFonts w:eastAsia="PMingLiU"/>
          <w:lang w:val="en-US" w:eastAsia="en-US"/>
        </w:rPr>
        <w:t> </w:t>
      </w:r>
      <w:r>
        <w:rPr>
          <w:rFonts w:eastAsia="PMingLiU"/>
          <w:lang w:eastAsia="en-US"/>
        </w:rPr>
        <w:t>60079-10:1995)</w:t>
      </w:r>
      <w:r>
        <w:rPr>
          <w:rFonts w:eastAsia="PMingLiU"/>
          <w:lang w:val="en-US" w:eastAsia="en-US"/>
        </w:rPr>
        <w:t> </w:t>
      </w:r>
      <w:r>
        <w:rPr>
          <w:rFonts w:eastAsia="PMingLiU"/>
          <w:lang w:eastAsia="en-US"/>
        </w:rPr>
        <w:t>Электрооборудование взрывозащищенное. Часть 10. Классификация взрывоопасных зон.</w:t>
      </w:r>
    </w:p>
    <w:p>
      <w:pPr>
        <w:tabs>
          <w:tab w:val="num" w:pos="567"/>
        </w:tabs>
        <w:contextualSpacing/>
        <w:rPr>
          <w:rFonts w:eastAsia="PMingLiU"/>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30852.11-2002</w:t>
      </w:r>
      <w:r>
        <w:rPr>
          <w:rFonts w:eastAsia="PMingLiU"/>
          <w:lang w:val="en-US" w:eastAsia="en-US"/>
        </w:rPr>
        <w:t> </w:t>
      </w:r>
      <w:r>
        <w:rPr>
          <w:rFonts w:eastAsia="PMingLiU"/>
          <w:lang w:eastAsia="en-US"/>
        </w:rPr>
        <w:t>(МЭК 60079-12:1978)</w:t>
      </w:r>
      <w:r>
        <w:rPr>
          <w:rFonts w:eastAsia="PMingLiU"/>
          <w:lang w:val="en-US" w:eastAsia="en-US"/>
        </w:rPr>
        <w:t> </w:t>
      </w:r>
      <w:r>
        <w:rPr>
          <w:rFonts w:eastAsia="PMingLiU"/>
          <w:lang w:eastAsia="en-US"/>
        </w:rPr>
        <w:t>Электрооборудование взрывозащищенное. Часть 12. Классификация смесей газов и паров с воздухом по безопасным экспериментальным максимальным зазорам и минимальным воспламеняющим токам.</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30893.1-2002</w:t>
      </w:r>
      <w:r>
        <w:rPr>
          <w:rFonts w:eastAsia="PMingLiU"/>
          <w:lang w:val="en-US" w:eastAsia="en-US"/>
        </w:rPr>
        <w:t> </w:t>
      </w:r>
      <w:r>
        <w:t xml:space="preserve">(ИСО 2768-1-89) </w:t>
      </w:r>
      <w:r>
        <w:rPr>
          <w:rFonts w:eastAsia="PMingLiU"/>
          <w:lang w:eastAsia="en-US"/>
        </w:rPr>
        <w:t>Основные нормы взаимозаменяемости. Общие допуски. Предельные отклонения линейных и угловых размеров с неуказанными допусками.</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30893.2-2002</w:t>
      </w:r>
      <w:r>
        <w:rPr>
          <w:rFonts w:eastAsia="PMingLiU"/>
          <w:lang w:val="en-US" w:eastAsia="en-US"/>
        </w:rPr>
        <w:t> </w:t>
      </w:r>
      <w:r>
        <w:t xml:space="preserve">(ИСО 2768-2-89) </w:t>
      </w:r>
      <w:r>
        <w:rPr>
          <w:rFonts w:eastAsia="PMingLiU"/>
          <w:lang w:eastAsia="en-US"/>
        </w:rPr>
        <w:t>Основные нормы взаимозаменяемости. Общие допуски. Допуски формы и расположения поверхностей, не указанные индивидуально.</w:t>
      </w:r>
    </w:p>
    <w:p>
      <w:pPr>
        <w:rPr>
          <w:rFonts w:eastAsia="PMingLiU"/>
        </w:rPr>
      </w:pPr>
    </w:p>
    <w:p>
      <w:pPr>
        <w:numPr>
          <w:ilvl w:val="0"/>
          <w:numId w:val="24"/>
        </w:numPr>
        <w:tabs>
          <w:tab w:val="clear" w:pos="363"/>
          <w:tab w:val="num" w:pos="567"/>
        </w:tabs>
        <w:ind w:left="567" w:hanging="567"/>
        <w:contextualSpacing/>
        <w:rPr>
          <w:rFonts w:eastAsia="PMingLiU"/>
          <w:lang w:eastAsia="en-US"/>
        </w:rPr>
      </w:pPr>
      <w:r>
        <w:t>ГОСТ</w:t>
      </w:r>
      <w:r>
        <w:rPr>
          <w:rFonts w:eastAsia="PMingLiU"/>
          <w:lang w:val="en-US" w:eastAsia="en-US"/>
        </w:rPr>
        <w:t> </w:t>
      </w:r>
      <w:r>
        <w:t>31445-2012</w:t>
      </w:r>
      <w:r>
        <w:rPr>
          <w:rFonts w:eastAsia="PMingLiU"/>
          <w:lang w:val="en-US" w:eastAsia="en-US"/>
        </w:rPr>
        <w:t> </w:t>
      </w:r>
      <w:r>
        <w:t>Трубы стальные и чугунные с защитными покрытиями. Технические требования.</w:t>
      </w:r>
    </w:p>
    <w:p>
      <w:pPr>
        <w:contextualSpacing/>
        <w:rPr>
          <w:rFonts w:eastAsia="PMingLiU"/>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31592-2012</w:t>
      </w:r>
      <w:r>
        <w:rPr>
          <w:rFonts w:eastAsia="PMingLiU"/>
          <w:lang w:val="en-US" w:eastAsia="en-US"/>
        </w:rPr>
        <w:t> </w:t>
      </w:r>
      <w:r>
        <w:rPr>
          <w:rFonts w:eastAsia="PMingLiU"/>
          <w:lang w:eastAsia="en-US"/>
        </w:rPr>
        <w:t>Редукторы общемашиностроительного применения. Общие технические условия.</w:t>
      </w:r>
    </w:p>
    <w:p>
      <w:pPr>
        <w:numPr>
          <w:ilvl w:val="0"/>
          <w:numId w:val="24"/>
        </w:numPr>
        <w:tabs>
          <w:tab w:val="clear" w:pos="363"/>
          <w:tab w:val="num" w:pos="567"/>
        </w:tabs>
        <w:ind w:left="567" w:hanging="567"/>
        <w:contextualSpacing/>
        <w:rPr>
          <w:rFonts w:eastAsia="PMingLiU"/>
          <w:lang w:eastAsia="en-US"/>
        </w:rPr>
      </w:pPr>
      <w:r>
        <w:rPr>
          <w:rFonts w:eastAsia="PMingLiU"/>
          <w:lang w:eastAsia="en-US"/>
        </w:rPr>
        <w:lastRenderedPageBreak/>
        <w:t>ГОСТ</w:t>
      </w:r>
      <w:r>
        <w:rPr>
          <w:rFonts w:eastAsia="PMingLiU"/>
          <w:lang w:val="en-US" w:eastAsia="en-US"/>
        </w:rPr>
        <w:t> </w:t>
      </w:r>
      <w:r>
        <w:rPr>
          <w:rFonts w:eastAsia="PMingLiU"/>
          <w:lang w:eastAsia="en-US"/>
        </w:rPr>
        <w:t>31901-2013</w:t>
      </w:r>
      <w:r>
        <w:rPr>
          <w:rFonts w:eastAsia="PMingLiU"/>
          <w:lang w:val="en-US" w:eastAsia="en-US"/>
        </w:rPr>
        <w:t> </w:t>
      </w:r>
      <w:r>
        <w:rPr>
          <w:rFonts w:eastAsia="PMingLiU"/>
          <w:lang w:eastAsia="en-US"/>
        </w:rPr>
        <w:t>Арматура трубопроводная для атомных станций. Общие технические условия.</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32569-2013</w:t>
      </w:r>
      <w:r>
        <w:rPr>
          <w:rFonts w:eastAsia="PMingLiU"/>
          <w:lang w:val="en-US" w:eastAsia="en-US"/>
        </w:rPr>
        <w:t> </w:t>
      </w:r>
      <w:r>
        <w:rPr>
          <w:rFonts w:eastAsia="PMingLiU"/>
          <w:lang w:eastAsia="en-US"/>
        </w:rPr>
        <w:t>Трубопроводы технологические стальные. Требования к устройству и эксплуатации на взрывопожароопасных и химически опасных производствах.</w:t>
      </w:r>
    </w:p>
    <w:p>
      <w:pPr>
        <w:rPr>
          <w:rFonts w:eastAsia="PMingLiU"/>
          <w:lang w:eastAsia="en-US"/>
        </w:rPr>
      </w:pPr>
    </w:p>
    <w:p>
      <w:pPr>
        <w:numPr>
          <w:ilvl w:val="0"/>
          <w:numId w:val="24"/>
        </w:numPr>
        <w:tabs>
          <w:tab w:val="clear" w:pos="363"/>
          <w:tab w:val="num" w:pos="567"/>
        </w:tabs>
        <w:ind w:left="567" w:hanging="567"/>
        <w:rPr>
          <w:rFonts w:eastAsia="Times New Roman"/>
        </w:rPr>
      </w:pPr>
      <w:r>
        <w:rPr>
          <w:rFonts w:eastAsia="PMingLiU"/>
          <w:color w:val="000000"/>
          <w:lang w:eastAsia="en-US"/>
        </w:rPr>
        <w:t>ГОСТ </w:t>
      </w:r>
      <w:r>
        <w:rPr>
          <w:bCs/>
        </w:rPr>
        <w:t>33257-2015</w:t>
      </w:r>
      <w:r>
        <w:rPr>
          <w:rFonts w:eastAsia="PMingLiU"/>
          <w:color w:val="000000"/>
          <w:lang w:eastAsia="en-US"/>
        </w:rPr>
        <w:t> Арматура трубопроводная. Методы контроля и испытаний.</w:t>
      </w:r>
    </w:p>
    <w:p>
      <w:pPr>
        <w:contextualSpacing/>
        <w:rPr>
          <w:rFonts w:eastAsia="PMingLiU"/>
          <w:lang w:eastAsia="en-US"/>
        </w:rPr>
      </w:pPr>
    </w:p>
    <w:p>
      <w:pPr>
        <w:numPr>
          <w:ilvl w:val="0"/>
          <w:numId w:val="24"/>
        </w:numPr>
        <w:tabs>
          <w:tab w:val="clear" w:pos="363"/>
          <w:tab w:val="num" w:pos="567"/>
        </w:tabs>
        <w:ind w:left="567" w:hanging="567"/>
        <w:contextualSpacing/>
        <w:rPr>
          <w:rFonts w:eastAsia="Times New Roman"/>
        </w:rPr>
      </w:pPr>
      <w:r>
        <w:rPr>
          <w:rFonts w:eastAsia="Times New Roman"/>
        </w:rPr>
        <w:t>ГОСТ</w:t>
      </w:r>
      <w:r>
        <w:rPr>
          <w:rFonts w:eastAsia="PMingLiU"/>
          <w:lang w:val="en-US" w:eastAsia="en-US"/>
        </w:rPr>
        <w:t> </w:t>
      </w:r>
      <w:r>
        <w:rPr>
          <w:rFonts w:eastAsia="Times New Roman"/>
        </w:rPr>
        <w:t>33259-2015</w:t>
      </w:r>
      <w:r>
        <w:rPr>
          <w:rFonts w:eastAsia="PMingLiU"/>
          <w:lang w:val="en-US" w:eastAsia="en-US"/>
        </w:rPr>
        <w:t> </w:t>
      </w:r>
      <w:r>
        <w:rPr>
          <w:rFonts w:eastAsia="Times New Roman"/>
        </w:rPr>
        <w:t xml:space="preserve">Фланцы арматуры, соединительных частей и трубопроводов на номинальное давление от </w:t>
      </w:r>
      <w:r>
        <w:rPr>
          <w:rFonts w:eastAsia="Times New Roman"/>
          <w:lang w:val="en-US"/>
        </w:rPr>
        <w:t>PN</w:t>
      </w:r>
      <w:r>
        <w:rPr>
          <w:rFonts w:eastAsia="Times New Roman"/>
        </w:rPr>
        <w:t xml:space="preserve"> 1 до </w:t>
      </w:r>
      <w:r>
        <w:rPr>
          <w:rFonts w:eastAsia="Times New Roman"/>
          <w:lang w:val="en-US"/>
        </w:rPr>
        <w:t>PN</w:t>
      </w:r>
      <w:r>
        <w:rPr>
          <w:rFonts w:eastAsia="Times New Roman"/>
        </w:rPr>
        <w:t> 250. Конструкция, размеры и общие технические требования.</w:t>
      </w:r>
    </w:p>
    <w:p>
      <w:pPr>
        <w:rPr>
          <w:rFonts w:eastAsia="Times New Roman"/>
        </w:rPr>
      </w:pPr>
    </w:p>
    <w:p>
      <w:pPr>
        <w:numPr>
          <w:ilvl w:val="0"/>
          <w:numId w:val="24"/>
        </w:numPr>
        <w:tabs>
          <w:tab w:val="clear" w:pos="363"/>
          <w:tab w:val="num" w:pos="567"/>
        </w:tabs>
        <w:ind w:left="567" w:hanging="567"/>
        <w:contextualSpacing/>
        <w:rPr>
          <w:rFonts w:eastAsia="Times New Roman"/>
        </w:rPr>
      </w:pPr>
      <w:r>
        <w:t>ГОСТ</w:t>
      </w:r>
      <w:r>
        <w:rPr>
          <w:rFonts w:eastAsia="PMingLiU"/>
          <w:lang w:val="en-US" w:eastAsia="en-US"/>
        </w:rPr>
        <w:t> </w:t>
      </w:r>
      <w:r>
        <w:t>33260-2015</w:t>
      </w:r>
      <w:r>
        <w:rPr>
          <w:rFonts w:eastAsia="PMingLiU"/>
          <w:lang w:val="en-US" w:eastAsia="en-US"/>
        </w:rPr>
        <w:t> </w:t>
      </w:r>
      <w:r>
        <w:t>Арматура трубопроводная. Металлы, применяемые в арматуростроении. Основные требования к выбору материалов.</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356-80</w:t>
      </w:r>
      <w:r>
        <w:rPr>
          <w:rFonts w:eastAsia="PMingLiU"/>
          <w:lang w:val="en-US" w:eastAsia="en-US"/>
        </w:rPr>
        <w:t> </w:t>
      </w:r>
      <w:r>
        <w:t xml:space="preserve">(СТ СЭВ 253-76) </w:t>
      </w:r>
      <w:r>
        <w:rPr>
          <w:rFonts w:eastAsia="PMingLiU"/>
          <w:lang w:eastAsia="en-US"/>
        </w:rPr>
        <w:t>Арматура и детали трубопроводов. Давления номинальные, пробные и рабочие. Ряды.</w:t>
      </w:r>
    </w:p>
    <w:p>
      <w:pPr>
        <w:rPr>
          <w:rFonts w:eastAsia="PMingLiU"/>
        </w:rPr>
      </w:pPr>
    </w:p>
    <w:p>
      <w:pPr>
        <w:numPr>
          <w:ilvl w:val="0"/>
          <w:numId w:val="24"/>
        </w:numPr>
        <w:tabs>
          <w:tab w:val="clear" w:pos="363"/>
          <w:tab w:val="num" w:pos="567"/>
        </w:tabs>
        <w:ind w:left="567" w:hanging="567"/>
        <w:contextualSpacing/>
        <w:rPr>
          <w:rFonts w:eastAsia="PMingLiU"/>
          <w:lang w:eastAsia="en-US"/>
        </w:rPr>
      </w:pPr>
      <w:r>
        <w:t>ГОСТ</w:t>
      </w:r>
      <w:r>
        <w:rPr>
          <w:rFonts w:eastAsia="PMingLiU"/>
          <w:lang w:val="en-US" w:eastAsia="en-US"/>
        </w:rPr>
        <w:t> </w:t>
      </w:r>
      <w:r>
        <w:t>4233-77</w:t>
      </w:r>
      <w:r>
        <w:rPr>
          <w:rFonts w:eastAsia="PMingLiU"/>
          <w:lang w:val="en-US" w:eastAsia="en-US"/>
        </w:rPr>
        <w:t> </w:t>
      </w:r>
      <w:r>
        <w:t>Реактивы. Натрий хлористый. Технические условия.</w:t>
      </w:r>
    </w:p>
    <w:p>
      <w:pPr>
        <w:rPr>
          <w:rFonts w:eastAsia="PMingLiU"/>
        </w:rPr>
      </w:pPr>
    </w:p>
    <w:p>
      <w:pPr>
        <w:numPr>
          <w:ilvl w:val="0"/>
          <w:numId w:val="24"/>
        </w:numPr>
        <w:tabs>
          <w:tab w:val="clear" w:pos="363"/>
          <w:tab w:val="num" w:pos="567"/>
        </w:tabs>
        <w:ind w:left="567" w:hanging="567"/>
        <w:contextualSpacing/>
        <w:rPr>
          <w:rFonts w:eastAsia="PMingLiU"/>
          <w:lang w:eastAsia="en-US"/>
        </w:rPr>
      </w:pPr>
      <w:r>
        <w:t>ГОСТ</w:t>
      </w:r>
      <w:r>
        <w:rPr>
          <w:rFonts w:eastAsia="PMingLiU"/>
          <w:lang w:val="en-US" w:eastAsia="en-US"/>
        </w:rPr>
        <w:t> </w:t>
      </w:r>
      <w:r>
        <w:t>4328-77</w:t>
      </w:r>
      <w:r>
        <w:rPr>
          <w:rFonts w:eastAsia="PMingLiU"/>
          <w:lang w:val="en-US" w:eastAsia="en-US"/>
        </w:rPr>
        <w:t> </w:t>
      </w:r>
      <w:r>
        <w:t>Реактивы. Натрия гидроокись. Технические условия.</w:t>
      </w:r>
    </w:p>
    <w:p>
      <w:pPr>
        <w:contextualSpacing/>
        <w:rPr>
          <w:rFonts w:eastAsia="PMingLiU"/>
          <w:lang w:eastAsia="en-US"/>
        </w:rPr>
      </w:pPr>
    </w:p>
    <w:p>
      <w:pPr>
        <w:numPr>
          <w:ilvl w:val="0"/>
          <w:numId w:val="24"/>
        </w:numPr>
        <w:tabs>
          <w:tab w:val="clear" w:pos="363"/>
          <w:tab w:val="num" w:pos="567"/>
        </w:tabs>
        <w:ind w:left="567" w:hanging="567"/>
        <w:contextualSpacing/>
        <w:rPr>
          <w:rFonts w:eastAsia="Times New Roman"/>
        </w:rPr>
      </w:pPr>
      <w:r>
        <w:rPr>
          <w:rFonts w:eastAsia="PMingLiU"/>
          <w:spacing w:val="1"/>
          <w:lang w:eastAsia="en-US"/>
        </w:rPr>
        <w:t>ГОСТ</w:t>
      </w:r>
      <w:r>
        <w:rPr>
          <w:rFonts w:eastAsia="PMingLiU"/>
          <w:lang w:val="en-US" w:eastAsia="en-US"/>
        </w:rPr>
        <w:t> </w:t>
      </w:r>
      <w:r>
        <w:t>4666-2015</w:t>
      </w:r>
      <w:r>
        <w:rPr>
          <w:rFonts w:eastAsia="PMingLiU"/>
          <w:lang w:val="en-US" w:eastAsia="en-US"/>
        </w:rPr>
        <w:t> </w:t>
      </w:r>
      <w:r>
        <w:t>Арматура трубопроводная. Требования к маркировке.</w:t>
      </w:r>
    </w:p>
    <w:p>
      <w:pPr>
        <w:rPr>
          <w:rFonts w:eastAsia="Times New Roman"/>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5639-82</w:t>
      </w:r>
      <w:r>
        <w:rPr>
          <w:rFonts w:eastAsia="PMingLiU"/>
          <w:lang w:val="en-US" w:eastAsia="en-US"/>
        </w:rPr>
        <w:t> </w:t>
      </w:r>
      <w:r>
        <w:rPr>
          <w:rFonts w:eastAsia="PMingLiU"/>
          <w:lang w:eastAsia="en-US"/>
        </w:rPr>
        <w:t>Стали и сплавы. Методы выявления и определения величины зерна.</w:t>
      </w:r>
    </w:p>
    <w:p>
      <w:pPr>
        <w:rPr>
          <w:rFonts w:eastAsia="PMingLiU"/>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w:t>
      </w:r>
      <w:r>
        <w:rPr>
          <w:rFonts w:eastAsia="PMingLiU"/>
          <w:lang w:val="en-US" w:eastAsia="en-US"/>
        </w:rPr>
        <w:t> </w:t>
      </w:r>
      <w:r>
        <w:rPr>
          <w:rFonts w:eastAsia="PMingLiU"/>
          <w:lang w:eastAsia="en-US"/>
        </w:rPr>
        <w:t>5959-80</w:t>
      </w:r>
      <w:r>
        <w:rPr>
          <w:rFonts w:eastAsia="PMingLiU"/>
          <w:lang w:val="en-US" w:eastAsia="en-US"/>
        </w:rPr>
        <w:t> </w:t>
      </w:r>
      <w:r>
        <w:rPr>
          <w:rFonts w:eastAsia="PMingLiU"/>
          <w:lang w:eastAsia="en-US"/>
        </w:rPr>
        <w:t>Ящики из листовых древесных материалов неразборные для грузов массой до 200 кг. Общие технические условия.</w:t>
      </w:r>
    </w:p>
    <w:p>
      <w:pPr>
        <w:rPr>
          <w:rFonts w:eastAsia="PMingLiU"/>
        </w:rPr>
      </w:pPr>
    </w:p>
    <w:p>
      <w:pPr>
        <w:numPr>
          <w:ilvl w:val="0"/>
          <w:numId w:val="24"/>
        </w:numPr>
        <w:tabs>
          <w:tab w:val="clear" w:pos="363"/>
          <w:tab w:val="num" w:pos="567"/>
        </w:tabs>
        <w:ind w:left="567" w:hanging="567"/>
      </w:pPr>
      <w:r>
        <w:t>ГОСТ</w:t>
      </w:r>
      <w:r>
        <w:rPr>
          <w:rFonts w:eastAsia="PMingLiU"/>
          <w:lang w:val="en-US" w:eastAsia="en-US"/>
        </w:rPr>
        <w:t> </w:t>
      </w:r>
      <w:r>
        <w:t>6032-2003</w:t>
      </w:r>
      <w:r>
        <w:rPr>
          <w:rFonts w:eastAsia="PMingLiU"/>
          <w:lang w:val="en-US" w:eastAsia="en-US"/>
        </w:rPr>
        <w:t> </w:t>
      </w:r>
      <w:r>
        <w:t xml:space="preserve"> (ИСО</w:t>
      </w:r>
      <w:r>
        <w:rPr>
          <w:rFonts w:eastAsia="PMingLiU"/>
          <w:lang w:val="en-US" w:eastAsia="en-US"/>
        </w:rPr>
        <w:t> </w:t>
      </w:r>
      <w:r>
        <w:t>3651-1:1998, ИСО</w:t>
      </w:r>
      <w:r>
        <w:rPr>
          <w:rFonts w:eastAsia="PMingLiU"/>
          <w:lang w:val="en-US" w:eastAsia="en-US"/>
        </w:rPr>
        <w:t> </w:t>
      </w:r>
      <w:r>
        <w:t>3651-2:1998)</w:t>
      </w:r>
      <w:r>
        <w:rPr>
          <w:rFonts w:eastAsia="PMingLiU"/>
          <w:lang w:val="en-US" w:eastAsia="en-US"/>
        </w:rPr>
        <w:t> </w:t>
      </w:r>
      <w:r>
        <w:t>Стали и сплавы коррозионно-стойкие. Методы испытаний на стойкость к межкристаллитной коррозии.</w:t>
      </w:r>
    </w:p>
    <w:p>
      <w:pPr>
        <w:tabs>
          <w:tab w:val="num" w:pos="567"/>
        </w:tabs>
        <w:ind w:left="567" w:hanging="567"/>
        <w:contextualSpacing/>
        <w:rPr>
          <w:rFonts w:eastAsia="PMingLiU"/>
          <w:lang w:eastAsia="en-US"/>
        </w:rPr>
      </w:pPr>
    </w:p>
    <w:p>
      <w:pPr>
        <w:numPr>
          <w:ilvl w:val="0"/>
          <w:numId w:val="24"/>
        </w:numPr>
        <w:tabs>
          <w:tab w:val="clear" w:pos="363"/>
          <w:tab w:val="num" w:pos="567"/>
        </w:tabs>
        <w:ind w:left="567" w:hanging="567"/>
        <w:contextualSpacing/>
        <w:rPr>
          <w:lang w:eastAsia="en-US"/>
        </w:rPr>
      </w:pPr>
      <w:r>
        <w:rPr>
          <w:rFonts w:eastAsia="PMingLiU"/>
          <w:lang w:eastAsia="en-US"/>
        </w:rPr>
        <w:t>ГОСТ</w:t>
      </w:r>
      <w:r>
        <w:rPr>
          <w:rFonts w:eastAsia="PMingLiU"/>
          <w:lang w:val="en-US" w:eastAsia="en-US"/>
        </w:rPr>
        <w:t> </w:t>
      </w:r>
      <w:r>
        <w:rPr>
          <w:rFonts w:eastAsia="PMingLiU"/>
          <w:lang w:eastAsia="en-US"/>
        </w:rPr>
        <w:t>6111-52</w:t>
      </w:r>
      <w:r>
        <w:rPr>
          <w:rFonts w:eastAsia="PMingLiU"/>
          <w:lang w:val="en-US" w:eastAsia="en-US"/>
        </w:rPr>
        <w:t> </w:t>
      </w:r>
      <w:r>
        <w:rPr>
          <w:rFonts w:eastAsia="PMingLiU"/>
          <w:lang w:eastAsia="en-US"/>
        </w:rPr>
        <w:t>Резьба коническая дюймовая с углом профиля 60 градусов.</w:t>
      </w:r>
    </w:p>
    <w:p>
      <w:pPr>
        <w:contextualSpacing/>
        <w:rPr>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 6211-81 </w:t>
      </w:r>
      <w:r>
        <w:t xml:space="preserve">(СТ СЭВ 1159-78) </w:t>
      </w:r>
      <w:r>
        <w:rPr>
          <w:rFonts w:eastAsia="PMingLiU"/>
          <w:lang w:eastAsia="en-US"/>
        </w:rPr>
        <w:t>Основные нормы взаимозаменяемости. Резьба трубная коническая.</w:t>
      </w:r>
    </w:p>
    <w:p>
      <w:pPr>
        <w:contextualSpacing/>
        <w:rPr>
          <w:rFonts w:eastAsia="PMingLiU"/>
          <w:lang w:eastAsia="en-US"/>
        </w:rPr>
      </w:pPr>
    </w:p>
    <w:p>
      <w:pPr>
        <w:numPr>
          <w:ilvl w:val="0"/>
          <w:numId w:val="24"/>
        </w:numPr>
        <w:tabs>
          <w:tab w:val="clear" w:pos="363"/>
          <w:tab w:val="num" w:pos="567"/>
        </w:tabs>
        <w:ind w:left="567" w:hanging="567"/>
        <w:contextualSpacing/>
        <w:rPr>
          <w:rFonts w:eastAsia="PMingLiU"/>
          <w:lang w:eastAsia="en-US"/>
        </w:rPr>
      </w:pPr>
      <w:r>
        <w:rPr>
          <w:rFonts w:eastAsia="PMingLiU"/>
          <w:lang w:eastAsia="en-US"/>
        </w:rPr>
        <w:t>ГОСТ 6357-81 </w:t>
      </w:r>
      <w:r>
        <w:t xml:space="preserve">(СТ СЭВ 1157-78) </w:t>
      </w:r>
      <w:r>
        <w:rPr>
          <w:rFonts w:eastAsia="PMingLiU"/>
          <w:lang w:eastAsia="en-US"/>
        </w:rPr>
        <w:t>Основные нормы взаимозаменяемости. Резьба трубная цилиндрическая.</w:t>
      </w:r>
    </w:p>
    <w:p>
      <w:pPr>
        <w:contextualSpacing/>
        <w:rPr>
          <w:rFonts w:eastAsia="PMingLiU"/>
          <w:lang w:eastAsia="en-US"/>
        </w:rPr>
      </w:pPr>
    </w:p>
    <w:p>
      <w:pPr>
        <w:numPr>
          <w:ilvl w:val="0"/>
          <w:numId w:val="24"/>
        </w:numPr>
        <w:tabs>
          <w:tab w:val="clear" w:pos="363"/>
          <w:tab w:val="num" w:pos="567"/>
        </w:tabs>
        <w:ind w:left="567" w:hanging="567"/>
        <w:contextualSpacing/>
        <w:rPr>
          <w:rFonts w:eastAsia="PMingLiU"/>
          <w:lang w:eastAsia="en-US"/>
        </w:rPr>
      </w:pPr>
      <w:r>
        <w:t>ГОСТ 6709-72 Вода дистиллированная. Технические условия.</w:t>
      </w:r>
    </w:p>
    <w:p>
      <w:pPr>
        <w:contextualSpacing/>
        <w:rPr>
          <w:rFonts w:eastAsia="PMingLiU"/>
          <w:lang w:eastAsia="en-US"/>
        </w:rPr>
      </w:pPr>
    </w:p>
    <w:p>
      <w:pPr>
        <w:numPr>
          <w:ilvl w:val="0"/>
          <w:numId w:val="24"/>
        </w:numPr>
        <w:tabs>
          <w:tab w:val="clear" w:pos="363"/>
          <w:tab w:val="num" w:pos="567"/>
        </w:tabs>
        <w:ind w:left="567" w:hanging="567"/>
        <w:contextualSpacing/>
        <w:rPr>
          <w:rFonts w:eastAsia="PMingLiU"/>
          <w:lang w:eastAsia="en-US"/>
        </w:rPr>
      </w:pPr>
      <w:r>
        <w:rPr>
          <w:rFonts w:eastAsia="PMingLiU"/>
          <w:snapToGrid w:val="0"/>
          <w:lang w:eastAsia="en-US"/>
        </w:rPr>
        <w:t>ГОСТ 6996-66 </w:t>
      </w:r>
      <w:r>
        <w:t xml:space="preserve">(ИСО 4136-89, ИСО 5173-81, ИСО 5177-81) </w:t>
      </w:r>
      <w:r>
        <w:rPr>
          <w:rFonts w:eastAsia="PMingLiU"/>
          <w:snapToGrid w:val="0"/>
          <w:lang w:eastAsia="en-US"/>
        </w:rPr>
        <w:t>Сварные соединения. Методы определения механических свойств.</w:t>
      </w:r>
    </w:p>
    <w:p>
      <w:pPr>
        <w:rPr>
          <w:rFonts w:eastAsia="PMingLiU"/>
        </w:rPr>
      </w:pPr>
    </w:p>
    <w:p>
      <w:pPr>
        <w:numPr>
          <w:ilvl w:val="0"/>
          <w:numId w:val="24"/>
        </w:numPr>
        <w:tabs>
          <w:tab w:val="clear" w:pos="363"/>
          <w:tab w:val="num" w:pos="567"/>
        </w:tabs>
        <w:ind w:left="567" w:hanging="567"/>
        <w:contextualSpacing/>
        <w:rPr>
          <w:rFonts w:eastAsia="PMingLiU"/>
          <w:lang w:eastAsia="en-US"/>
        </w:rPr>
      </w:pPr>
      <w:r>
        <w:t>ГОСТ 7565-81 (ИСО 377-2-89) Чугун, сталь и сплавы. Метод отбора проб для определения химического состава.</w:t>
      </w:r>
    </w:p>
    <w:p>
      <w:pPr>
        <w:contextualSpacing/>
        <w:rPr>
          <w:rFonts w:eastAsia="PMingLiU"/>
          <w:lang w:eastAsia="en-US"/>
        </w:rPr>
      </w:pPr>
    </w:p>
    <w:p>
      <w:pPr>
        <w:numPr>
          <w:ilvl w:val="0"/>
          <w:numId w:val="24"/>
        </w:numPr>
        <w:tabs>
          <w:tab w:val="clear" w:pos="363"/>
          <w:tab w:val="num" w:pos="567"/>
        </w:tabs>
        <w:ind w:left="567" w:hanging="567"/>
        <w:contextualSpacing/>
        <w:rPr>
          <w:rFonts w:eastAsia="PMingLiU"/>
          <w:snapToGrid w:val="0"/>
          <w:lang w:eastAsia="en-US"/>
        </w:rPr>
      </w:pPr>
      <w:r>
        <w:rPr>
          <w:rFonts w:eastAsia="PMingLiU"/>
          <w:snapToGrid w:val="0"/>
          <w:lang w:eastAsia="en-US"/>
        </w:rPr>
        <w:t>ГОСТ</w:t>
      </w:r>
      <w:r>
        <w:t> </w:t>
      </w:r>
      <w:r>
        <w:rPr>
          <w:rFonts w:eastAsia="PMingLiU"/>
          <w:snapToGrid w:val="0"/>
          <w:lang w:eastAsia="en-US"/>
        </w:rPr>
        <w:t>8179-98</w:t>
      </w:r>
      <w:r>
        <w:t> </w:t>
      </w:r>
      <w:r>
        <w:rPr>
          <w:rFonts w:eastAsia="PMingLiU"/>
          <w:snapToGrid w:val="0"/>
          <w:lang w:eastAsia="en-US"/>
        </w:rPr>
        <w:t>(ИСО</w:t>
      </w:r>
      <w:r>
        <w:t> </w:t>
      </w:r>
      <w:r>
        <w:rPr>
          <w:rFonts w:eastAsia="PMingLiU"/>
          <w:snapToGrid w:val="0"/>
          <w:lang w:eastAsia="en-US"/>
        </w:rPr>
        <w:t>5022-79)</w:t>
      </w:r>
      <w:r>
        <w:t> </w:t>
      </w:r>
      <w:r>
        <w:rPr>
          <w:rFonts w:eastAsia="PMingLiU"/>
          <w:snapToGrid w:val="0"/>
          <w:lang w:eastAsia="en-US"/>
        </w:rPr>
        <w:t xml:space="preserve">Изделия огнеупорные. </w:t>
      </w:r>
      <w:r>
        <w:t>Отбор образцов и приемочные испытания.</w:t>
      </w:r>
    </w:p>
    <w:p>
      <w:pPr>
        <w:contextualSpacing/>
        <w:rPr>
          <w:rFonts w:eastAsia="PMingLiU"/>
          <w:snapToGrid w:val="0"/>
          <w:lang w:eastAsia="en-US"/>
        </w:rPr>
      </w:pPr>
    </w:p>
    <w:p>
      <w:pPr>
        <w:numPr>
          <w:ilvl w:val="0"/>
          <w:numId w:val="24"/>
        </w:numPr>
        <w:tabs>
          <w:tab w:val="clear" w:pos="363"/>
          <w:tab w:val="num" w:pos="567"/>
        </w:tabs>
        <w:ind w:left="567" w:hanging="567"/>
        <w:rPr>
          <w:rFonts w:eastAsia="PMingLiU"/>
          <w:lang w:eastAsia="en-US"/>
        </w:rPr>
      </w:pPr>
      <w:r>
        <w:rPr>
          <w:rFonts w:eastAsia="PMingLiU"/>
          <w:snapToGrid w:val="0"/>
          <w:lang w:eastAsia="en-US"/>
        </w:rPr>
        <w:lastRenderedPageBreak/>
        <w:t>ГОСТ 9012-59</w:t>
      </w:r>
      <w:r>
        <w:rPr>
          <w:rFonts w:eastAsia="PMingLiU"/>
          <w:lang w:eastAsia="en-US"/>
        </w:rPr>
        <w:t> </w:t>
      </w:r>
      <w:r>
        <w:t>(ИСО 410-82, ИСО 6506-81) </w:t>
      </w:r>
      <w:r>
        <w:rPr>
          <w:rFonts w:eastAsia="PMingLiU"/>
          <w:lang w:eastAsia="en-US"/>
        </w:rPr>
        <w:t>Металлы. Методы измерения твердости по Бринеллю.</w:t>
      </w:r>
    </w:p>
    <w:p>
      <w:pPr>
        <w:rPr>
          <w:rFonts w:eastAsia="PMingLiU"/>
        </w:rPr>
      </w:pPr>
    </w:p>
    <w:p>
      <w:pPr>
        <w:numPr>
          <w:ilvl w:val="0"/>
          <w:numId w:val="24"/>
        </w:numPr>
        <w:tabs>
          <w:tab w:val="clear" w:pos="363"/>
          <w:tab w:val="num" w:pos="567"/>
        </w:tabs>
        <w:ind w:left="567" w:hanging="567"/>
        <w:rPr>
          <w:rFonts w:eastAsia="PMingLiU"/>
          <w:lang w:eastAsia="en-US"/>
        </w:rPr>
      </w:pPr>
      <w:r>
        <w:t>ГОСТ 9013-59 (ИСО 6508-86) Металлы. Метод измерения твердости по Роквеллу.</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9.014-78</w:t>
      </w:r>
      <w:r>
        <w:t> </w:t>
      </w:r>
      <w:r>
        <w:rPr>
          <w:rFonts w:eastAsia="PMingLiU"/>
          <w:lang w:eastAsia="en-US"/>
        </w:rPr>
        <w:t>Единая система защиты от коррозии и старения. Временная противокоррозионная защита изделий. Общие требования.</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9150-2002 </w:t>
      </w:r>
      <w:r>
        <w:t>(ИСО 68-1-98) </w:t>
      </w:r>
      <w:r>
        <w:rPr>
          <w:rFonts w:eastAsia="PMingLiU"/>
          <w:lang w:eastAsia="en-US"/>
        </w:rPr>
        <w:t>Основные нормы взаимозаменяемости. Резьба метрическая. Профиль.</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9293-74 </w:t>
      </w:r>
      <w:r>
        <w:t xml:space="preserve">(ИСО 2435-73) </w:t>
      </w:r>
      <w:r>
        <w:rPr>
          <w:rFonts w:eastAsia="PMingLiU"/>
          <w:lang w:eastAsia="en-US"/>
        </w:rPr>
        <w:t>Азот газообразный и жидкий. Технические условия.</w:t>
      </w:r>
    </w:p>
    <w:p>
      <w:pPr>
        <w:rPr>
          <w:rFonts w:eastAsia="PMingLiU"/>
        </w:rPr>
      </w:pPr>
    </w:p>
    <w:p>
      <w:pPr>
        <w:numPr>
          <w:ilvl w:val="0"/>
          <w:numId w:val="24"/>
        </w:numPr>
        <w:tabs>
          <w:tab w:val="clear" w:pos="363"/>
          <w:tab w:val="num" w:pos="567"/>
        </w:tabs>
        <w:ind w:left="567" w:hanging="567"/>
        <w:rPr>
          <w:rFonts w:eastAsia="PMingLiU"/>
          <w:lang w:eastAsia="en-US"/>
        </w:rPr>
      </w:pPr>
      <w:r>
        <w:t>ГОСТ 9.303-84 Единая система защиты от коррозии и старения. Покрытия металлические и неметаллические неорганические. Общие требования к выбору.</w:t>
      </w:r>
    </w:p>
    <w:p>
      <w:pPr>
        <w:rPr>
          <w:rFonts w:eastAsia="PMingLiU"/>
        </w:rPr>
      </w:pPr>
    </w:p>
    <w:p>
      <w:pPr>
        <w:numPr>
          <w:ilvl w:val="0"/>
          <w:numId w:val="24"/>
        </w:numPr>
        <w:tabs>
          <w:tab w:val="clear" w:pos="363"/>
          <w:tab w:val="num" w:pos="567"/>
        </w:tabs>
        <w:ind w:left="567" w:hanging="567"/>
      </w:pPr>
      <w:r>
        <w:t>ГОСТ 9450-76 (СТ СЭВ 1195-78) Измерение микротвердости вдавливанием алмазных наконечников.</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9454-78 Металлы. Метод испытания на ударный изгиб при пониженных, комнатной и повышенных температурах.</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9544-2015 Арматура трубопроводная. Нормы герметичности затворов.</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9702-87 Краны конусные и шаровые. Основные параметры.</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Р 9.907-2007</w:t>
      </w:r>
      <w:r>
        <w:t> (ИСО 8407:1991) Единая система защиты от коррозии и старения. Металлы, сплавы, покрытия металлические. Методы удаления продуктов коррозии после коррозионных испытаний.</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9.908-85 Единая система защиты от коррозии и старения. Металлы и сплавы. Методы определения показателей коррозии и коррозионной стойкости.</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ISO 3183-2015 Трубы стальные для трубопроводов нефтяной и газовой промышленности. Общие технические условия.</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Р 15.301-2016 </w:t>
      </w:r>
      <w:r>
        <w:t>Система разработки и постановки продукции на производство (СРПП). Продукция производственно-технического назначения. Порядок разработки и постановки продукции на производство.</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Р 50753-95 Пружины винтовые цилиндрические сжатия и растяжения из специальных сталей и сплавов. Общие технические условия.</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51232-98 Вода питьевая. Общие требования к организации и методам контроля качества.</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51317.2.4-2000 (МЭК 61000-2-4-94) Совместимость технических средств электромагнитная. Электромагнитная обстановка. Уровни электромагнитной совместимости для низкочастотных кондуктивных помех в системах электроснабжения промышленных предприятий.</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lastRenderedPageBreak/>
        <w:t>ГОСТ Р 51801-2001 Общие требования к машинам, приборам и другим техническим изделиям в части стойкости к воздействию агрессивных и других специальных сред.</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52857.1-2007 Сосуды и аппараты. Нормы и методы расчета на прочность. Общие требования.</w:t>
      </w:r>
    </w:p>
    <w:p>
      <w:pPr>
        <w:rPr>
          <w:rFonts w:eastAsia="PMingLiU"/>
        </w:rPr>
      </w:pPr>
    </w:p>
    <w:p>
      <w:pPr>
        <w:numPr>
          <w:ilvl w:val="0"/>
          <w:numId w:val="24"/>
        </w:numPr>
        <w:tabs>
          <w:tab w:val="clear" w:pos="363"/>
          <w:tab w:val="num" w:pos="567"/>
        </w:tabs>
        <w:ind w:left="567" w:hanging="567"/>
        <w:rPr>
          <w:rFonts w:eastAsia="PMingLiU"/>
          <w:lang w:eastAsia="en-US"/>
        </w:rPr>
      </w:pPr>
      <w:r>
        <w:t>ГОСТ Р 52857.2-2007 Сосуды и аппараты. Нормы и методы расчета на прочность. Расчет цилиндрических и конических обечаек, выпуклых и плоских днищ и крышек.</w:t>
      </w:r>
    </w:p>
    <w:p>
      <w:pPr>
        <w:rPr>
          <w:rFonts w:eastAsia="PMingLiU"/>
        </w:rPr>
      </w:pPr>
    </w:p>
    <w:p>
      <w:pPr>
        <w:numPr>
          <w:ilvl w:val="0"/>
          <w:numId w:val="24"/>
        </w:numPr>
        <w:tabs>
          <w:tab w:val="clear" w:pos="363"/>
          <w:tab w:val="num" w:pos="567"/>
        </w:tabs>
        <w:ind w:left="567" w:hanging="567"/>
        <w:rPr>
          <w:rFonts w:eastAsia="PMingLiU"/>
          <w:lang w:eastAsia="en-US"/>
        </w:rPr>
      </w:pPr>
      <w:r>
        <w:t>ГОСТ Р 52857.3-2007 Сосуды и аппараты. Нормы и методы расчета на прочность. Укрепление отверстий в обечайках и днищах при внутреннем и внешнем давлениях. Расчет на прочность обечаек и днищ при внешних статических нагрузках на штуцер.</w:t>
      </w:r>
    </w:p>
    <w:p>
      <w:pPr>
        <w:rPr>
          <w:rFonts w:eastAsia="PMingLiU"/>
        </w:rPr>
      </w:pPr>
    </w:p>
    <w:p>
      <w:pPr>
        <w:numPr>
          <w:ilvl w:val="0"/>
          <w:numId w:val="24"/>
        </w:numPr>
        <w:tabs>
          <w:tab w:val="clear" w:pos="363"/>
          <w:tab w:val="num" w:pos="567"/>
        </w:tabs>
        <w:ind w:left="567" w:hanging="567"/>
        <w:rPr>
          <w:rFonts w:eastAsia="PMingLiU"/>
          <w:lang w:eastAsia="en-US"/>
        </w:rPr>
      </w:pPr>
      <w:r>
        <w:t>ГОСТ Р 52857.4-2007 Сосуды и аппараты. Нормы и методы расчета на прочность. Расчет на прочность и герметичность фланцевых соединений.</w:t>
      </w:r>
    </w:p>
    <w:p>
      <w:pPr>
        <w:rPr>
          <w:rFonts w:eastAsia="PMingLiU"/>
        </w:rPr>
      </w:pPr>
    </w:p>
    <w:p>
      <w:pPr>
        <w:numPr>
          <w:ilvl w:val="0"/>
          <w:numId w:val="24"/>
        </w:numPr>
        <w:tabs>
          <w:tab w:val="clear" w:pos="363"/>
          <w:tab w:val="num" w:pos="567"/>
        </w:tabs>
        <w:ind w:left="567" w:hanging="567"/>
        <w:rPr>
          <w:rFonts w:eastAsia="PMingLiU"/>
          <w:lang w:eastAsia="en-US"/>
        </w:rPr>
      </w:pPr>
      <w:r>
        <w:t>ГОСТ Р 52857.5-2007 Сосуды и аппараты. Нормы и методы расчета на прочность. Расчет обечаек и днищ от воздействия опорных нагрузок.</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52857.6-2007 Сосуды и аппараты. Нормы и методы расчета на прочность. Расчет на прочность при малоцикловых нагрузках.</w:t>
      </w:r>
    </w:p>
    <w:p>
      <w:pPr>
        <w:rPr>
          <w:rFonts w:eastAsia="PMingLiU"/>
        </w:rPr>
      </w:pPr>
    </w:p>
    <w:p>
      <w:pPr>
        <w:numPr>
          <w:ilvl w:val="0"/>
          <w:numId w:val="24"/>
        </w:numPr>
        <w:tabs>
          <w:tab w:val="clear" w:pos="363"/>
          <w:tab w:val="num" w:pos="567"/>
        </w:tabs>
        <w:ind w:left="567" w:hanging="567"/>
        <w:rPr>
          <w:rFonts w:eastAsia="PMingLiU"/>
          <w:lang w:eastAsia="en-US"/>
        </w:rPr>
      </w:pPr>
      <w:r>
        <w:t>ГОСТ Р 53228-2008 Весы неавтоматического действия. Часть 1. Метрологические и технические требования. Испытания.</w:t>
      </w:r>
    </w:p>
    <w:p>
      <w:pPr>
        <w:rPr>
          <w:rFonts w:eastAsia="Times New Roman"/>
        </w:rPr>
      </w:pPr>
    </w:p>
    <w:p>
      <w:pPr>
        <w:numPr>
          <w:ilvl w:val="0"/>
          <w:numId w:val="24"/>
        </w:numPr>
        <w:tabs>
          <w:tab w:val="clear" w:pos="363"/>
          <w:tab w:val="num" w:pos="567"/>
        </w:tabs>
        <w:ind w:left="567" w:hanging="567"/>
        <w:contextualSpacing/>
        <w:rPr>
          <w:rFonts w:eastAsia="PMingLiU"/>
          <w:snapToGrid w:val="0"/>
          <w:lang w:eastAsia="en-US"/>
        </w:rPr>
      </w:pPr>
      <w:r>
        <w:t>ГОСТ Р 53441-2009 (ИСО 2538:1998) Основные нормы взаимозаменяемости. Характеристики изделий геометрические. Нормальные углы и уклоны призм.</w:t>
      </w:r>
    </w:p>
    <w:p>
      <w:pPr>
        <w:widowControl w:val="0"/>
        <w:tabs>
          <w:tab w:val="num" w:pos="567"/>
        </w:tabs>
        <w:ind w:left="567" w:hanging="567"/>
        <w:rPr>
          <w:rFonts w:eastAsia="Calibri"/>
          <w:lang w:eastAsia="en-US"/>
        </w:rPr>
      </w:pPr>
    </w:p>
    <w:p>
      <w:pPr>
        <w:numPr>
          <w:ilvl w:val="0"/>
          <w:numId w:val="24"/>
        </w:numPr>
        <w:tabs>
          <w:tab w:val="clear" w:pos="363"/>
          <w:tab w:val="num" w:pos="567"/>
        </w:tabs>
        <w:ind w:left="567" w:hanging="567"/>
        <w:contextualSpacing/>
        <w:rPr>
          <w:rFonts w:eastAsia="Times New Roman"/>
        </w:rPr>
      </w:pPr>
      <w:r>
        <w:rPr>
          <w:rFonts w:eastAsia="Times New Roman"/>
        </w:rPr>
        <w:t>ГОСТ Р 53561-2009 Арматура трубопроводная. Прокладки овального, восьмиугольного сечения, линзовые стальные для фланцев арматуры. Конструкция, размеры и общие технические требования.</w:t>
      </w:r>
    </w:p>
    <w:p>
      <w:pPr>
        <w:contextualSpacing/>
        <w:rPr>
          <w:rFonts w:eastAsia="Times New Roman"/>
        </w:rPr>
      </w:pPr>
    </w:p>
    <w:p>
      <w:pPr>
        <w:numPr>
          <w:ilvl w:val="0"/>
          <w:numId w:val="24"/>
        </w:numPr>
        <w:tabs>
          <w:tab w:val="clear" w:pos="363"/>
          <w:tab w:val="num" w:pos="567"/>
        </w:tabs>
        <w:ind w:left="567" w:hanging="567"/>
        <w:contextualSpacing/>
        <w:rPr>
          <w:rFonts w:eastAsia="Times New Roman"/>
        </w:rPr>
      </w:pPr>
      <w:r>
        <w:t>ГОСТ Р 53678-2009 (ИСО 15156-2:2003) Нефтяная и газовая промышленность. Материалы для применения в средах, содержащих сероводород, при добыче нефти и газа. Часть 2. Углеродистые и низколегированные стали, стойкие к растрескиванию, и применение чугунов.</w:t>
      </w:r>
    </w:p>
    <w:p>
      <w:pPr>
        <w:rPr>
          <w:rFonts w:eastAsia="Times New Roman"/>
        </w:rPr>
      </w:pPr>
    </w:p>
    <w:p>
      <w:pPr>
        <w:numPr>
          <w:ilvl w:val="0"/>
          <w:numId w:val="24"/>
        </w:numPr>
        <w:tabs>
          <w:tab w:val="clear" w:pos="363"/>
          <w:tab w:val="num" w:pos="567"/>
        </w:tabs>
        <w:ind w:left="567" w:hanging="567"/>
        <w:contextualSpacing/>
        <w:rPr>
          <w:rFonts w:eastAsia="Times New Roman"/>
        </w:rPr>
      </w:pPr>
      <w:r>
        <w:t>ГОСТ Р 53679-2009 (ИСО 15156-1:2001) Нефтяная и газовая промышленность. Материалы для применения в средах, содержащих сероводород, при добыче нефти и газа. Часть 1. Общие принципы выбора материалов, стойких к растрескиванию.</w:t>
      </w:r>
    </w:p>
    <w:p>
      <w:pPr>
        <w:rPr>
          <w:rFonts w:eastAsia="Times New Roman"/>
        </w:rPr>
      </w:pPr>
    </w:p>
    <w:p>
      <w:pPr>
        <w:numPr>
          <w:ilvl w:val="0"/>
          <w:numId w:val="24"/>
        </w:numPr>
        <w:tabs>
          <w:tab w:val="clear" w:pos="363"/>
          <w:tab w:val="num" w:pos="567"/>
        </w:tabs>
        <w:ind w:left="567" w:hanging="567"/>
        <w:contextualSpacing/>
        <w:rPr>
          <w:rFonts w:eastAsia="Times New Roman"/>
        </w:rPr>
      </w:pPr>
      <w:r>
        <w:t>ГОСТ Р 55020-2012 Арматура трубопроводная. Задвижки шиберные для магистральных нефтепроводов. Общие технические условия.</w:t>
      </w:r>
    </w:p>
    <w:p>
      <w:pPr>
        <w:rPr>
          <w:rFonts w:eastAsia="Times New Roman"/>
          <w:lang w:val="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55510-2013 Арматура трубопроводная. Приводы вращательного действия. Присоединительные размеры.</w:t>
      </w:r>
    </w:p>
    <w:p>
      <w:pPr>
        <w:rPr>
          <w:rFonts w:eastAsia="PMingLiU"/>
          <w:lang w:val="en-US"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ГОСТ Р 55511-2013 Арматура трубопроводная. Электроприводы. Общие технические условия.</w:t>
      </w:r>
    </w:p>
    <w:p>
      <w:pPr>
        <w:rPr>
          <w:rFonts w:eastAsia="PMingLiU"/>
          <w:lang w:val="en-US" w:eastAsia="en-US"/>
        </w:rPr>
      </w:pPr>
    </w:p>
    <w:p>
      <w:pPr>
        <w:numPr>
          <w:ilvl w:val="0"/>
          <w:numId w:val="24"/>
        </w:numPr>
        <w:tabs>
          <w:tab w:val="clear" w:pos="363"/>
          <w:tab w:val="num" w:pos="567"/>
        </w:tabs>
        <w:ind w:left="567" w:hanging="567"/>
        <w:rPr>
          <w:rFonts w:eastAsia="PMingLiU"/>
          <w:lang w:eastAsia="en-US"/>
        </w:rPr>
      </w:pPr>
      <w:r>
        <w:rPr>
          <w:rFonts w:eastAsia="PMingLiU"/>
          <w:lang w:eastAsia="en-US"/>
        </w:rPr>
        <w:lastRenderedPageBreak/>
        <w:t>ГОСТ Р 55990-2014 </w:t>
      </w:r>
      <w:r>
        <w:t xml:space="preserve">Месторождения нефтяные и газонефтяные. </w:t>
      </w:r>
      <w:r>
        <w:rPr>
          <w:rFonts w:eastAsia="PMingLiU"/>
          <w:lang w:eastAsia="en-US"/>
        </w:rPr>
        <w:t>Промысловые трубопроводы. Нормы проектирования.</w:t>
      </w:r>
    </w:p>
    <w:p>
      <w:pPr>
        <w:rPr>
          <w:rFonts w:eastAsia="PMingLiU"/>
        </w:rPr>
      </w:pPr>
    </w:p>
    <w:p>
      <w:pPr>
        <w:numPr>
          <w:ilvl w:val="0"/>
          <w:numId w:val="24"/>
        </w:numPr>
        <w:tabs>
          <w:tab w:val="clear" w:pos="363"/>
          <w:tab w:val="num" w:pos="567"/>
        </w:tabs>
        <w:ind w:left="567" w:hanging="567"/>
        <w:rPr>
          <w:rFonts w:eastAsia="PMingLiU"/>
          <w:lang w:eastAsia="en-US"/>
        </w:rPr>
      </w:pPr>
      <w:r>
        <w:t>ГОСТ Р 56001-2014 Арматура трубопроводная для объектов газовой промышленности. Общие технические условия.</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ГОСТ Р 9.905-2007 </w:t>
      </w:r>
      <w:r>
        <w:t xml:space="preserve">(ИСО 7384:2001, ИСО 11845:1995) </w:t>
      </w:r>
      <w:r>
        <w:rPr>
          <w:rFonts w:eastAsia="PMingLiU"/>
          <w:lang w:eastAsia="en-US"/>
        </w:rPr>
        <w:t>Единая система защиты от коррозии и старения. Методы коррозионных испытаний. Общие требования.</w:t>
      </w:r>
    </w:p>
    <w:p>
      <w:pPr>
        <w:rPr>
          <w:rFonts w:eastAsia="SimSun"/>
          <w:lang w:eastAsia="zh-CN"/>
        </w:rPr>
      </w:pPr>
    </w:p>
    <w:p>
      <w:pPr>
        <w:numPr>
          <w:ilvl w:val="0"/>
          <w:numId w:val="24"/>
        </w:numPr>
        <w:tabs>
          <w:tab w:val="clear" w:pos="363"/>
          <w:tab w:val="num" w:pos="567"/>
        </w:tabs>
        <w:ind w:left="567" w:hanging="567"/>
        <w:contextualSpacing/>
        <w:rPr>
          <w:rFonts w:eastAsia="SimSun"/>
          <w:lang w:eastAsia="zh-CN"/>
        </w:rPr>
      </w:pPr>
      <w:r>
        <w:t>ГОСТ ИСО/МЭК 17025-2009 Общие требования к компетентности испытательных и калибровочных лабораторий.</w:t>
      </w:r>
    </w:p>
    <w:p>
      <w:pPr>
        <w:rPr>
          <w:rFonts w:eastAsia="SimSun"/>
          <w:lang w:eastAsia="zh-CN"/>
        </w:rPr>
      </w:pPr>
    </w:p>
    <w:p>
      <w:pPr>
        <w:numPr>
          <w:ilvl w:val="0"/>
          <w:numId w:val="24"/>
        </w:numPr>
        <w:tabs>
          <w:tab w:val="clear" w:pos="363"/>
          <w:tab w:val="num" w:pos="567"/>
        </w:tabs>
        <w:ind w:left="567" w:hanging="567"/>
        <w:contextualSpacing/>
        <w:rPr>
          <w:rFonts w:eastAsia="SimSun"/>
          <w:lang w:eastAsia="zh-CN"/>
        </w:rPr>
      </w:pPr>
      <w:r>
        <w:t>ГОСТ Р ИСО 10006-2005 Системы менеджмента качества. Руководство по менеджменту качества при проектировании.</w:t>
      </w:r>
    </w:p>
    <w:p>
      <w:pPr>
        <w:rPr>
          <w:rFonts w:eastAsia="PMingLiU"/>
          <w:lang w:eastAsia="en-US"/>
        </w:rPr>
      </w:pPr>
    </w:p>
    <w:p>
      <w:pPr>
        <w:numPr>
          <w:ilvl w:val="0"/>
          <w:numId w:val="24"/>
        </w:numPr>
        <w:tabs>
          <w:tab w:val="clear" w:pos="363"/>
          <w:tab w:val="num" w:pos="567"/>
        </w:tabs>
        <w:ind w:left="567" w:hanging="567"/>
        <w:rPr>
          <w:rFonts w:eastAsia="PMingLiU"/>
          <w:lang w:eastAsia="en-US"/>
        </w:rPr>
      </w:pPr>
      <w:r>
        <w:t>ГН 2.2.5.1313-03 Предельно допустимые концентрации (ПДК) вредных веществ в воздухе рабочей зоны.</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ОСТ 26-01-42-82 Сборочные единицы и детали трубопроводов. Прокладки металлические овального и восьмиугольного сечения на Р(р) 32 МПа (320 кгс/см</w:t>
      </w:r>
      <w:r>
        <w:rPr>
          <w:rFonts w:eastAsia="PMingLiU"/>
          <w:vertAlign w:val="superscript"/>
          <w:lang w:eastAsia="en-US"/>
        </w:rPr>
        <w:t>2</w:t>
      </w:r>
      <w:r>
        <w:rPr>
          <w:rFonts w:eastAsia="PMingLiU"/>
          <w:lang w:eastAsia="en-US"/>
        </w:rPr>
        <w:t>). Конструкция и размеры.</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ОСТ 26-2043-91 Болты, шпильки, гайки и шайбы для фланцевых соединений</w:t>
      </w:r>
    </w:p>
    <w:p>
      <w:pPr>
        <w:rPr>
          <w:rFonts w:eastAsia="PMingLiU"/>
        </w:rPr>
      </w:pPr>
    </w:p>
    <w:p>
      <w:pPr>
        <w:numPr>
          <w:ilvl w:val="0"/>
          <w:numId w:val="24"/>
        </w:numPr>
        <w:tabs>
          <w:tab w:val="clear" w:pos="363"/>
          <w:tab w:val="num" w:pos="567"/>
        </w:tabs>
        <w:ind w:left="567" w:hanging="567"/>
        <w:rPr>
          <w:rFonts w:eastAsia="PMingLiU"/>
          <w:lang w:eastAsia="en-US"/>
        </w:rPr>
      </w:pPr>
      <w:r>
        <w:t>Правила технической эксплуатации электроустановок потребителей, утвержденные приказом Минэнерго России от 13.01.2003 № 6.</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Правила устройства электроустановок (ПУЭ), издание 7.</w:t>
      </w:r>
    </w:p>
    <w:p>
      <w:pPr>
        <w:rPr>
          <w:rFonts w:eastAsia="PMingLiU"/>
        </w:rPr>
      </w:pPr>
    </w:p>
    <w:p>
      <w:pPr>
        <w:numPr>
          <w:ilvl w:val="0"/>
          <w:numId w:val="24"/>
        </w:numPr>
        <w:tabs>
          <w:tab w:val="clear" w:pos="363"/>
          <w:tab w:val="num" w:pos="567"/>
        </w:tabs>
        <w:ind w:left="567" w:hanging="567"/>
        <w:rPr>
          <w:rFonts w:eastAsia="PMingLiU"/>
          <w:lang w:eastAsia="en-US"/>
        </w:rPr>
      </w:pPr>
      <w:r>
        <w:t>РД 03-615-03 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w:t>
      </w:r>
    </w:p>
    <w:p>
      <w:pPr>
        <w:rPr>
          <w:rFonts w:eastAsia="PMingLiU"/>
        </w:rPr>
      </w:pPr>
    </w:p>
    <w:p>
      <w:pPr>
        <w:numPr>
          <w:ilvl w:val="0"/>
          <w:numId w:val="24"/>
        </w:numPr>
        <w:tabs>
          <w:tab w:val="clear" w:pos="363"/>
          <w:tab w:val="num" w:pos="567"/>
        </w:tabs>
        <w:ind w:left="567" w:hanging="567"/>
        <w:rPr>
          <w:rFonts w:eastAsia="PMingLiU"/>
          <w:lang w:eastAsia="en-US"/>
        </w:rPr>
      </w:pPr>
      <w:r>
        <w:t>РД 24.200.04-90 Швы сварных соединений. Металлографический метод контроля основного металла и сварных соединений химнефтеаппаратуры.</w:t>
      </w:r>
    </w:p>
    <w:p>
      <w:pPr>
        <w:rPr>
          <w:rFonts w:eastAsia="PMingLiU"/>
        </w:rPr>
      </w:pPr>
    </w:p>
    <w:p>
      <w:pPr>
        <w:numPr>
          <w:ilvl w:val="0"/>
          <w:numId w:val="24"/>
        </w:numPr>
        <w:tabs>
          <w:tab w:val="clear" w:pos="363"/>
          <w:tab w:val="num" w:pos="567"/>
        </w:tabs>
        <w:ind w:left="567" w:hanging="567"/>
        <w:rPr>
          <w:rFonts w:eastAsia="PMingLiU"/>
          <w:lang w:eastAsia="en-US"/>
        </w:rPr>
      </w:pPr>
      <w:r>
        <w:t>РД 39-0147103-362-86 Руководство по применению антикоррозионных мероприятий при составлении проектов обустройства и реконструкции объектов нефтяных месторождений.</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PMingLiU"/>
          <w:lang w:eastAsia="en-US"/>
        </w:rPr>
        <w:t>Руководство по безопасности «Рекомендации по устройству и безопасной эксплуатации технологических трубопроводов», утверждённое приказом Ростехнадзора от 27.12.2012 № 784.</w:t>
      </w:r>
    </w:p>
    <w:p>
      <w:pPr>
        <w:rPr>
          <w:rFonts w:eastAsia="PMingLiU"/>
          <w:lang w:eastAsia="en-US"/>
        </w:rPr>
      </w:pPr>
    </w:p>
    <w:p>
      <w:pPr>
        <w:numPr>
          <w:ilvl w:val="0"/>
          <w:numId w:val="24"/>
        </w:numPr>
        <w:tabs>
          <w:tab w:val="clear" w:pos="363"/>
          <w:tab w:val="num" w:pos="567"/>
        </w:tabs>
        <w:ind w:left="567" w:hanging="567"/>
        <w:rPr>
          <w:rFonts w:eastAsia="PMingLiU"/>
          <w:lang w:eastAsia="en-US"/>
        </w:rPr>
      </w:pPr>
      <w:r>
        <w:t>Федеральные нормы и правила в области промышленной безопасности «Правила безопасности в нефтяной и газовой промышленности», утвержденные приказом Ростехнадзора от 12.03.2013 № 101.</w:t>
      </w:r>
    </w:p>
    <w:p>
      <w:pPr>
        <w:rPr>
          <w:rFonts w:eastAsia="PMingLiU"/>
          <w:lang w:eastAsia="en-US"/>
        </w:rPr>
      </w:pPr>
    </w:p>
    <w:p>
      <w:pPr>
        <w:numPr>
          <w:ilvl w:val="0"/>
          <w:numId w:val="24"/>
        </w:numPr>
        <w:tabs>
          <w:tab w:val="clear" w:pos="363"/>
          <w:tab w:val="num" w:pos="567"/>
        </w:tabs>
        <w:ind w:left="567" w:hanging="567"/>
        <w:rPr>
          <w:rFonts w:eastAsia="PMingLiU"/>
          <w:lang w:eastAsia="en-US"/>
        </w:rPr>
      </w:pPr>
      <w:r>
        <w:rPr>
          <w:rFonts w:eastAsia="SimSun"/>
          <w:lang w:eastAsia="zh-CN"/>
        </w:rPr>
        <w:t xml:space="preserve">Федеральные нормы и правила в области промышленной безопасности «Правила промышленной безопасности опасных производственных объектов, на которых </w:t>
      </w:r>
      <w:r>
        <w:rPr>
          <w:rFonts w:eastAsia="SimSun"/>
          <w:lang w:eastAsia="zh-CN"/>
        </w:rPr>
        <w:lastRenderedPageBreak/>
        <w:t>используется оборудование, работающее под избыточным давлением», утвержденные приказом Ростехнадзора от 25.03.2014 № 116.</w:t>
      </w:r>
    </w:p>
    <w:p>
      <w:pPr>
        <w:pStyle w:val="S0"/>
        <w:rPr>
          <w:rFonts w:eastAsia="PMingLiU"/>
          <w:szCs w:val="22"/>
          <w:lang w:eastAsia="en-US"/>
        </w:rPr>
      </w:pPr>
    </w:p>
    <w:p>
      <w:pPr>
        <w:numPr>
          <w:ilvl w:val="0"/>
          <w:numId w:val="24"/>
        </w:numPr>
        <w:tabs>
          <w:tab w:val="clear" w:pos="363"/>
          <w:tab w:val="num" w:pos="567"/>
        </w:tabs>
        <w:ind w:left="567" w:hanging="567"/>
        <w:rPr>
          <w:rFonts w:eastAsia="SimSun"/>
          <w:lang w:eastAsia="zh-CN"/>
        </w:rPr>
      </w:pPr>
      <w:r>
        <w:rPr>
          <w:rFonts w:eastAsia="SimSun"/>
          <w:lang w:eastAsia="zh-CN"/>
        </w:rPr>
        <w:t>Федеральные нормы и правила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r>
        <w:t>, утвержденные приказом Ростехнадзора от 11.03.2013 № 96</w:t>
      </w:r>
      <w:r>
        <w:rPr>
          <w:rFonts w:eastAsia="SimSun"/>
          <w:lang w:eastAsia="zh-CN"/>
        </w:rPr>
        <w:t>.</w:t>
      </w:r>
    </w:p>
    <w:p>
      <w:pPr>
        <w:rPr>
          <w:rFonts w:eastAsia="SimSun"/>
          <w:lang w:eastAsia="zh-CN"/>
        </w:rPr>
      </w:pPr>
    </w:p>
    <w:p>
      <w:pPr>
        <w:numPr>
          <w:ilvl w:val="0"/>
          <w:numId w:val="24"/>
        </w:numPr>
        <w:tabs>
          <w:tab w:val="clear" w:pos="363"/>
          <w:tab w:val="num" w:pos="567"/>
        </w:tabs>
        <w:ind w:left="567" w:hanging="567"/>
        <w:rPr>
          <w:rFonts w:eastAsia="SimSun"/>
          <w:lang w:eastAsia="zh-CN"/>
        </w:rPr>
      </w:pPr>
      <w:hyperlink r:id="rId51" w:history="1">
        <w:r>
          <w:rPr>
            <w:rFonts w:eastAsia="SimSun"/>
            <w:lang w:eastAsia="zh-CN"/>
          </w:rPr>
          <w:t>Федеральные нормы и правила в области промышленной безопасности «Правила безопасности нефтегазоперерабатывающих производств</w:t>
        </w:r>
      </w:hyperlink>
      <w:r>
        <w:rPr>
          <w:rFonts w:eastAsia="SimSun"/>
          <w:lang w:eastAsia="zh-CN"/>
        </w:rPr>
        <w:t>»</w:t>
      </w:r>
      <w:r>
        <w:t>, утвержденные приказом Ростехнадзора от 29.03.2016 № 125.</w:t>
      </w:r>
    </w:p>
    <w:p>
      <w:pPr>
        <w:rPr>
          <w:rFonts w:eastAsia="PMingLiU"/>
        </w:rPr>
      </w:pPr>
    </w:p>
    <w:p>
      <w:pPr>
        <w:numPr>
          <w:ilvl w:val="0"/>
          <w:numId w:val="24"/>
        </w:numPr>
        <w:tabs>
          <w:tab w:val="clear" w:pos="363"/>
          <w:tab w:val="num" w:pos="567"/>
        </w:tabs>
        <w:ind w:left="567" w:hanging="567"/>
        <w:rPr>
          <w:rFonts w:eastAsia="PMingLiU"/>
          <w:lang w:eastAsia="en-US"/>
        </w:rPr>
      </w:pPr>
      <w:r>
        <w:rPr>
          <w:rFonts w:eastAsia="PMingLiU"/>
          <w:lang w:eastAsia="en-US"/>
        </w:rPr>
        <w:t>Те</w:t>
      </w:r>
      <w:r>
        <w:rPr>
          <w:rFonts w:eastAsia="PMingLiU"/>
          <w:color w:val="000000"/>
        </w:rPr>
        <w:t xml:space="preserve">хнологическая инструкция Компании «Антикоррозионная защита металлических конструкций на объектах нефтегазодобычи, нефтегазопереработки и нефтепродуктообеспечения Компании» № П2-05 ТИ-0002 версия 2.00, утвержденная </w:t>
      </w:r>
      <w:r>
        <w:rPr>
          <w:rFonts w:eastAsia="PMingLiU"/>
          <w:lang w:eastAsia="en-US"/>
        </w:rPr>
        <w:t>приказом ОАО «НК «Роснефть» от 04.05.2016 № 224.</w:t>
      </w:r>
      <w:bookmarkEnd w:id="72"/>
      <w:r>
        <w:rPr>
          <w:rFonts w:eastAsia="PMingLiU"/>
          <w:lang w:eastAsia="en-US"/>
        </w:rPr>
        <w:t xml:space="preserve"> </w:t>
      </w:r>
    </w:p>
    <w:p>
      <w:pPr>
        <w:pStyle w:val="S0"/>
        <w:rPr>
          <w:rFonts w:eastAsia="PMingLiU"/>
        </w:rPr>
        <w:sectPr>
          <w:headerReference w:type="even" r:id="rId52"/>
          <w:headerReference w:type="default" r:id="rId53"/>
          <w:headerReference w:type="first" r:id="rId54"/>
          <w:pgSz w:w="11906" w:h="16838" w:code="9"/>
          <w:pgMar w:top="510" w:right="1021" w:bottom="567" w:left="1247" w:header="737" w:footer="680" w:gutter="0"/>
          <w:cols w:space="708"/>
          <w:docGrid w:linePitch="360"/>
        </w:sectPr>
      </w:pPr>
    </w:p>
    <w:p>
      <w:pPr>
        <w:pStyle w:val="S13"/>
        <w:numPr>
          <w:ilvl w:val="0"/>
          <w:numId w:val="26"/>
        </w:numPr>
        <w:ind w:left="0" w:firstLine="0"/>
      </w:pPr>
      <w:bookmarkStart w:id="291" w:name="_Toc514169545"/>
      <w:bookmarkStart w:id="292" w:name="_Toc479786168"/>
      <w:bookmarkStart w:id="293" w:name="_Toc481049391"/>
      <w:bookmarkStart w:id="294" w:name="_Toc481662428"/>
      <w:bookmarkStart w:id="295" w:name="_Toc424307565"/>
      <w:r>
        <w:rPr>
          <w:caps w:val="0"/>
        </w:rPr>
        <w:lastRenderedPageBreak/>
        <w:t>БИБЛИОГРАФИЯ</w:t>
      </w:r>
      <w:bookmarkEnd w:id="291"/>
    </w:p>
    <w:p>
      <w:pPr>
        <w:pStyle w:val="S0"/>
      </w:pPr>
    </w:p>
    <w:p>
      <w:pPr>
        <w:pStyle w:val="S0"/>
      </w:pPr>
    </w:p>
    <w:p>
      <w:pPr>
        <w:numPr>
          <w:ilvl w:val="0"/>
          <w:numId w:val="47"/>
        </w:numPr>
        <w:tabs>
          <w:tab w:val="clear" w:pos="363"/>
          <w:tab w:val="num" w:pos="567"/>
        </w:tabs>
        <w:ind w:left="567" w:hanging="567"/>
        <w:rPr>
          <w:rFonts w:eastAsia="PMingLiU"/>
          <w:lang w:eastAsia="en-US"/>
        </w:rPr>
      </w:pPr>
      <w:r>
        <w:rPr>
          <w:rFonts w:eastAsia="PMingLiU"/>
          <w:lang w:eastAsia="en-US"/>
        </w:rPr>
        <w:t>СТ ЦКБА 005.01-2003 Арматура трубопроводная. Металлы, применяемые в арматуростроении.</w:t>
      </w:r>
    </w:p>
    <w:p>
      <w:pPr>
        <w:tabs>
          <w:tab w:val="num" w:pos="567"/>
        </w:tabs>
        <w:ind w:left="567" w:hanging="567"/>
        <w:rPr>
          <w:rFonts w:eastAsia="PMingLiU"/>
          <w:lang w:eastAsia="en-US"/>
        </w:rPr>
      </w:pPr>
    </w:p>
    <w:p>
      <w:pPr>
        <w:numPr>
          <w:ilvl w:val="0"/>
          <w:numId w:val="47"/>
        </w:numPr>
        <w:tabs>
          <w:tab w:val="clear" w:pos="363"/>
          <w:tab w:val="num" w:pos="567"/>
        </w:tabs>
        <w:ind w:left="567" w:hanging="567"/>
        <w:rPr>
          <w:rFonts w:eastAsia="PMingLiU"/>
          <w:lang w:eastAsia="en-US"/>
        </w:rPr>
      </w:pPr>
      <w:r>
        <w:rPr>
          <w:rFonts w:eastAsia="PMingLiU"/>
          <w:lang w:eastAsia="en-US"/>
        </w:rPr>
        <w:t>СТ ЦКБА 010-2004 Арматура трубопроводная. Поковки, штамповки и заготовки из проката. Технические требования.</w:t>
      </w:r>
    </w:p>
    <w:p>
      <w:pPr>
        <w:tabs>
          <w:tab w:val="num" w:pos="567"/>
        </w:tabs>
        <w:ind w:left="567" w:hanging="567"/>
        <w:rPr>
          <w:rFonts w:eastAsia="PMingLiU"/>
          <w:lang w:val="en-US"/>
        </w:rPr>
      </w:pPr>
    </w:p>
    <w:p>
      <w:pPr>
        <w:numPr>
          <w:ilvl w:val="0"/>
          <w:numId w:val="47"/>
        </w:numPr>
        <w:tabs>
          <w:tab w:val="clear" w:pos="363"/>
          <w:tab w:val="num" w:pos="567"/>
        </w:tabs>
        <w:ind w:left="567" w:hanging="567"/>
        <w:rPr>
          <w:rFonts w:eastAsia="PMingLiU"/>
          <w:lang w:eastAsia="en-US"/>
        </w:rPr>
      </w:pPr>
      <w:r>
        <w:rPr>
          <w:rFonts w:eastAsia="PMingLiU"/>
          <w:lang w:eastAsia="en-US"/>
        </w:rPr>
        <w:t>СТ ЦКБА 012-2005 Арматура трубопроводная. Шпильки, болты, гайки и шайбы для трубопроводной арматуры.</w:t>
      </w:r>
    </w:p>
    <w:p>
      <w:pPr>
        <w:tabs>
          <w:tab w:val="num" w:pos="567"/>
        </w:tabs>
        <w:ind w:left="567" w:hanging="567"/>
        <w:rPr>
          <w:rFonts w:eastAsia="PMingLiU"/>
        </w:rPr>
      </w:pPr>
    </w:p>
    <w:p>
      <w:pPr>
        <w:numPr>
          <w:ilvl w:val="0"/>
          <w:numId w:val="47"/>
        </w:numPr>
        <w:tabs>
          <w:tab w:val="clear" w:pos="363"/>
          <w:tab w:val="num" w:pos="567"/>
        </w:tabs>
        <w:ind w:left="567" w:hanging="567"/>
        <w:rPr>
          <w:rFonts w:eastAsia="PMingLiU"/>
          <w:lang w:eastAsia="en-US"/>
        </w:rPr>
      </w:pPr>
      <w:r>
        <w:rPr>
          <w:rFonts w:eastAsia="PMingLiU"/>
          <w:lang w:eastAsia="en-US"/>
        </w:rPr>
        <w:t>СТ ЦКБА 014-2004 Арматура трубопроводная. Отливки стальные. Общие технические условия.</w:t>
      </w:r>
    </w:p>
    <w:p>
      <w:pPr>
        <w:tabs>
          <w:tab w:val="num" w:pos="567"/>
        </w:tabs>
        <w:ind w:left="567" w:hanging="567"/>
        <w:rPr>
          <w:rFonts w:eastAsia="PMingLiU"/>
        </w:rPr>
      </w:pPr>
    </w:p>
    <w:p>
      <w:pPr>
        <w:numPr>
          <w:ilvl w:val="0"/>
          <w:numId w:val="47"/>
        </w:numPr>
        <w:tabs>
          <w:tab w:val="clear" w:pos="363"/>
          <w:tab w:val="num" w:pos="567"/>
        </w:tabs>
        <w:ind w:left="567" w:hanging="567"/>
        <w:rPr>
          <w:rFonts w:eastAsia="PMingLiU"/>
          <w:lang w:eastAsia="en-US"/>
        </w:rPr>
      </w:pPr>
      <w:r>
        <w:t>СТ ЦКБА 016-2005 Арматура трубопроводная. Термическая обработка деталей, заготовок и сварных сборок из высоколегированных сталей, коррозионностойких и жаропрочных сплавов.</w:t>
      </w:r>
    </w:p>
    <w:p>
      <w:pPr>
        <w:tabs>
          <w:tab w:val="num" w:pos="567"/>
        </w:tabs>
        <w:ind w:left="567" w:hanging="567"/>
        <w:rPr>
          <w:rFonts w:eastAsia="PMingLiU"/>
        </w:rPr>
      </w:pPr>
    </w:p>
    <w:p>
      <w:pPr>
        <w:numPr>
          <w:ilvl w:val="0"/>
          <w:numId w:val="47"/>
        </w:numPr>
        <w:tabs>
          <w:tab w:val="clear" w:pos="363"/>
          <w:tab w:val="num" w:pos="567"/>
        </w:tabs>
        <w:ind w:left="567" w:hanging="567"/>
      </w:pPr>
      <w:r>
        <w:t>СТ ЦКБА 025-2006 Арматура трубопроводная. Сварка и контроль качества сварных соединений. Технические требования.</w:t>
      </w:r>
    </w:p>
    <w:p>
      <w:pPr>
        <w:tabs>
          <w:tab w:val="num" w:pos="567"/>
        </w:tabs>
        <w:ind w:left="567" w:hanging="567"/>
        <w:rPr>
          <w:rFonts w:eastAsia="PMingLiU"/>
          <w:lang w:val="en-US"/>
        </w:rPr>
      </w:pPr>
    </w:p>
    <w:p>
      <w:pPr>
        <w:numPr>
          <w:ilvl w:val="0"/>
          <w:numId w:val="47"/>
        </w:numPr>
        <w:tabs>
          <w:tab w:val="clear" w:pos="363"/>
          <w:tab w:val="num" w:pos="567"/>
        </w:tabs>
        <w:ind w:left="567" w:hanging="567"/>
        <w:rPr>
          <w:rFonts w:eastAsia="PMingLiU"/>
          <w:lang w:eastAsia="en-US"/>
        </w:rPr>
      </w:pPr>
      <w:r>
        <w:t>СТ ЦКБА 052-2008 Арматура трубопроводная. Требования к материалам арматуры, применяемой для сероводородсодержащих сред.</w:t>
      </w:r>
    </w:p>
    <w:p>
      <w:pPr>
        <w:tabs>
          <w:tab w:val="num" w:pos="567"/>
        </w:tabs>
        <w:ind w:left="567" w:hanging="567"/>
      </w:pPr>
    </w:p>
    <w:p>
      <w:pPr>
        <w:numPr>
          <w:ilvl w:val="0"/>
          <w:numId w:val="47"/>
        </w:numPr>
        <w:tabs>
          <w:tab w:val="clear" w:pos="363"/>
          <w:tab w:val="num" w:pos="567"/>
        </w:tabs>
        <w:ind w:left="567" w:hanging="567"/>
      </w:pPr>
      <w:r>
        <w:t>СТ ЦКБА 053-2008 Арматура трубопроводная. Наплавка и контроль качества наплавленных поверхностей. Технические требования.</w:t>
      </w:r>
    </w:p>
    <w:p>
      <w:pPr>
        <w:tabs>
          <w:tab w:val="num" w:pos="567"/>
        </w:tabs>
        <w:ind w:left="567" w:hanging="567"/>
        <w:rPr>
          <w:rFonts w:eastAsia="PMingLiU"/>
        </w:rPr>
      </w:pPr>
    </w:p>
    <w:p>
      <w:pPr>
        <w:numPr>
          <w:ilvl w:val="0"/>
          <w:numId w:val="47"/>
        </w:numPr>
        <w:tabs>
          <w:tab w:val="clear" w:pos="363"/>
          <w:tab w:val="num" w:pos="567"/>
        </w:tabs>
        <w:ind w:left="567" w:hanging="567"/>
      </w:pPr>
      <w:r>
        <w:t>ТУ 64-1-308-84 Аквадистиллятор ДЭ-10.</w:t>
      </w:r>
    </w:p>
    <w:p>
      <w:pPr>
        <w:tabs>
          <w:tab w:val="num" w:pos="567"/>
        </w:tabs>
        <w:ind w:left="567" w:hanging="567"/>
      </w:pPr>
    </w:p>
    <w:p>
      <w:pPr>
        <w:numPr>
          <w:ilvl w:val="0"/>
          <w:numId w:val="47"/>
        </w:numPr>
        <w:tabs>
          <w:tab w:val="clear" w:pos="363"/>
          <w:tab w:val="num" w:pos="567"/>
        </w:tabs>
        <w:ind w:left="567" w:hanging="567"/>
      </w:pPr>
      <w:r>
        <w:rPr>
          <w:lang w:val="en-US"/>
        </w:rPr>
        <w:t xml:space="preserve">IEC 61158-2-2014 Industrial communication networks – Fieldbus specifications – Part 2: Physical layer specification and service definition - Edition 6.0. </w:t>
      </w:r>
      <w:r>
        <w:t>Промышленные сети связи – спецификации Fieldbus – Часть 2: спецификация Физического уровня и сервисное определение - Выпуск 6.0.</w:t>
      </w:r>
    </w:p>
    <w:p>
      <w:pPr>
        <w:numPr>
          <w:ilvl w:val="0"/>
          <w:numId w:val="47"/>
        </w:numPr>
        <w:sectPr>
          <w:headerReference w:type="even" r:id="rId55"/>
          <w:headerReference w:type="default" r:id="rId56"/>
          <w:headerReference w:type="first" r:id="rId57"/>
          <w:pgSz w:w="11906" w:h="16838" w:code="9"/>
          <w:pgMar w:top="510" w:right="1021" w:bottom="567" w:left="1247" w:header="737" w:footer="680" w:gutter="0"/>
          <w:cols w:space="708"/>
          <w:docGrid w:linePitch="360"/>
        </w:sectPr>
      </w:pPr>
    </w:p>
    <w:p/>
    <w:p>
      <w:pPr>
        <w:pStyle w:val="S13"/>
        <w:numPr>
          <w:ilvl w:val="0"/>
          <w:numId w:val="26"/>
        </w:numPr>
        <w:ind w:left="0" w:firstLine="0"/>
      </w:pPr>
      <w:bookmarkStart w:id="296" w:name="_Toc514169546"/>
      <w:r>
        <w:lastRenderedPageBreak/>
        <w:t>РЕГИСТРАЦИЯ ИЗМЕНЕНИЙ ЛОКАЛЬНОГО НОРМАТИВНОГО ДОКУМЕНТА</w:t>
      </w:r>
      <w:bookmarkEnd w:id="292"/>
      <w:bookmarkEnd w:id="293"/>
      <w:bookmarkEnd w:id="294"/>
      <w:bookmarkEnd w:id="296"/>
    </w:p>
    <w:p>
      <w:pPr>
        <w:widowControl w:val="0"/>
        <w:rPr>
          <w:rFonts w:eastAsia="Times New Roman"/>
        </w:rPr>
      </w:pPr>
    </w:p>
    <w:p>
      <w:pPr>
        <w:widowControl w:val="0"/>
        <w:rPr>
          <w:rFonts w:eastAsia="Times New Roman"/>
        </w:rPr>
      </w:pPr>
    </w:p>
    <w:p>
      <w:pPr>
        <w:keepNext/>
        <w:widowControl w:val="0"/>
        <w:jc w:val="right"/>
        <w:rPr>
          <w:rFonts w:ascii="Arial" w:eastAsia="Times New Roman" w:hAnsi="Arial"/>
          <w:b/>
          <w:sz w:val="20"/>
        </w:rPr>
      </w:pPr>
      <w:r>
        <w:rPr>
          <w:rFonts w:ascii="Arial" w:eastAsia="Times New Roman" w:hAnsi="Arial"/>
          <w:b/>
          <w:sz w:val="20"/>
        </w:rPr>
        <w:t>Таблица</w:t>
      </w:r>
      <w:r>
        <w:rPr>
          <w:rFonts w:ascii="Arial" w:eastAsia="Times New Roman" w:hAnsi="Arial" w:cs="Arial"/>
          <w:b/>
          <w:sz w:val="20"/>
          <w:szCs w:val="20"/>
        </w:rPr>
        <w:t xml:space="preserve"> </w:t>
      </w:r>
      <w:r>
        <w:rPr>
          <w:rFonts w:ascii="Arial" w:hAnsi="Arial" w:cs="Arial"/>
          <w:b/>
          <w:sz w:val="20"/>
          <w:szCs w:val="20"/>
          <w:lang w:val="x-none" w:eastAsia="x-none"/>
        </w:rPr>
        <w:fldChar w:fldCharType="begin"/>
      </w:r>
      <w:r>
        <w:rPr>
          <w:rFonts w:ascii="Arial" w:hAnsi="Arial" w:cs="Arial"/>
          <w:b/>
          <w:sz w:val="20"/>
          <w:szCs w:val="20"/>
          <w:lang w:val="x-none" w:eastAsia="x-none"/>
        </w:rPr>
        <w:instrText xml:space="preserve"> SEQ Таблица \* ARABIC </w:instrText>
      </w:r>
      <w:r>
        <w:rPr>
          <w:rFonts w:ascii="Arial" w:hAnsi="Arial" w:cs="Arial"/>
          <w:b/>
          <w:sz w:val="20"/>
          <w:szCs w:val="20"/>
          <w:lang w:val="x-none" w:eastAsia="x-none"/>
        </w:rPr>
        <w:fldChar w:fldCharType="separate"/>
      </w:r>
      <w:bookmarkStart w:id="297" w:name="_Ref458613311"/>
      <w:r>
        <w:rPr>
          <w:rFonts w:ascii="Arial" w:hAnsi="Arial" w:cs="Arial"/>
          <w:b/>
          <w:noProof/>
          <w:sz w:val="20"/>
          <w:szCs w:val="20"/>
          <w:lang w:val="x-none" w:eastAsia="x-none"/>
        </w:rPr>
        <w:t>31</w:t>
      </w:r>
      <w:bookmarkEnd w:id="297"/>
      <w:r>
        <w:rPr>
          <w:rFonts w:ascii="Arial" w:hAnsi="Arial" w:cs="Arial"/>
          <w:b/>
          <w:sz w:val="20"/>
          <w:szCs w:val="20"/>
          <w:lang w:val="x-none" w:eastAsia="x-none"/>
        </w:rPr>
        <w:fldChar w:fldCharType="end"/>
      </w:r>
    </w:p>
    <w:p>
      <w:pPr>
        <w:suppressAutoHyphens/>
        <w:spacing w:after="60"/>
        <w:jc w:val="right"/>
        <w:rPr>
          <w:rFonts w:ascii="Arial" w:eastAsia="Times New Roman" w:hAnsi="Arial" w:cs="Arial"/>
          <w:b/>
          <w:bCs/>
          <w:sz w:val="20"/>
          <w:lang w:eastAsia="ar-SA"/>
        </w:rPr>
      </w:pPr>
      <w:r>
        <w:rPr>
          <w:rFonts w:ascii="Arial" w:eastAsia="Times New Roman" w:hAnsi="Arial" w:cs="Arial"/>
          <w:b/>
          <w:bCs/>
          <w:sz w:val="20"/>
          <w:lang w:eastAsia="ar-SA"/>
        </w:rPr>
        <w:t>Перечень изменений Методических указаний Компании</w:t>
      </w:r>
    </w:p>
    <w:tbl>
      <w:tblPr>
        <w:tblW w:w="5000" w:type="pct"/>
        <w:tblLook w:val="0000" w:firstRow="0" w:lastRow="0" w:firstColumn="0" w:lastColumn="0" w:noHBand="0" w:noVBand="0"/>
      </w:tblPr>
      <w:tblGrid>
        <w:gridCol w:w="895"/>
        <w:gridCol w:w="2190"/>
        <w:gridCol w:w="1809"/>
        <w:gridCol w:w="1454"/>
        <w:gridCol w:w="1275"/>
        <w:gridCol w:w="2231"/>
      </w:tblGrid>
      <w:tr>
        <w:tc>
          <w:tcPr>
            <w:tcW w:w="454" w:type="pct"/>
            <w:tcBorders>
              <w:top w:val="single" w:sz="12" w:space="0" w:color="auto"/>
              <w:left w:val="single" w:sz="12" w:space="0" w:color="auto"/>
              <w:bottom w:val="single" w:sz="12" w:space="0" w:color="auto"/>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версия</w:t>
            </w:r>
          </w:p>
        </w:tc>
        <w:tc>
          <w:tcPr>
            <w:tcW w:w="1111" w:type="pct"/>
            <w:tcBorders>
              <w:top w:val="single" w:sz="12" w:space="0" w:color="auto"/>
              <w:left w:val="single" w:sz="6" w:space="0" w:color="auto"/>
              <w:bottom w:val="single" w:sz="12" w:space="0" w:color="auto"/>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вид и наименование документа</w:t>
            </w:r>
          </w:p>
        </w:tc>
        <w:tc>
          <w:tcPr>
            <w:tcW w:w="918" w:type="pct"/>
            <w:tcBorders>
              <w:top w:val="single" w:sz="12" w:space="0" w:color="auto"/>
              <w:left w:val="single" w:sz="6" w:space="0" w:color="auto"/>
              <w:bottom w:val="single" w:sz="12" w:space="0" w:color="auto"/>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номер документа</w:t>
            </w:r>
          </w:p>
        </w:tc>
        <w:tc>
          <w:tcPr>
            <w:tcW w:w="738" w:type="pct"/>
            <w:tcBorders>
              <w:top w:val="single" w:sz="12" w:space="0" w:color="auto"/>
              <w:left w:val="single" w:sz="6" w:space="0" w:color="auto"/>
              <w:bottom w:val="single" w:sz="12" w:space="0" w:color="auto"/>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ДАТА УТВЕРЖДЕНИЯ</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дата ввЕДЕНИЯ в действие</w:t>
            </w:r>
          </w:p>
        </w:tc>
        <w:tc>
          <w:tcPr>
            <w:tcW w:w="1132" w:type="pct"/>
            <w:tcBorders>
              <w:top w:val="single" w:sz="12" w:space="0" w:color="auto"/>
              <w:left w:val="single" w:sz="6" w:space="0" w:color="auto"/>
              <w:bottom w:val="single" w:sz="12" w:space="0" w:color="auto"/>
              <w:right w:val="single" w:sz="12"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РЕКВИЗИТЫ РАСПОРЯДИТЕЛЬНОГО ДОКУМЕНТА</w:t>
            </w:r>
          </w:p>
        </w:tc>
      </w:tr>
      <w:tr>
        <w:tc>
          <w:tcPr>
            <w:tcW w:w="454" w:type="pct"/>
            <w:tcBorders>
              <w:top w:val="single" w:sz="12" w:space="0" w:color="auto"/>
              <w:left w:val="single" w:sz="12" w:space="0" w:color="auto"/>
              <w:bottom w:val="single" w:sz="12" w:space="0" w:color="000000"/>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1</w:t>
            </w:r>
          </w:p>
        </w:tc>
        <w:tc>
          <w:tcPr>
            <w:tcW w:w="1111" w:type="pct"/>
            <w:tcBorders>
              <w:top w:val="single" w:sz="12" w:space="0" w:color="auto"/>
              <w:left w:val="single" w:sz="6" w:space="0" w:color="auto"/>
              <w:bottom w:val="single" w:sz="12" w:space="0" w:color="000000"/>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2</w:t>
            </w:r>
          </w:p>
        </w:tc>
        <w:tc>
          <w:tcPr>
            <w:tcW w:w="918" w:type="pct"/>
            <w:tcBorders>
              <w:top w:val="single" w:sz="12" w:space="0" w:color="auto"/>
              <w:left w:val="single" w:sz="6" w:space="0" w:color="auto"/>
              <w:bottom w:val="single" w:sz="12" w:space="0" w:color="000000"/>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3</w:t>
            </w:r>
          </w:p>
        </w:tc>
        <w:tc>
          <w:tcPr>
            <w:tcW w:w="738" w:type="pct"/>
            <w:tcBorders>
              <w:top w:val="single" w:sz="12" w:space="0" w:color="auto"/>
              <w:left w:val="single" w:sz="6" w:space="0" w:color="auto"/>
              <w:bottom w:val="single" w:sz="12" w:space="0" w:color="000000"/>
              <w:right w:val="single" w:sz="6" w:space="0" w:color="auto"/>
            </w:tcBorders>
            <w:shd w:val="clear" w:color="auto" w:fill="FFD200"/>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4</w:t>
            </w:r>
          </w:p>
        </w:tc>
        <w:tc>
          <w:tcPr>
            <w:tcW w:w="647" w:type="pct"/>
            <w:tcBorders>
              <w:top w:val="single" w:sz="12" w:space="0" w:color="auto"/>
              <w:left w:val="single" w:sz="6" w:space="0" w:color="auto"/>
              <w:bottom w:val="single" w:sz="12" w:space="0" w:color="000000"/>
              <w:right w:val="single" w:sz="6"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5</w:t>
            </w:r>
          </w:p>
        </w:tc>
        <w:tc>
          <w:tcPr>
            <w:tcW w:w="1132" w:type="pct"/>
            <w:tcBorders>
              <w:top w:val="single" w:sz="12" w:space="0" w:color="auto"/>
              <w:left w:val="single" w:sz="6" w:space="0" w:color="auto"/>
              <w:bottom w:val="single" w:sz="12" w:space="0" w:color="000000"/>
              <w:right w:val="single" w:sz="12" w:space="0" w:color="auto"/>
            </w:tcBorders>
            <w:shd w:val="clear" w:color="auto" w:fill="FFD200"/>
            <w:vAlign w:val="center"/>
          </w:tcPr>
          <w:p>
            <w:pPr>
              <w:snapToGrid w:val="0"/>
              <w:spacing w:before="20" w:after="20"/>
              <w:jc w:val="center"/>
              <w:rPr>
                <w:rFonts w:ascii="Arial" w:hAnsi="Arial" w:cs="Arial"/>
                <w:b/>
                <w:caps/>
                <w:sz w:val="16"/>
                <w:szCs w:val="16"/>
                <w:u w:color="000000"/>
              </w:rPr>
            </w:pPr>
            <w:r>
              <w:rPr>
                <w:rFonts w:ascii="Arial" w:hAnsi="Arial" w:cs="Arial"/>
                <w:b/>
                <w:caps/>
                <w:sz w:val="16"/>
                <w:szCs w:val="16"/>
                <w:u w:color="000000"/>
              </w:rPr>
              <w:t>6</w:t>
            </w:r>
          </w:p>
        </w:tc>
      </w:tr>
      <w:tr>
        <w:tc>
          <w:tcPr>
            <w:tcW w:w="454" w:type="pct"/>
            <w:tcBorders>
              <w:top w:val="single" w:sz="12" w:space="0" w:color="000000"/>
              <w:left w:val="single" w:sz="12" w:space="0" w:color="000000"/>
              <w:bottom w:val="single" w:sz="12" w:space="0" w:color="000000"/>
              <w:right w:val="single" w:sz="6" w:space="0" w:color="000000"/>
            </w:tcBorders>
            <w:shd w:val="clear" w:color="auto" w:fill="auto"/>
          </w:tcPr>
          <w:p>
            <w:pPr>
              <w:snapToGrid w:val="0"/>
              <w:rPr>
                <w:sz w:val="20"/>
                <w:szCs w:val="20"/>
              </w:rPr>
            </w:pPr>
            <w:r>
              <w:rPr>
                <w:sz w:val="20"/>
                <w:szCs w:val="20"/>
                <w:lang w:val="en-US"/>
              </w:rPr>
              <w:t>1</w:t>
            </w:r>
            <w:r>
              <w:rPr>
                <w:sz w:val="20"/>
                <w:szCs w:val="20"/>
              </w:rPr>
              <w:t>.00</w:t>
            </w:r>
          </w:p>
        </w:tc>
        <w:tc>
          <w:tcPr>
            <w:tcW w:w="1111" w:type="pct"/>
            <w:tcBorders>
              <w:top w:val="single" w:sz="12" w:space="0" w:color="000000"/>
              <w:left w:val="single" w:sz="6" w:space="0" w:color="000000"/>
              <w:bottom w:val="single" w:sz="12" w:space="0" w:color="000000"/>
              <w:right w:val="single" w:sz="6" w:space="0" w:color="000000"/>
            </w:tcBorders>
            <w:shd w:val="clear" w:color="auto" w:fill="auto"/>
          </w:tcPr>
          <w:p>
            <w:pPr>
              <w:snapToGrid w:val="0"/>
              <w:jc w:val="left"/>
              <w:rPr>
                <w:sz w:val="20"/>
                <w:szCs w:val="20"/>
              </w:rPr>
            </w:pPr>
            <w:r>
              <w:rPr>
                <w:sz w:val="20"/>
                <w:szCs w:val="20"/>
              </w:rPr>
              <w:t>Методические указания Компании «Единые технические требования.</w:t>
            </w:r>
          </w:p>
          <w:p>
            <w:pPr>
              <w:snapToGrid w:val="0"/>
              <w:jc w:val="left"/>
              <w:rPr>
                <w:sz w:val="20"/>
                <w:szCs w:val="20"/>
              </w:rPr>
            </w:pPr>
            <w:r>
              <w:rPr>
                <w:sz w:val="20"/>
                <w:szCs w:val="20"/>
              </w:rPr>
              <w:t>Краны шаровые»</w:t>
            </w:r>
          </w:p>
        </w:tc>
        <w:tc>
          <w:tcPr>
            <w:tcW w:w="918" w:type="pct"/>
            <w:tcBorders>
              <w:top w:val="single" w:sz="12" w:space="0" w:color="000000"/>
              <w:left w:val="single" w:sz="6" w:space="0" w:color="000000"/>
              <w:bottom w:val="single" w:sz="12" w:space="0" w:color="000000"/>
              <w:right w:val="single" w:sz="6" w:space="0" w:color="000000"/>
            </w:tcBorders>
            <w:shd w:val="clear" w:color="auto" w:fill="auto"/>
          </w:tcPr>
          <w:p>
            <w:pPr>
              <w:snapToGrid w:val="0"/>
              <w:rPr>
                <w:sz w:val="20"/>
                <w:szCs w:val="20"/>
                <w:lang w:val="en-US"/>
              </w:rPr>
            </w:pPr>
            <w:r>
              <w:rPr>
                <w:sz w:val="20"/>
                <w:szCs w:val="20"/>
              </w:rPr>
              <w:t>П1-01.05 М-0</w:t>
            </w:r>
            <w:r>
              <w:rPr>
                <w:sz w:val="20"/>
                <w:szCs w:val="20"/>
                <w:lang w:val="en-US"/>
              </w:rPr>
              <w:t>114</w:t>
            </w:r>
          </w:p>
        </w:tc>
        <w:tc>
          <w:tcPr>
            <w:tcW w:w="738" w:type="pct"/>
            <w:tcBorders>
              <w:top w:val="single" w:sz="12" w:space="0" w:color="000000"/>
              <w:left w:val="single" w:sz="6" w:space="0" w:color="000000"/>
              <w:bottom w:val="single" w:sz="12" w:space="0" w:color="000000"/>
              <w:right w:val="single" w:sz="6" w:space="0" w:color="000000"/>
            </w:tcBorders>
          </w:tcPr>
          <w:p>
            <w:pPr>
              <w:snapToGrid w:val="0"/>
              <w:rPr>
                <w:sz w:val="20"/>
                <w:szCs w:val="20"/>
                <w:lang w:val="en-US"/>
              </w:rPr>
            </w:pPr>
            <w:r>
              <w:rPr>
                <w:sz w:val="20"/>
                <w:szCs w:val="20"/>
                <w:lang w:val="en-US"/>
              </w:rPr>
              <w:t>27.09.2016</w:t>
            </w:r>
          </w:p>
        </w:tc>
        <w:tc>
          <w:tcPr>
            <w:tcW w:w="647" w:type="pct"/>
            <w:tcBorders>
              <w:top w:val="single" w:sz="12" w:space="0" w:color="000000"/>
              <w:left w:val="single" w:sz="6" w:space="0" w:color="000000"/>
              <w:bottom w:val="single" w:sz="12" w:space="0" w:color="000000"/>
              <w:right w:val="single" w:sz="6" w:space="0" w:color="000000"/>
            </w:tcBorders>
            <w:shd w:val="clear" w:color="auto" w:fill="auto"/>
          </w:tcPr>
          <w:p>
            <w:pPr>
              <w:snapToGrid w:val="0"/>
              <w:rPr>
                <w:b/>
                <w:sz w:val="20"/>
                <w:szCs w:val="20"/>
                <w:lang w:val="en-US"/>
              </w:rPr>
            </w:pPr>
            <w:r>
              <w:rPr>
                <w:sz w:val="20"/>
                <w:szCs w:val="20"/>
                <w:lang w:val="en-US"/>
              </w:rPr>
              <w:t>27.09.2016</w:t>
            </w:r>
          </w:p>
        </w:tc>
        <w:tc>
          <w:tcPr>
            <w:tcW w:w="1132" w:type="pct"/>
            <w:tcBorders>
              <w:top w:val="single" w:sz="12" w:space="0" w:color="000000"/>
              <w:left w:val="single" w:sz="6" w:space="0" w:color="000000"/>
              <w:bottom w:val="single" w:sz="12" w:space="0" w:color="000000"/>
              <w:right w:val="single" w:sz="12" w:space="0" w:color="000000"/>
            </w:tcBorders>
            <w:shd w:val="clear" w:color="auto" w:fill="auto"/>
          </w:tcPr>
          <w:p>
            <w:pPr>
              <w:snapToGrid w:val="0"/>
              <w:jc w:val="left"/>
              <w:rPr>
                <w:sz w:val="20"/>
                <w:szCs w:val="20"/>
              </w:rPr>
            </w:pPr>
            <w:r>
              <w:rPr>
                <w:sz w:val="20"/>
                <w:szCs w:val="20"/>
              </w:rPr>
              <w:t xml:space="preserve">Распоряжение </w:t>
            </w:r>
          </w:p>
          <w:p>
            <w:pPr>
              <w:snapToGrid w:val="0"/>
              <w:jc w:val="left"/>
              <w:rPr>
                <w:sz w:val="20"/>
                <w:szCs w:val="20"/>
              </w:rPr>
            </w:pPr>
            <w:r>
              <w:rPr>
                <w:sz w:val="20"/>
                <w:szCs w:val="20"/>
              </w:rPr>
              <w:t>ПАО «НК «Роснефть»</w:t>
            </w:r>
          </w:p>
          <w:p>
            <w:pPr>
              <w:snapToGrid w:val="0"/>
              <w:jc w:val="left"/>
              <w:rPr>
                <w:sz w:val="20"/>
                <w:szCs w:val="20"/>
              </w:rPr>
            </w:pPr>
            <w:r>
              <w:rPr>
                <w:sz w:val="20"/>
                <w:szCs w:val="20"/>
              </w:rPr>
              <w:t>от 27.09.2016 № 349</w:t>
            </w:r>
          </w:p>
        </w:tc>
      </w:tr>
    </w:tbl>
    <w:p>
      <w:pPr>
        <w:widowControl w:val="0"/>
        <w:rPr>
          <w:rFonts w:eastAsia="Times New Roman"/>
        </w:rPr>
      </w:pPr>
    </w:p>
    <w:p>
      <w:pPr>
        <w:widowControl w:val="0"/>
        <w:rPr>
          <w:rFonts w:eastAsia="Times New Roman"/>
        </w:rPr>
        <w:sectPr>
          <w:headerReference w:type="default" r:id="rId58"/>
          <w:type w:val="continuous"/>
          <w:pgSz w:w="11906" w:h="16838" w:code="9"/>
          <w:pgMar w:top="510" w:right="1021" w:bottom="567" w:left="1247" w:header="737" w:footer="680" w:gutter="0"/>
          <w:cols w:space="708"/>
          <w:docGrid w:linePitch="360"/>
        </w:sectPr>
      </w:pPr>
    </w:p>
    <w:p>
      <w:pPr>
        <w:pStyle w:val="13"/>
        <w:keepLines/>
        <w:rPr>
          <w:rFonts w:eastAsia="Calibri"/>
          <w:lang w:eastAsia="en-US"/>
        </w:rPr>
      </w:pPr>
      <w:bookmarkStart w:id="298" w:name="_ПРИЛОЖЕНИЯ"/>
      <w:bookmarkStart w:id="299" w:name="_Toc481662429"/>
      <w:bookmarkStart w:id="300" w:name="_Toc514169547"/>
      <w:bookmarkEnd w:id="298"/>
      <w:r>
        <w:rPr>
          <w:rFonts w:eastAsia="Calibri"/>
          <w:lang w:eastAsia="en-US"/>
        </w:rPr>
        <w:lastRenderedPageBreak/>
        <w:t>ПРИЛОЖЕНИ</w:t>
      </w:r>
      <w:bookmarkEnd w:id="295"/>
      <w:r>
        <w:rPr>
          <w:rFonts w:eastAsia="Calibri"/>
          <w:lang w:eastAsia="en-US"/>
        </w:rPr>
        <w:t>Я</w:t>
      </w:r>
      <w:bookmarkEnd w:id="299"/>
      <w:bookmarkEnd w:id="300"/>
    </w:p>
    <w:p/>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32</w:t>
      </w:r>
      <w:r>
        <w:rPr>
          <w:rFonts w:ascii="Arial" w:eastAsia="Times New Roman" w:hAnsi="Arial"/>
          <w:b/>
          <w:noProof/>
          <w:sz w:val="20"/>
        </w:rPr>
        <w:fldChar w:fldCharType="end"/>
      </w:r>
    </w:p>
    <w:p>
      <w:pPr>
        <w:keepNext/>
        <w:widowControl w:val="0"/>
        <w:spacing w:after="60"/>
        <w:jc w:val="right"/>
        <w:rPr>
          <w:rFonts w:ascii="Arial" w:eastAsia="Times New Roman" w:hAnsi="Arial" w:cs="Arial"/>
          <w:b/>
          <w:sz w:val="20"/>
        </w:rPr>
      </w:pPr>
      <w:r>
        <w:rPr>
          <w:rFonts w:ascii="Arial" w:eastAsia="Times New Roman" w:hAnsi="Arial" w:cs="Arial"/>
          <w:b/>
          <w:sz w:val="20"/>
        </w:rPr>
        <w:t>Перечень Приложений к Методическим указаниям Компании</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809"/>
        <w:gridCol w:w="5520"/>
        <w:gridCol w:w="2525"/>
      </w:tblGrid>
      <w:tr>
        <w:trPr>
          <w:trHeight w:val="482"/>
        </w:trPr>
        <w:tc>
          <w:tcPr>
            <w:tcW w:w="918" w:type="pct"/>
            <w:tcBorders>
              <w:top w:val="single" w:sz="12" w:space="0" w:color="auto"/>
              <w:bottom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НОМЕР ПРИЛОЖЕНИЯ</w:t>
            </w:r>
          </w:p>
        </w:tc>
        <w:tc>
          <w:tcPr>
            <w:tcW w:w="2801" w:type="pct"/>
            <w:tcBorders>
              <w:top w:val="single" w:sz="12" w:space="0" w:color="auto"/>
              <w:bottom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НАИМЕНОВАНИЕ ПРИЛОЖЕНИЯ</w:t>
            </w:r>
          </w:p>
        </w:tc>
        <w:tc>
          <w:tcPr>
            <w:tcW w:w="1281" w:type="pct"/>
            <w:tcBorders>
              <w:top w:val="single" w:sz="12" w:space="0" w:color="auto"/>
              <w:bottom w:val="single" w:sz="12" w:space="0" w:color="auto"/>
              <w:right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ПРИМЕЧАНИЕ</w:t>
            </w:r>
          </w:p>
        </w:tc>
      </w:tr>
      <w:tr>
        <w:tc>
          <w:tcPr>
            <w:tcW w:w="918" w:type="pct"/>
            <w:tcBorders>
              <w:top w:val="single" w:sz="12" w:space="0" w:color="auto"/>
              <w:bottom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1</w:t>
            </w:r>
          </w:p>
        </w:tc>
        <w:tc>
          <w:tcPr>
            <w:tcW w:w="2801" w:type="pct"/>
            <w:tcBorders>
              <w:top w:val="single" w:sz="12" w:space="0" w:color="auto"/>
              <w:bottom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2</w:t>
            </w:r>
          </w:p>
        </w:tc>
        <w:tc>
          <w:tcPr>
            <w:tcW w:w="1281" w:type="pct"/>
            <w:tcBorders>
              <w:top w:val="single" w:sz="12" w:space="0" w:color="auto"/>
              <w:bottom w:val="single" w:sz="12" w:space="0" w:color="auto"/>
              <w:right w:val="single" w:sz="12" w:space="0" w:color="auto"/>
            </w:tcBorders>
            <w:shd w:val="clear" w:color="auto" w:fill="FFD200"/>
            <w:vAlign w:val="center"/>
          </w:tcPr>
          <w:p>
            <w:pPr>
              <w:spacing w:before="20" w:after="20"/>
              <w:jc w:val="center"/>
              <w:rPr>
                <w:rFonts w:ascii="Arial" w:eastAsia="PMingLiU" w:hAnsi="Arial" w:cs="Arial"/>
                <w:b/>
                <w:bCs/>
                <w:caps/>
                <w:sz w:val="16"/>
                <w:szCs w:val="16"/>
                <w:lang w:eastAsia="en-US"/>
              </w:rPr>
            </w:pPr>
            <w:r>
              <w:rPr>
                <w:rFonts w:ascii="Arial" w:eastAsia="PMingLiU" w:hAnsi="Arial" w:cs="Arial"/>
                <w:b/>
                <w:bCs/>
                <w:caps/>
                <w:sz w:val="16"/>
                <w:szCs w:val="16"/>
                <w:lang w:eastAsia="en-US"/>
              </w:rPr>
              <w:t>3</w:t>
            </w:r>
          </w:p>
        </w:tc>
      </w:tr>
      <w:tr>
        <w:tc>
          <w:tcPr>
            <w:tcW w:w="918" w:type="pct"/>
            <w:tcBorders>
              <w:top w:val="single" w:sz="4" w:space="0" w:color="auto"/>
              <w:bottom w:val="single" w:sz="4" w:space="0" w:color="auto"/>
              <w:right w:val="single" w:sz="6" w:space="0" w:color="auto"/>
            </w:tcBorders>
          </w:tcPr>
          <w:p>
            <w:pPr>
              <w:jc w:val="left"/>
              <w:rPr>
                <w:rFonts w:eastAsia="PMingLiU"/>
                <w:lang w:eastAsia="en-US"/>
              </w:rPr>
            </w:pPr>
            <w:r>
              <w:rPr>
                <w:rFonts w:eastAsia="PMingLiU"/>
                <w:lang w:eastAsia="en-US"/>
              </w:rPr>
              <w:t>1</w:t>
            </w:r>
          </w:p>
        </w:tc>
        <w:tc>
          <w:tcPr>
            <w:tcW w:w="2801" w:type="pct"/>
            <w:tcBorders>
              <w:top w:val="single" w:sz="4" w:space="0" w:color="auto"/>
              <w:left w:val="single" w:sz="6" w:space="0" w:color="auto"/>
              <w:bottom w:val="single" w:sz="4" w:space="0" w:color="auto"/>
              <w:right w:val="single" w:sz="6" w:space="0" w:color="auto"/>
            </w:tcBorders>
          </w:tcPr>
          <w:p>
            <w:pPr>
              <w:jc w:val="left"/>
              <w:rPr>
                <w:rFonts w:eastAsia="PMingLiU"/>
                <w:lang w:eastAsia="en-US"/>
              </w:rPr>
            </w:pPr>
            <w:r>
              <w:t>Модельные ряды электроприводов для выбора и поставки в комплекте с краном шаровым</w:t>
            </w:r>
          </w:p>
        </w:tc>
        <w:tc>
          <w:tcPr>
            <w:tcW w:w="1281" w:type="pct"/>
            <w:tcBorders>
              <w:top w:val="single" w:sz="4" w:space="0" w:color="auto"/>
              <w:left w:val="single" w:sz="6" w:space="0" w:color="auto"/>
              <w:bottom w:val="single" w:sz="4" w:space="0" w:color="auto"/>
              <w:right w:val="single" w:sz="12" w:space="0" w:color="auto"/>
            </w:tcBorders>
          </w:tcPr>
          <w:p>
            <w:pPr>
              <w:jc w:val="left"/>
              <w:rPr>
                <w:bCs/>
              </w:rPr>
            </w:pPr>
            <w:r>
              <w:rPr>
                <w:bCs/>
              </w:rPr>
              <w:t>Включено в настоящий файл</w:t>
            </w:r>
          </w:p>
        </w:tc>
      </w:tr>
      <w:tr>
        <w:tc>
          <w:tcPr>
            <w:tcW w:w="918" w:type="pct"/>
            <w:tcBorders>
              <w:top w:val="single" w:sz="4" w:space="0" w:color="auto"/>
              <w:bottom w:val="single" w:sz="6" w:space="0" w:color="auto"/>
              <w:right w:val="single" w:sz="6" w:space="0" w:color="auto"/>
            </w:tcBorders>
          </w:tcPr>
          <w:p>
            <w:pPr>
              <w:jc w:val="left"/>
              <w:rPr>
                <w:rFonts w:eastAsia="PMingLiU"/>
                <w:lang w:eastAsia="en-US"/>
              </w:rPr>
            </w:pPr>
            <w:r>
              <w:rPr>
                <w:rFonts w:eastAsia="PMingLiU"/>
                <w:lang w:eastAsia="en-US"/>
              </w:rPr>
              <w:t>2</w:t>
            </w:r>
          </w:p>
        </w:tc>
        <w:tc>
          <w:tcPr>
            <w:tcW w:w="2801" w:type="pct"/>
            <w:tcBorders>
              <w:top w:val="single" w:sz="4" w:space="0" w:color="auto"/>
              <w:left w:val="single" w:sz="6" w:space="0" w:color="auto"/>
              <w:bottom w:val="single" w:sz="6" w:space="0" w:color="auto"/>
              <w:right w:val="single" w:sz="6" w:space="0" w:color="auto"/>
            </w:tcBorders>
          </w:tcPr>
          <w:p>
            <w:pPr>
              <w:jc w:val="left"/>
              <w:rPr>
                <w:rFonts w:eastAsia="PMingLiU"/>
                <w:lang w:eastAsia="en-US"/>
              </w:rPr>
            </w:pPr>
            <w:r>
              <w:t>Модельные ряды пневмоприводов для выбора и поставки в комплекте с краном шаровым</w:t>
            </w:r>
          </w:p>
        </w:tc>
        <w:tc>
          <w:tcPr>
            <w:tcW w:w="1281" w:type="pct"/>
            <w:tcBorders>
              <w:top w:val="single" w:sz="4" w:space="0" w:color="auto"/>
              <w:left w:val="single" w:sz="6" w:space="0" w:color="auto"/>
              <w:bottom w:val="single" w:sz="6" w:space="0" w:color="auto"/>
              <w:right w:val="single" w:sz="12" w:space="0" w:color="auto"/>
            </w:tcBorders>
          </w:tcPr>
          <w:p>
            <w:pPr>
              <w:jc w:val="left"/>
              <w:rPr>
                <w:bCs/>
              </w:rPr>
            </w:pPr>
            <w:r>
              <w:rPr>
                <w:bCs/>
              </w:rPr>
              <w:t>Включено в настоящий файл</w:t>
            </w:r>
          </w:p>
        </w:tc>
      </w:tr>
      <w:tr>
        <w:tc>
          <w:tcPr>
            <w:tcW w:w="918" w:type="pct"/>
            <w:tcBorders>
              <w:top w:val="single" w:sz="4" w:space="0" w:color="auto"/>
              <w:bottom w:val="single" w:sz="6" w:space="0" w:color="auto"/>
              <w:right w:val="single" w:sz="6" w:space="0" w:color="auto"/>
            </w:tcBorders>
          </w:tcPr>
          <w:p>
            <w:pPr>
              <w:jc w:val="left"/>
              <w:rPr>
                <w:rFonts w:eastAsia="PMingLiU"/>
                <w:lang w:eastAsia="en-US"/>
              </w:rPr>
            </w:pPr>
            <w:r>
              <w:rPr>
                <w:rFonts w:eastAsia="PMingLiU"/>
                <w:lang w:eastAsia="en-US"/>
              </w:rPr>
              <w:t>3</w:t>
            </w:r>
          </w:p>
        </w:tc>
        <w:tc>
          <w:tcPr>
            <w:tcW w:w="2801" w:type="pct"/>
            <w:tcBorders>
              <w:top w:val="single" w:sz="4" w:space="0" w:color="auto"/>
              <w:left w:val="single" w:sz="6" w:space="0" w:color="auto"/>
              <w:bottom w:val="single" w:sz="6" w:space="0" w:color="auto"/>
              <w:right w:val="single" w:sz="6" w:space="0" w:color="auto"/>
            </w:tcBorders>
          </w:tcPr>
          <w:p>
            <w:pPr>
              <w:jc w:val="left"/>
            </w:pPr>
            <w:r>
              <w:t>Методика (метод) измерений скорости коррозии сталей в модельной сероводородсодержащей среде гравиметрическим методом</w:t>
            </w:r>
          </w:p>
        </w:tc>
        <w:tc>
          <w:tcPr>
            <w:tcW w:w="1281" w:type="pct"/>
            <w:tcBorders>
              <w:top w:val="single" w:sz="4" w:space="0" w:color="auto"/>
              <w:left w:val="single" w:sz="6" w:space="0" w:color="auto"/>
              <w:bottom w:val="single" w:sz="6" w:space="0" w:color="auto"/>
              <w:right w:val="single" w:sz="12" w:space="0" w:color="auto"/>
            </w:tcBorders>
          </w:tcPr>
          <w:p>
            <w:pPr>
              <w:jc w:val="left"/>
              <w:rPr>
                <w:bCs/>
              </w:rPr>
            </w:pPr>
            <w:r>
              <w:rPr>
                <w:bCs/>
              </w:rPr>
              <w:t>Включено в настоящий файл</w:t>
            </w:r>
          </w:p>
        </w:tc>
      </w:tr>
      <w:tr>
        <w:tc>
          <w:tcPr>
            <w:tcW w:w="918" w:type="pct"/>
            <w:tcBorders>
              <w:top w:val="single" w:sz="6" w:space="0" w:color="auto"/>
              <w:bottom w:val="single" w:sz="6" w:space="0" w:color="auto"/>
              <w:right w:val="single" w:sz="6" w:space="0" w:color="auto"/>
            </w:tcBorders>
          </w:tcPr>
          <w:p>
            <w:pPr>
              <w:jc w:val="left"/>
            </w:pPr>
            <w:r>
              <w:t>4</w:t>
            </w:r>
          </w:p>
        </w:tc>
        <w:tc>
          <w:tcPr>
            <w:tcW w:w="2801" w:type="pct"/>
            <w:tcBorders>
              <w:top w:val="single" w:sz="6" w:space="0" w:color="auto"/>
              <w:left w:val="single" w:sz="6" w:space="0" w:color="auto"/>
              <w:bottom w:val="single" w:sz="6" w:space="0" w:color="auto"/>
              <w:right w:val="single" w:sz="6" w:space="0" w:color="auto"/>
            </w:tcBorders>
          </w:tcPr>
          <w:p>
            <w:pPr>
              <w:jc w:val="left"/>
            </w:pPr>
            <w:r>
              <w:t>Перечень испытаний материалов основных сборочных единиц и деталей шаровых кранов</w:t>
            </w:r>
          </w:p>
        </w:tc>
        <w:tc>
          <w:tcPr>
            <w:tcW w:w="1281" w:type="pct"/>
            <w:tcBorders>
              <w:top w:val="single" w:sz="6" w:space="0" w:color="auto"/>
              <w:left w:val="single" w:sz="6" w:space="0" w:color="auto"/>
              <w:bottom w:val="single" w:sz="6" w:space="0" w:color="auto"/>
              <w:right w:val="single" w:sz="12" w:space="0" w:color="auto"/>
            </w:tcBorders>
          </w:tcPr>
          <w:p>
            <w:pPr>
              <w:jc w:val="left"/>
              <w:rPr>
                <w:bCs/>
              </w:rPr>
            </w:pPr>
            <w:r>
              <w:rPr>
                <w:bCs/>
              </w:rPr>
              <w:t>Включено в настоящий файл</w:t>
            </w:r>
          </w:p>
        </w:tc>
      </w:tr>
      <w:tr>
        <w:tc>
          <w:tcPr>
            <w:tcW w:w="918" w:type="pct"/>
            <w:tcBorders>
              <w:top w:val="single" w:sz="6" w:space="0" w:color="auto"/>
              <w:bottom w:val="single" w:sz="6" w:space="0" w:color="auto"/>
              <w:right w:val="single" w:sz="6" w:space="0" w:color="auto"/>
            </w:tcBorders>
          </w:tcPr>
          <w:p>
            <w:pPr>
              <w:jc w:val="left"/>
            </w:pPr>
            <w:r>
              <w:t>5</w:t>
            </w:r>
          </w:p>
        </w:tc>
        <w:tc>
          <w:tcPr>
            <w:tcW w:w="2801" w:type="pct"/>
            <w:tcBorders>
              <w:top w:val="single" w:sz="6" w:space="0" w:color="auto"/>
              <w:left w:val="single" w:sz="6" w:space="0" w:color="auto"/>
              <w:bottom w:val="single" w:sz="6" w:space="0" w:color="auto"/>
              <w:right w:val="single" w:sz="6" w:space="0" w:color="auto"/>
            </w:tcBorders>
          </w:tcPr>
          <w:p>
            <w:pPr>
              <w:jc w:val="left"/>
            </w:pPr>
            <w:r>
              <w:t>Расчетный модуль определения парциального давления сероводорода</w:t>
            </w:r>
          </w:p>
        </w:tc>
        <w:tc>
          <w:tcPr>
            <w:tcW w:w="1281" w:type="pct"/>
            <w:tcBorders>
              <w:top w:val="single" w:sz="6" w:space="0" w:color="auto"/>
              <w:left w:val="single" w:sz="6" w:space="0" w:color="auto"/>
              <w:bottom w:val="single" w:sz="6" w:space="0" w:color="auto"/>
              <w:right w:val="single" w:sz="12" w:space="0" w:color="auto"/>
            </w:tcBorders>
          </w:tcPr>
          <w:p>
            <w:pPr>
              <w:jc w:val="left"/>
              <w:rPr>
                <w:bCs/>
              </w:rPr>
            </w:pPr>
            <w:r>
              <w:rPr>
                <w:bCs/>
              </w:rPr>
              <w:t xml:space="preserve">Приложено отдельным файлом в формате </w:t>
            </w:r>
            <w:r>
              <w:rPr>
                <w:bCs/>
                <w:lang w:val="en-US"/>
              </w:rPr>
              <w:t>Word</w:t>
            </w:r>
          </w:p>
        </w:tc>
      </w:tr>
      <w:tr>
        <w:tc>
          <w:tcPr>
            <w:tcW w:w="918" w:type="pct"/>
            <w:tcBorders>
              <w:top w:val="single" w:sz="6" w:space="0" w:color="auto"/>
              <w:bottom w:val="single" w:sz="12" w:space="0" w:color="auto"/>
              <w:right w:val="single" w:sz="6" w:space="0" w:color="auto"/>
            </w:tcBorders>
          </w:tcPr>
          <w:p>
            <w:pPr>
              <w:jc w:val="left"/>
              <w:rPr>
                <w:rFonts w:eastAsia="PMingLiU"/>
                <w:lang w:eastAsia="en-US"/>
              </w:rPr>
            </w:pPr>
            <w:r>
              <w:rPr>
                <w:rFonts w:eastAsia="PMingLiU"/>
                <w:lang w:eastAsia="en-US"/>
              </w:rPr>
              <w:t>6</w:t>
            </w:r>
          </w:p>
        </w:tc>
        <w:tc>
          <w:tcPr>
            <w:tcW w:w="2801" w:type="pct"/>
            <w:tcBorders>
              <w:top w:val="single" w:sz="6" w:space="0" w:color="auto"/>
              <w:left w:val="single" w:sz="6" w:space="0" w:color="auto"/>
              <w:bottom w:val="single" w:sz="12" w:space="0" w:color="auto"/>
              <w:right w:val="single" w:sz="6" w:space="0" w:color="auto"/>
            </w:tcBorders>
          </w:tcPr>
          <w:p>
            <w:pPr>
              <w:jc w:val="left"/>
              <w:rPr>
                <w:rFonts w:eastAsia="PMingLiU"/>
                <w:lang w:eastAsia="en-US"/>
              </w:rPr>
            </w:pPr>
            <w:r>
              <w:rPr>
                <w:rFonts w:eastAsia="PMingLiU"/>
                <w:lang w:eastAsia="en-US"/>
              </w:rPr>
              <w:t>Способ установки запирающего элемента в корпус крана шарового</w:t>
            </w:r>
          </w:p>
        </w:tc>
        <w:tc>
          <w:tcPr>
            <w:tcW w:w="1281" w:type="pct"/>
            <w:tcBorders>
              <w:top w:val="single" w:sz="6" w:space="0" w:color="auto"/>
              <w:left w:val="single" w:sz="6" w:space="0" w:color="auto"/>
              <w:bottom w:val="single" w:sz="12" w:space="0" w:color="auto"/>
              <w:right w:val="single" w:sz="12" w:space="0" w:color="auto"/>
            </w:tcBorders>
          </w:tcPr>
          <w:p>
            <w:pPr>
              <w:jc w:val="left"/>
              <w:rPr>
                <w:rFonts w:eastAsia="PMingLiU"/>
                <w:bCs/>
                <w:lang w:eastAsia="en-US"/>
              </w:rPr>
            </w:pPr>
            <w:r>
              <w:rPr>
                <w:rFonts w:eastAsia="PMingLiU"/>
                <w:bCs/>
                <w:lang w:eastAsia="en-US"/>
              </w:rPr>
              <w:t>Включено в настоящий файл</w:t>
            </w:r>
          </w:p>
        </w:tc>
      </w:tr>
    </w:tbl>
    <w:p/>
    <w:p>
      <w:pPr>
        <w:rPr>
          <w:rFonts w:ascii="Arial" w:hAnsi="Arial" w:cs="Arial"/>
          <w:b/>
          <w:sz w:val="32"/>
        </w:rPr>
        <w:sectPr>
          <w:headerReference w:type="even" r:id="rId59"/>
          <w:headerReference w:type="default" r:id="rId60"/>
          <w:headerReference w:type="first" r:id="rId61"/>
          <w:pgSz w:w="11906" w:h="16838" w:code="9"/>
          <w:pgMar w:top="510" w:right="1021" w:bottom="567" w:left="1247" w:header="737" w:footer="680" w:gutter="0"/>
          <w:cols w:space="708"/>
          <w:docGrid w:linePitch="360"/>
        </w:sectPr>
      </w:pPr>
    </w:p>
    <w:p>
      <w:pPr>
        <w:pStyle w:val="22"/>
        <w:rPr>
          <w:rFonts w:eastAsia="Times New Roman" w:cs="Arial"/>
        </w:rPr>
      </w:pPr>
      <w:bookmarkStart w:id="301" w:name="_ПРИЛОЖЕНИЕ_1._МОДИФИКАЦИОННЫЕ"/>
      <w:bookmarkStart w:id="302" w:name="_ПРИЛОЖЕНИЕ_2_ПЕРЕЧЕНЬ"/>
      <w:bookmarkStart w:id="303" w:name="_ПРИЛОЖЕНИЕ_2_СПОСОБ"/>
      <w:bookmarkStart w:id="304" w:name="_ПРИЛОЖЕНИЕ_3_ПЕРЕЧЕНЬ"/>
      <w:bookmarkStart w:id="305" w:name="_ПРИЛОЖЕНИЕ_4._МЕТОДИКА"/>
      <w:bookmarkStart w:id="306" w:name="_ПРИЛОЖЕНИЕ_2_МОДЕЛЬНЫЕ"/>
      <w:bookmarkStart w:id="307" w:name="_ПРИЛОЖЕНИЕ_1_МОДЕЛЬНЫЕ"/>
      <w:bookmarkStart w:id="308" w:name="_ПРИЛОЖЕНИЕ_1._МОДЕЛЬНЫЕ"/>
      <w:bookmarkStart w:id="309" w:name="_Toc511400333"/>
      <w:bookmarkStart w:id="310" w:name="_Toc514169548"/>
      <w:bookmarkStart w:id="311" w:name="_Toc484014602"/>
      <w:bookmarkStart w:id="312" w:name="_Toc484705531"/>
      <w:bookmarkEnd w:id="301"/>
      <w:bookmarkEnd w:id="302"/>
      <w:bookmarkEnd w:id="303"/>
      <w:bookmarkEnd w:id="304"/>
      <w:bookmarkEnd w:id="305"/>
      <w:bookmarkEnd w:id="306"/>
      <w:bookmarkEnd w:id="307"/>
      <w:bookmarkEnd w:id="308"/>
      <w:r>
        <w:rPr>
          <w:rFonts w:eastAsia="Times New Roman" w:cs="Arial"/>
        </w:rPr>
        <w:lastRenderedPageBreak/>
        <w:t>ПРИЛОЖЕНИЕ 1. МОДЕЛЬНЫЕ РЯДЫ ЭЛЕКТРОПРИВОДОВ ДЛЯ ВЫБОРА И ПОСТАВКИ В КОМПЛЕКТЕ С КРАНОМ ШАРОВЫМ</w:t>
      </w:r>
      <w:bookmarkEnd w:id="309"/>
      <w:bookmarkEnd w:id="310"/>
    </w:p>
    <w:p/>
    <w:p/>
    <w:p>
      <w:pPr>
        <w:pStyle w:val="affd"/>
        <w:numPr>
          <w:ilvl w:val="0"/>
          <w:numId w:val="83"/>
        </w:numPr>
        <w:tabs>
          <w:tab w:val="left" w:pos="567"/>
        </w:tabs>
        <w:spacing w:line="240" w:lineRule="auto"/>
        <w:ind w:left="0" w:firstLine="0"/>
        <w:rPr>
          <w:rFonts w:cs="Arial"/>
          <w:b/>
          <w:sz w:val="32"/>
          <w:szCs w:val="32"/>
        </w:rPr>
      </w:pPr>
      <w:r>
        <w:rPr>
          <w:rFonts w:cs="Arial"/>
          <w:b/>
          <w:sz w:val="32"/>
          <w:szCs w:val="32"/>
        </w:rPr>
        <w:t>УСЛОВНОЕ ОБОЗНАЧЕНИЕ</w:t>
      </w:r>
    </w:p>
    <w:p/>
    <w:p/>
    <w:p>
      <w:pPr>
        <w:pStyle w:val="affd"/>
        <w:widowControl w:val="0"/>
        <w:numPr>
          <w:ilvl w:val="0"/>
          <w:numId w:val="80"/>
        </w:numPr>
        <w:shd w:val="clear" w:color="auto" w:fill="FFFFFF" w:themeFill="background1"/>
        <w:tabs>
          <w:tab w:val="left" w:pos="0"/>
          <w:tab w:val="left" w:pos="709"/>
          <w:tab w:val="left" w:pos="1134"/>
          <w:tab w:val="left" w:pos="1276"/>
        </w:tabs>
        <w:spacing w:line="240" w:lineRule="auto"/>
        <w:ind w:left="0" w:right="104" w:firstLine="0"/>
        <w:contextualSpacing w:val="0"/>
        <w:rPr>
          <w:rFonts w:cs="Arial"/>
          <w:b/>
          <w:sz w:val="24"/>
        </w:rPr>
      </w:pPr>
      <w:r>
        <w:rPr>
          <w:rFonts w:cs="Arial"/>
          <w:b/>
          <w:sz w:val="24"/>
        </w:rPr>
        <w:t>СХЕМА УСЛОВНОГО ОБОЗНАЧЕНИЯ</w:t>
      </w:r>
    </w:p>
    <w:p/>
    <w:p>
      <w:pPr>
        <w:pStyle w:val="S0"/>
      </w:pPr>
      <w:bookmarkStart w:id="313" w:name="Таблица4"/>
      <w:r>
        <w:t>Схема условного обозначения электропривода для крана шарового приведена в Таблице 33.</w:t>
      </w:r>
    </w:p>
    <w:bookmarkEnd w:id="313"/>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33</w:t>
      </w:r>
      <w:r>
        <w:rPr>
          <w:rFonts w:ascii="Arial" w:eastAsia="Times New Roman" w:hAnsi="Arial" w:cs="Arial"/>
          <w:b/>
          <w:bCs/>
          <w:sz w:val="20"/>
          <w:szCs w:val="20"/>
        </w:rPr>
        <w:fldChar w:fldCharType="end"/>
      </w:r>
    </w:p>
    <w:p>
      <w:pPr>
        <w:keepNext/>
        <w:spacing w:after="60"/>
        <w:ind w:right="-1"/>
        <w:jc w:val="right"/>
        <w:rPr>
          <w:rFonts w:ascii="Arial" w:eastAsia="Times New Roman" w:hAnsi="Arial" w:cs="Arial"/>
          <w:b/>
          <w:bCs/>
          <w:sz w:val="20"/>
          <w:szCs w:val="20"/>
        </w:rPr>
      </w:pPr>
      <w:r>
        <w:rPr>
          <w:rFonts w:ascii="Arial" w:eastAsia="Times New Roman" w:hAnsi="Arial" w:cs="Arial"/>
          <w:b/>
          <w:bCs/>
          <w:sz w:val="20"/>
          <w:szCs w:val="20"/>
        </w:rPr>
        <w:t>Схема условного обозначения электропривода для крана шарового</w:t>
      </w:r>
    </w:p>
    <w:tbl>
      <w:tblPr>
        <w:tblW w:w="5066" w:type="pct"/>
        <w:tblCellMar>
          <w:left w:w="0" w:type="dxa"/>
          <w:right w:w="0" w:type="dxa"/>
        </w:tblCellMar>
        <w:tblLook w:val="04A0" w:firstRow="1" w:lastRow="0" w:firstColumn="1" w:lastColumn="0" w:noHBand="0" w:noVBand="1"/>
      </w:tblPr>
      <w:tblGrid>
        <w:gridCol w:w="8708"/>
        <w:gridCol w:w="394"/>
        <w:gridCol w:w="394"/>
        <w:gridCol w:w="394"/>
      </w:tblGrid>
      <w:tr>
        <w:trPr>
          <w:trHeight w:val="284"/>
        </w:trPr>
        <w:tc>
          <w:tcPr>
            <w:tcW w:w="8789" w:type="dxa"/>
            <w:vMerge w:val="restart"/>
            <w:tcBorders>
              <w:top w:val="single" w:sz="12" w:space="0" w:color="auto"/>
              <w:left w:val="single" w:sz="12" w:space="0" w:color="auto"/>
              <w:right w:val="single" w:sz="12" w:space="0" w:color="auto"/>
            </w:tcBorders>
            <w:shd w:val="clear" w:color="auto" w:fill="FFD200"/>
            <w:tcMar>
              <w:top w:w="0" w:type="dxa"/>
              <w:left w:w="108" w:type="dxa"/>
              <w:bottom w:w="0" w:type="dxa"/>
              <w:right w:w="108" w:type="dxa"/>
            </w:tcMar>
            <w:vAlign w:val="center"/>
            <w:hideMark/>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УСЛОВНОЕ ОБОЗНАЧЕНИе</w:t>
            </w:r>
          </w:p>
        </w:tc>
        <w:tc>
          <w:tcPr>
            <w:tcW w:w="397" w:type="dxa"/>
            <w:tcBorders>
              <w:top w:val="single" w:sz="12" w:space="0" w:color="auto"/>
              <w:left w:val="single" w:sz="12" w:space="0" w:color="auto"/>
              <w:bottom w:val="single" w:sz="12" w:space="0" w:color="auto"/>
              <w:right w:val="single" w:sz="6"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1</w:t>
            </w:r>
          </w:p>
        </w:tc>
        <w:tc>
          <w:tcPr>
            <w:tcW w:w="397" w:type="dxa"/>
            <w:tcBorders>
              <w:top w:val="single" w:sz="12" w:space="0" w:color="auto"/>
              <w:left w:val="single" w:sz="6" w:space="0" w:color="auto"/>
              <w:bottom w:val="single" w:sz="12" w:space="0" w:color="auto"/>
              <w:right w:val="single" w:sz="6"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2</w:t>
            </w:r>
          </w:p>
        </w:tc>
        <w:tc>
          <w:tcPr>
            <w:tcW w:w="397" w:type="dxa"/>
            <w:tcBorders>
              <w:top w:val="single" w:sz="12" w:space="0" w:color="auto"/>
              <w:left w:val="single" w:sz="6" w:space="0" w:color="auto"/>
              <w:bottom w:val="single" w:sz="12" w:space="0" w:color="auto"/>
              <w:right w:val="single" w:sz="12"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3</w:t>
            </w:r>
          </w:p>
        </w:tc>
      </w:tr>
      <w:tr>
        <w:trPr>
          <w:trHeight w:val="284"/>
        </w:trPr>
        <w:tc>
          <w:tcPr>
            <w:tcW w:w="8789" w:type="dxa"/>
            <w:vMerge/>
            <w:tcBorders>
              <w:left w:val="single" w:sz="12" w:space="0" w:color="auto"/>
              <w:bottom w:val="single" w:sz="12" w:space="0" w:color="auto"/>
              <w:right w:val="single" w:sz="12" w:space="0" w:color="auto"/>
            </w:tcBorders>
            <w:vAlign w:val="center"/>
            <w:hideMark/>
          </w:tcPr>
          <w:p>
            <w:pPr>
              <w:spacing w:before="20" w:after="20"/>
              <w:jc w:val="center"/>
              <w:rPr>
                <w:rFonts w:ascii="Arial" w:hAnsi="Arial" w:cs="Arial"/>
                <w:b/>
                <w:sz w:val="16"/>
                <w:szCs w:val="16"/>
              </w:rPr>
            </w:pPr>
          </w:p>
        </w:tc>
        <w:tc>
          <w:tcPr>
            <w:tcW w:w="397" w:type="dxa"/>
            <w:tcBorders>
              <w:top w:val="single" w:sz="6" w:space="0" w:color="auto"/>
              <w:left w:val="single" w:sz="12" w:space="0" w:color="auto"/>
              <w:bottom w:val="single" w:sz="12" w:space="0" w:color="auto"/>
              <w:right w:val="single" w:sz="6"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c>
          <w:tcPr>
            <w:tcW w:w="397" w:type="dxa"/>
            <w:tcBorders>
              <w:top w:val="single" w:sz="6" w:space="0" w:color="auto"/>
              <w:left w:val="single" w:sz="6" w:space="0" w:color="auto"/>
              <w:bottom w:val="single" w:sz="12" w:space="0" w:color="auto"/>
              <w:right w:val="single" w:sz="6"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c>
          <w:tcPr>
            <w:tcW w:w="397" w:type="dxa"/>
            <w:tcBorders>
              <w:top w:val="single" w:sz="6" w:space="0" w:color="auto"/>
              <w:left w:val="single" w:sz="6" w:space="0" w:color="auto"/>
              <w:bottom w:val="single" w:sz="12" w:space="0" w:color="auto"/>
              <w:right w:val="single" w:sz="12"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r>
      <w:tr>
        <w:trPr>
          <w:trHeight w:val="255"/>
        </w:trPr>
        <w:tc>
          <w:tcPr>
            <w:tcW w:w="8789" w:type="dxa"/>
            <w:tcBorders>
              <w:top w:val="single" w:sz="8" w:space="0" w:color="auto"/>
              <w:left w:val="single" w:sz="12" w:space="0" w:color="auto"/>
              <w:bottom w:val="single" w:sz="8" w:space="0" w:color="auto"/>
              <w:right w:val="nil"/>
            </w:tcBorders>
            <w:tcMar>
              <w:top w:w="0" w:type="dxa"/>
              <w:left w:w="108" w:type="dxa"/>
              <w:bottom w:w="0" w:type="dxa"/>
              <w:right w:w="108" w:type="dxa"/>
            </w:tcMar>
          </w:tcPr>
          <w:p>
            <w:pPr>
              <w:spacing w:line="276" w:lineRule="auto"/>
              <w:rPr>
                <w:rFonts w:eastAsia="Times New Roman"/>
              </w:rPr>
            </w:pPr>
            <w:r>
              <w:rPr>
                <w:rFonts w:eastAsia="Times New Roman"/>
              </w:rPr>
              <w:t>Электротехнические характеристики</w:t>
            </w:r>
          </w:p>
        </w:tc>
        <w:tc>
          <w:tcPr>
            <w:tcW w:w="397" w:type="dxa"/>
            <w:tcBorders>
              <w:left w:val="nil"/>
              <w:bottom w:val="single" w:sz="8" w:space="0" w:color="auto"/>
              <w:right w:val="single" w:sz="8" w:space="0" w:color="auto"/>
            </w:tcBorders>
          </w:tcPr>
          <w:p>
            <w:pPr>
              <w:spacing w:line="276" w:lineRule="auto"/>
              <w:rPr>
                <w:rFonts w:eastAsia="Times New Roman"/>
              </w:rPr>
            </w:pPr>
          </w:p>
        </w:tc>
        <w:tc>
          <w:tcPr>
            <w:tcW w:w="397" w:type="dxa"/>
            <w:vMerge w:val="restart"/>
            <w:tcBorders>
              <w:left w:val="single" w:sz="8" w:space="0" w:color="auto"/>
              <w:bottom w:val="single" w:sz="12" w:space="0" w:color="auto"/>
              <w:right w:val="single" w:sz="6" w:space="0" w:color="auto"/>
            </w:tcBorders>
          </w:tcPr>
          <w:p>
            <w:pPr>
              <w:spacing w:line="276" w:lineRule="auto"/>
              <w:rPr>
                <w:rFonts w:eastAsia="Times New Roman"/>
              </w:rPr>
            </w:pPr>
          </w:p>
        </w:tc>
        <w:tc>
          <w:tcPr>
            <w:tcW w:w="397" w:type="dxa"/>
            <w:vMerge w:val="restart"/>
            <w:tcBorders>
              <w:left w:val="single" w:sz="6" w:space="0" w:color="auto"/>
              <w:right w:val="single" w:sz="12" w:space="0" w:color="auto"/>
            </w:tcBorders>
          </w:tcPr>
          <w:p>
            <w:pPr>
              <w:spacing w:line="276" w:lineRule="auto"/>
              <w:rPr>
                <w:rFonts w:eastAsia="Times New Roman"/>
              </w:rPr>
            </w:pPr>
          </w:p>
        </w:tc>
      </w:tr>
      <w:tr>
        <w:trPr>
          <w:trHeight w:val="255"/>
        </w:trPr>
        <w:tc>
          <w:tcPr>
            <w:tcW w:w="397" w:type="dxa"/>
            <w:gridSpan w:val="2"/>
            <w:tcBorders>
              <w:top w:val="single" w:sz="8" w:space="0" w:color="auto"/>
              <w:left w:val="single" w:sz="12" w:space="0" w:color="auto"/>
              <w:bottom w:val="single" w:sz="8" w:space="0" w:color="auto"/>
              <w:right w:val="nil"/>
            </w:tcBorders>
            <w:tcMar>
              <w:top w:w="0" w:type="dxa"/>
              <w:left w:w="108" w:type="dxa"/>
              <w:bottom w:w="0" w:type="dxa"/>
              <w:right w:w="108" w:type="dxa"/>
            </w:tcMar>
          </w:tcPr>
          <w:p>
            <w:pPr>
              <w:spacing w:line="276" w:lineRule="auto"/>
              <w:rPr>
                <w:rFonts w:eastAsia="Times New Roman"/>
              </w:rPr>
            </w:pPr>
            <w:r>
              <w:rPr>
                <w:rFonts w:eastAsia="Times New Roman"/>
              </w:rPr>
              <w:t>Контроль и управление</w:t>
            </w:r>
          </w:p>
        </w:tc>
        <w:tc>
          <w:tcPr>
            <w:tcW w:w="397" w:type="dxa"/>
            <w:vMerge/>
            <w:tcBorders>
              <w:left w:val="nil"/>
              <w:bottom w:val="single" w:sz="8" w:space="0" w:color="auto"/>
              <w:right w:val="single" w:sz="6" w:space="0" w:color="auto"/>
            </w:tcBorders>
          </w:tcPr>
          <w:p>
            <w:pPr>
              <w:spacing w:line="276" w:lineRule="auto"/>
              <w:rPr>
                <w:rFonts w:eastAsia="Times New Roman"/>
              </w:rPr>
            </w:pPr>
          </w:p>
        </w:tc>
        <w:tc>
          <w:tcPr>
            <w:tcW w:w="397" w:type="dxa"/>
            <w:vMerge/>
            <w:tcBorders>
              <w:left w:val="single" w:sz="6" w:space="0" w:color="auto"/>
              <w:right w:val="single" w:sz="12" w:space="0" w:color="auto"/>
            </w:tcBorders>
          </w:tcPr>
          <w:p>
            <w:pPr>
              <w:spacing w:line="276" w:lineRule="auto"/>
              <w:rPr>
                <w:rFonts w:eastAsia="Times New Roman"/>
                <w:sz w:val="16"/>
                <w:szCs w:val="16"/>
              </w:rPr>
            </w:pPr>
          </w:p>
        </w:tc>
      </w:tr>
      <w:tr>
        <w:trPr>
          <w:trHeight w:val="255"/>
        </w:trPr>
        <w:tc>
          <w:tcPr>
            <w:tcW w:w="397" w:type="dxa"/>
            <w:gridSpan w:val="3"/>
            <w:tcBorders>
              <w:top w:val="single" w:sz="8" w:space="0" w:color="auto"/>
              <w:left w:val="single" w:sz="12" w:space="0" w:color="auto"/>
              <w:bottom w:val="single" w:sz="12" w:space="0" w:color="auto"/>
            </w:tcBorders>
            <w:tcMar>
              <w:top w:w="0" w:type="dxa"/>
              <w:left w:w="108" w:type="dxa"/>
              <w:bottom w:w="0" w:type="dxa"/>
              <w:right w:w="108" w:type="dxa"/>
            </w:tcMar>
          </w:tcPr>
          <w:p>
            <w:pPr>
              <w:spacing w:line="276" w:lineRule="auto"/>
              <w:rPr>
                <w:rFonts w:eastAsia="Times New Roman"/>
              </w:rPr>
            </w:pPr>
            <w:r>
              <w:rPr>
                <w:rFonts w:eastAsia="Times New Roman"/>
              </w:rPr>
              <w:t>Опции и комплектующие</w:t>
            </w:r>
          </w:p>
        </w:tc>
        <w:tc>
          <w:tcPr>
            <w:tcW w:w="397" w:type="dxa"/>
            <w:vMerge/>
            <w:tcBorders>
              <w:left w:val="nil"/>
              <w:bottom w:val="single" w:sz="12" w:space="0" w:color="auto"/>
              <w:right w:val="single" w:sz="12" w:space="0" w:color="auto"/>
            </w:tcBorders>
          </w:tcPr>
          <w:p>
            <w:pPr>
              <w:spacing w:line="276" w:lineRule="auto"/>
              <w:rPr>
                <w:rFonts w:eastAsia="Times New Roman"/>
                <w:sz w:val="16"/>
                <w:szCs w:val="16"/>
              </w:rPr>
            </w:pPr>
          </w:p>
        </w:tc>
      </w:tr>
    </w:tbl>
    <w:p>
      <w:pPr>
        <w:pStyle w:val="S0"/>
      </w:pPr>
    </w:p>
    <w:p>
      <w:pPr>
        <w:pStyle w:val="S0"/>
      </w:pPr>
      <w:bookmarkStart w:id="314" w:name="_Toc481495765"/>
      <w:bookmarkStart w:id="315" w:name="_Toc499211153"/>
    </w:p>
    <w:p>
      <w:pPr>
        <w:pStyle w:val="S0"/>
        <w:rPr>
          <w:rFonts w:ascii="Arial" w:hAnsi="Arial" w:cs="Arial"/>
          <w:b/>
        </w:rPr>
      </w:pPr>
      <w:r>
        <w:rPr>
          <w:rFonts w:ascii="Arial" w:hAnsi="Arial" w:cs="Arial"/>
          <w:b/>
        </w:rPr>
        <w:t>1.2.</w:t>
      </w:r>
      <w:r>
        <w:rPr>
          <w:rFonts w:ascii="Arial" w:hAnsi="Arial" w:cs="Arial"/>
          <w:b/>
        </w:rPr>
        <w:tab/>
        <w:t>РАСШИФРОВКА УСЛОВНОГО ОБОЗНАЧЕНИЯ</w:t>
      </w:r>
      <w:bookmarkEnd w:id="314"/>
      <w:bookmarkEnd w:id="315"/>
    </w:p>
    <w:p>
      <w:pPr>
        <w:pStyle w:val="S0"/>
      </w:pPr>
    </w:p>
    <w:p>
      <w:pPr>
        <w:pStyle w:val="S0"/>
      </w:pPr>
      <w:r>
        <w:t>В Таблице 34 приведена расшифровка обозначений, входящих в комбинации условного обозначения электропривода для крана шарового.</w:t>
      </w:r>
    </w:p>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34</w:t>
      </w:r>
      <w:r>
        <w:rPr>
          <w:rFonts w:ascii="Arial" w:eastAsia="Times New Roman" w:hAnsi="Arial" w:cs="Arial"/>
          <w:b/>
          <w:bCs/>
          <w:sz w:val="20"/>
          <w:szCs w:val="20"/>
        </w:rPr>
        <w:fldChar w:fldCharType="end"/>
      </w:r>
    </w:p>
    <w:p>
      <w:pPr>
        <w:keepNext/>
        <w:spacing w:after="60"/>
        <w:jc w:val="right"/>
        <w:rPr>
          <w:rFonts w:ascii="Arial" w:eastAsia="Times New Roman" w:hAnsi="Arial" w:cs="Arial"/>
          <w:b/>
          <w:bCs/>
          <w:sz w:val="20"/>
          <w:szCs w:val="20"/>
        </w:rPr>
      </w:pPr>
      <w:r>
        <w:rPr>
          <w:rFonts w:ascii="Arial" w:eastAsia="Times New Roman" w:hAnsi="Arial" w:cs="Arial"/>
          <w:b/>
          <w:bCs/>
          <w:sz w:val="20"/>
          <w:szCs w:val="20"/>
        </w:rPr>
        <w:t>Расшифровка условного обозначения электроприводов</w:t>
      </w:r>
    </w:p>
    <w:tbl>
      <w:tblPr>
        <w:tblStyle w:val="1b"/>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91"/>
        <w:gridCol w:w="2027"/>
        <w:gridCol w:w="2552"/>
        <w:gridCol w:w="1701"/>
        <w:gridCol w:w="3083"/>
      </w:tblGrid>
      <w:tr>
        <w:trPr>
          <w:trHeight w:val="510"/>
          <w:tblHeader/>
        </w:trPr>
        <w:tc>
          <w:tcPr>
            <w:tcW w:w="491" w:type="dxa"/>
            <w:tcBorders>
              <w:bottom w:val="single" w:sz="12"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w:t>
            </w:r>
          </w:p>
          <w:p>
            <w:pPr>
              <w:widowControl w:val="0"/>
              <w:jc w:val="center"/>
              <w:rPr>
                <w:rFonts w:ascii="Arial" w:eastAsia="Calibri" w:hAnsi="Arial" w:cs="Arial"/>
                <w:b/>
                <w:sz w:val="16"/>
                <w:szCs w:val="16"/>
              </w:rPr>
            </w:pPr>
            <w:r>
              <w:rPr>
                <w:rFonts w:ascii="Arial" w:eastAsia="Calibri" w:hAnsi="Arial" w:cs="Arial"/>
                <w:b/>
                <w:sz w:val="16"/>
                <w:szCs w:val="16"/>
              </w:rPr>
              <w:t>П/П</w:t>
            </w:r>
          </w:p>
        </w:tc>
        <w:tc>
          <w:tcPr>
            <w:tcW w:w="2027"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БЛОК ПАРАМЕТРОВ</w:t>
            </w:r>
          </w:p>
        </w:tc>
        <w:tc>
          <w:tcPr>
            <w:tcW w:w="2552"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ПАРАМЕТР</w:t>
            </w:r>
          </w:p>
        </w:tc>
        <w:tc>
          <w:tcPr>
            <w:tcW w:w="1701"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ОБОЗНАЧЕНИЕ</w:t>
            </w:r>
          </w:p>
        </w:tc>
        <w:tc>
          <w:tcPr>
            <w:tcW w:w="3083"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РАСШИФРОВКА</w:t>
            </w:r>
          </w:p>
        </w:tc>
      </w:tr>
      <w:tr>
        <w:trPr>
          <w:trHeight w:val="255"/>
          <w:tblHeader/>
        </w:trPr>
        <w:tc>
          <w:tcPr>
            <w:tcW w:w="491" w:type="dxa"/>
            <w:tcBorders>
              <w:top w:val="single" w:sz="12" w:space="0" w:color="auto"/>
              <w:bottom w:val="single" w:sz="12"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1</w:t>
            </w:r>
          </w:p>
        </w:tc>
        <w:tc>
          <w:tcPr>
            <w:tcW w:w="2027"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2</w:t>
            </w:r>
          </w:p>
        </w:tc>
        <w:tc>
          <w:tcPr>
            <w:tcW w:w="2552"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3</w:t>
            </w:r>
          </w:p>
        </w:tc>
        <w:tc>
          <w:tcPr>
            <w:tcW w:w="1701"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4</w:t>
            </w:r>
          </w:p>
        </w:tc>
        <w:tc>
          <w:tcPr>
            <w:tcW w:w="3083"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5</w:t>
            </w:r>
          </w:p>
        </w:tc>
      </w:tr>
      <w:tr>
        <w:trPr>
          <w:trHeight w:val="284"/>
        </w:trPr>
        <w:tc>
          <w:tcPr>
            <w:tcW w:w="491" w:type="dxa"/>
            <w:vMerge w:val="restart"/>
            <w:tcBorders>
              <w:top w:val="single" w:sz="6" w:space="0" w:color="auto"/>
            </w:tcBorders>
          </w:tcPr>
          <w:p>
            <w:pPr>
              <w:widowControl w:val="0"/>
              <w:rPr>
                <w:rFonts w:eastAsia="Times New Roman"/>
                <w:sz w:val="20"/>
                <w:szCs w:val="20"/>
              </w:rPr>
            </w:pPr>
            <w:r>
              <w:rPr>
                <w:rFonts w:eastAsia="Times New Roman"/>
                <w:sz w:val="20"/>
                <w:szCs w:val="20"/>
              </w:rPr>
              <w:t>1</w:t>
            </w:r>
          </w:p>
        </w:tc>
        <w:tc>
          <w:tcPr>
            <w:tcW w:w="2027" w:type="dxa"/>
            <w:vMerge w:val="restart"/>
            <w:tcBorders>
              <w:top w:val="single" w:sz="6" w:space="0" w:color="auto"/>
            </w:tcBorders>
          </w:tcPr>
          <w:p>
            <w:pPr>
              <w:widowControl w:val="0"/>
              <w:rPr>
                <w:rFonts w:eastAsia="Times New Roman"/>
                <w:sz w:val="20"/>
                <w:szCs w:val="20"/>
              </w:rPr>
            </w:pPr>
            <w:r>
              <w:rPr>
                <w:rFonts w:eastAsia="Times New Roman"/>
                <w:sz w:val="20"/>
                <w:szCs w:val="20"/>
              </w:rPr>
              <w:t>Электротехнические характеристики</w:t>
            </w:r>
          </w:p>
        </w:tc>
        <w:tc>
          <w:tcPr>
            <w:tcW w:w="2552" w:type="dxa"/>
            <w:vMerge w:val="restart"/>
            <w:tcBorders>
              <w:top w:val="single" w:sz="6" w:space="0" w:color="auto"/>
            </w:tcBorders>
          </w:tcPr>
          <w:p>
            <w:pPr>
              <w:widowControl w:val="0"/>
              <w:jc w:val="left"/>
              <w:rPr>
                <w:rFonts w:eastAsia="Times New Roman"/>
                <w:sz w:val="20"/>
                <w:szCs w:val="20"/>
              </w:rPr>
            </w:pPr>
            <w:r>
              <w:rPr>
                <w:rFonts w:eastAsia="Times New Roman"/>
                <w:sz w:val="20"/>
                <w:szCs w:val="20"/>
              </w:rPr>
              <w:t>Исполнение по взрывозащите</w:t>
            </w:r>
          </w:p>
        </w:tc>
        <w:tc>
          <w:tcPr>
            <w:tcW w:w="1701" w:type="dxa"/>
            <w:tcBorders>
              <w:top w:val="single" w:sz="6" w:space="0" w:color="auto"/>
            </w:tcBorders>
          </w:tcPr>
          <w:p>
            <w:pPr>
              <w:jc w:val="center"/>
              <w:rPr>
                <w:rFonts w:eastAsia="Times New Roman"/>
                <w:b/>
                <w:sz w:val="20"/>
                <w:szCs w:val="20"/>
              </w:rPr>
            </w:pPr>
            <w:r>
              <w:rPr>
                <w:rFonts w:eastAsia="Times New Roman"/>
                <w:b/>
                <w:sz w:val="20"/>
                <w:szCs w:val="20"/>
              </w:rPr>
              <w:t>Ехd</w:t>
            </w:r>
          </w:p>
        </w:tc>
        <w:tc>
          <w:tcPr>
            <w:tcW w:w="3083" w:type="dxa"/>
            <w:tcBorders>
              <w:top w:val="single" w:sz="6" w:space="0" w:color="auto"/>
            </w:tcBorders>
          </w:tcPr>
          <w:p>
            <w:pPr>
              <w:widowControl w:val="0"/>
              <w:ind w:left="34"/>
              <w:rPr>
                <w:rFonts w:eastAsia="Times New Roman"/>
                <w:sz w:val="20"/>
                <w:szCs w:val="20"/>
              </w:rPr>
            </w:pPr>
            <w:r>
              <w:rPr>
                <w:rFonts w:eastAsia="Times New Roman"/>
                <w:sz w:val="20"/>
                <w:szCs w:val="20"/>
              </w:rPr>
              <w:t xml:space="preserve">Взрывонепроницаемая оболочка </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vMerge/>
          </w:tcPr>
          <w:p>
            <w:pPr>
              <w:widowControl w:val="0"/>
              <w:jc w:val="left"/>
              <w:rPr>
                <w:rFonts w:eastAsia="Times New Roman"/>
                <w:sz w:val="20"/>
                <w:szCs w:val="20"/>
              </w:rPr>
            </w:pPr>
          </w:p>
        </w:tc>
        <w:tc>
          <w:tcPr>
            <w:tcW w:w="1701" w:type="dxa"/>
            <w:tcBorders>
              <w:top w:val="single" w:sz="6" w:space="0" w:color="auto"/>
            </w:tcBorders>
          </w:tcPr>
          <w:p>
            <w:pPr>
              <w:jc w:val="center"/>
              <w:rPr>
                <w:rFonts w:eastAsia="Times New Roman"/>
                <w:b/>
                <w:sz w:val="20"/>
                <w:szCs w:val="20"/>
              </w:rPr>
            </w:pPr>
            <w:r>
              <w:rPr>
                <w:rFonts w:eastAsia="Times New Roman"/>
                <w:b/>
                <w:sz w:val="20"/>
                <w:szCs w:val="20"/>
              </w:rPr>
              <w:t>Общепром.</w:t>
            </w:r>
          </w:p>
        </w:tc>
        <w:tc>
          <w:tcPr>
            <w:tcW w:w="3083" w:type="dxa"/>
            <w:tcBorders>
              <w:top w:val="single" w:sz="6" w:space="0" w:color="auto"/>
            </w:tcBorders>
          </w:tcPr>
          <w:p>
            <w:pPr>
              <w:widowControl w:val="0"/>
              <w:ind w:left="34"/>
              <w:rPr>
                <w:rFonts w:eastAsia="Times New Roman"/>
                <w:sz w:val="20"/>
                <w:szCs w:val="20"/>
              </w:rPr>
            </w:pPr>
            <w:r>
              <w:rPr>
                <w:rFonts w:eastAsia="Times New Roman"/>
                <w:sz w:val="20"/>
                <w:szCs w:val="20"/>
              </w:rPr>
              <w:t>Без взрывозащиты</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tcPr>
          <w:p>
            <w:pPr>
              <w:widowControl w:val="0"/>
              <w:jc w:val="left"/>
              <w:rPr>
                <w:rFonts w:eastAsia="Times New Roman"/>
                <w:sz w:val="20"/>
                <w:szCs w:val="20"/>
              </w:rPr>
            </w:pPr>
            <w:r>
              <w:rPr>
                <w:rFonts w:eastAsia="Times New Roman"/>
                <w:sz w:val="20"/>
                <w:szCs w:val="20"/>
              </w:rPr>
              <w:t>Исполнение по пылевлагозащите, не ниже</w:t>
            </w:r>
          </w:p>
        </w:tc>
        <w:tc>
          <w:tcPr>
            <w:tcW w:w="1701" w:type="dxa"/>
          </w:tcPr>
          <w:p>
            <w:pPr>
              <w:jc w:val="center"/>
              <w:rPr>
                <w:rFonts w:eastAsia="Times New Roman"/>
                <w:b/>
                <w:sz w:val="20"/>
                <w:szCs w:val="20"/>
              </w:rPr>
            </w:pPr>
            <w:r>
              <w:rPr>
                <w:rFonts w:eastAsia="Times New Roman"/>
                <w:b/>
                <w:sz w:val="20"/>
                <w:szCs w:val="20"/>
              </w:rPr>
              <w:t>IP54; IP65</w:t>
            </w:r>
          </w:p>
        </w:tc>
        <w:tc>
          <w:tcPr>
            <w:tcW w:w="3083" w:type="dxa"/>
          </w:tcPr>
          <w:p>
            <w:pPr>
              <w:widowControl w:val="0"/>
              <w:ind w:left="34"/>
              <w:rPr>
                <w:rFonts w:eastAsia="Times New Roman"/>
                <w:sz w:val="20"/>
                <w:szCs w:val="20"/>
              </w:rPr>
            </w:pPr>
            <w:r>
              <w:rPr>
                <w:rFonts w:eastAsia="Times New Roman"/>
                <w:sz w:val="20"/>
                <w:szCs w:val="20"/>
              </w:rPr>
              <w:t>Защита оборудования от попадания пыли и влаги в соответствии с ГОСТ 14254</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tcPr>
          <w:p>
            <w:pPr>
              <w:widowControl w:val="0"/>
              <w:jc w:val="left"/>
              <w:rPr>
                <w:rFonts w:eastAsia="Times New Roman"/>
                <w:sz w:val="20"/>
                <w:szCs w:val="20"/>
              </w:rPr>
            </w:pPr>
            <w:r>
              <w:rPr>
                <w:rFonts w:eastAsia="Times New Roman"/>
                <w:sz w:val="20"/>
                <w:szCs w:val="20"/>
              </w:rPr>
              <w:t xml:space="preserve">Напряжение питания, </w:t>
            </w:r>
          </w:p>
          <w:p>
            <w:pPr>
              <w:widowControl w:val="0"/>
              <w:jc w:val="left"/>
              <w:rPr>
                <w:rFonts w:eastAsia="Times New Roman"/>
                <w:sz w:val="20"/>
                <w:szCs w:val="20"/>
              </w:rPr>
            </w:pPr>
            <w:r>
              <w:rPr>
                <w:rFonts w:eastAsia="Times New Roman"/>
                <w:sz w:val="20"/>
                <w:szCs w:val="20"/>
              </w:rPr>
              <w:t>U питания, В</w:t>
            </w:r>
          </w:p>
        </w:tc>
        <w:tc>
          <w:tcPr>
            <w:tcW w:w="1701" w:type="dxa"/>
          </w:tcPr>
          <w:p>
            <w:pPr>
              <w:jc w:val="center"/>
              <w:rPr>
                <w:rFonts w:eastAsia="Times New Roman"/>
                <w:b/>
                <w:sz w:val="20"/>
                <w:szCs w:val="20"/>
              </w:rPr>
            </w:pPr>
            <w:r>
              <w:rPr>
                <w:rFonts w:eastAsia="Times New Roman"/>
                <w:b/>
                <w:sz w:val="20"/>
                <w:szCs w:val="20"/>
              </w:rPr>
              <w:t>220; 380</w:t>
            </w:r>
          </w:p>
        </w:tc>
        <w:tc>
          <w:tcPr>
            <w:tcW w:w="3083" w:type="dxa"/>
          </w:tcPr>
          <w:p>
            <w:pPr>
              <w:widowControl w:val="0"/>
              <w:ind w:left="34"/>
              <w:rPr>
                <w:rFonts w:eastAsia="Times New Roman"/>
                <w:sz w:val="20"/>
                <w:szCs w:val="20"/>
              </w:rPr>
            </w:pPr>
            <w:r>
              <w:rPr>
                <w:rFonts w:eastAsia="Times New Roman"/>
                <w:sz w:val="20"/>
                <w:szCs w:val="20"/>
              </w:rPr>
              <w:t>Указывается номинальное напряжение</w:t>
            </w:r>
          </w:p>
        </w:tc>
      </w:tr>
      <w:tr>
        <w:trPr>
          <w:trHeight w:val="284"/>
        </w:trPr>
        <w:tc>
          <w:tcPr>
            <w:tcW w:w="491" w:type="dxa"/>
            <w:vMerge w:val="restart"/>
          </w:tcPr>
          <w:p>
            <w:pPr>
              <w:widowControl w:val="0"/>
              <w:rPr>
                <w:rFonts w:eastAsia="Times New Roman"/>
                <w:sz w:val="20"/>
                <w:szCs w:val="20"/>
              </w:rPr>
            </w:pPr>
            <w:r>
              <w:rPr>
                <w:rFonts w:eastAsia="Times New Roman"/>
                <w:sz w:val="20"/>
                <w:szCs w:val="20"/>
              </w:rPr>
              <w:t>2</w:t>
            </w:r>
          </w:p>
        </w:tc>
        <w:tc>
          <w:tcPr>
            <w:tcW w:w="2027" w:type="dxa"/>
            <w:vMerge w:val="restart"/>
          </w:tcPr>
          <w:p>
            <w:pPr>
              <w:widowControl w:val="0"/>
              <w:rPr>
                <w:rFonts w:eastAsia="Times New Roman"/>
                <w:sz w:val="20"/>
                <w:szCs w:val="20"/>
              </w:rPr>
            </w:pPr>
            <w:r>
              <w:rPr>
                <w:rFonts w:eastAsia="Times New Roman"/>
                <w:sz w:val="20"/>
                <w:szCs w:val="20"/>
              </w:rPr>
              <w:t>Контроль и управление</w:t>
            </w:r>
          </w:p>
        </w:tc>
        <w:tc>
          <w:tcPr>
            <w:tcW w:w="2552" w:type="dxa"/>
          </w:tcPr>
          <w:p>
            <w:pPr>
              <w:widowControl w:val="0"/>
              <w:jc w:val="left"/>
              <w:rPr>
                <w:rFonts w:eastAsia="Times New Roman"/>
                <w:sz w:val="20"/>
                <w:szCs w:val="20"/>
              </w:rPr>
            </w:pPr>
            <w:r>
              <w:rPr>
                <w:rFonts w:eastAsia="Times New Roman"/>
                <w:sz w:val="20"/>
                <w:szCs w:val="20"/>
              </w:rPr>
              <w:t>Сигнализация состояния</w:t>
            </w:r>
          </w:p>
          <w:p>
            <w:pPr>
              <w:widowControl w:val="0"/>
              <w:jc w:val="left"/>
              <w:rPr>
                <w:rFonts w:eastAsia="Times New Roman"/>
                <w:sz w:val="20"/>
                <w:szCs w:val="20"/>
              </w:rPr>
            </w:pPr>
            <w:r>
              <w:rPr>
                <w:rFonts w:eastAsia="Times New Roman"/>
                <w:sz w:val="20"/>
                <w:szCs w:val="20"/>
              </w:rPr>
              <w:t>Открыто/Закрыто</w:t>
            </w:r>
          </w:p>
          <w:p>
            <w:pPr>
              <w:widowControl w:val="0"/>
              <w:jc w:val="left"/>
              <w:rPr>
                <w:rFonts w:eastAsia="Times New Roman"/>
                <w:sz w:val="20"/>
                <w:szCs w:val="20"/>
              </w:rPr>
            </w:pPr>
            <w:r>
              <w:rPr>
                <w:rFonts w:eastAsia="Times New Roman"/>
                <w:sz w:val="20"/>
                <w:szCs w:val="20"/>
              </w:rPr>
              <w:t>Авария/Дист. режим</w:t>
            </w:r>
          </w:p>
        </w:tc>
        <w:tc>
          <w:tcPr>
            <w:tcW w:w="1701" w:type="dxa"/>
          </w:tcPr>
          <w:p>
            <w:pPr>
              <w:jc w:val="center"/>
              <w:rPr>
                <w:rFonts w:eastAsia="Times New Roman"/>
                <w:b/>
                <w:sz w:val="20"/>
                <w:szCs w:val="20"/>
              </w:rPr>
            </w:pPr>
            <w:r>
              <w:rPr>
                <w:rFonts w:eastAsia="Times New Roman"/>
                <w:b/>
                <w:sz w:val="20"/>
                <w:szCs w:val="20"/>
              </w:rPr>
              <w:t>24 В с.к.;</w:t>
            </w:r>
          </w:p>
          <w:p>
            <w:pPr>
              <w:jc w:val="center"/>
              <w:rPr>
                <w:rFonts w:eastAsia="Times New Roman"/>
                <w:b/>
                <w:sz w:val="20"/>
                <w:szCs w:val="20"/>
              </w:rPr>
            </w:pPr>
            <w:r>
              <w:rPr>
                <w:rFonts w:eastAsia="Times New Roman"/>
                <w:b/>
                <w:sz w:val="20"/>
                <w:szCs w:val="20"/>
              </w:rPr>
              <w:t>220 В с.к.</w:t>
            </w:r>
          </w:p>
        </w:tc>
        <w:tc>
          <w:tcPr>
            <w:tcW w:w="3083" w:type="dxa"/>
          </w:tcPr>
          <w:p>
            <w:pPr>
              <w:widowControl w:val="0"/>
              <w:ind w:left="34"/>
              <w:rPr>
                <w:rFonts w:eastAsia="Times New Roman"/>
                <w:sz w:val="20"/>
                <w:szCs w:val="20"/>
              </w:rPr>
            </w:pPr>
            <w:r>
              <w:rPr>
                <w:rFonts w:eastAsia="Times New Roman"/>
                <w:sz w:val="20"/>
                <w:szCs w:val="20"/>
              </w:rPr>
              <w:t>Указывается тип сигнала и напряжение</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tcPr>
          <w:p>
            <w:pPr>
              <w:widowControl w:val="0"/>
              <w:jc w:val="left"/>
              <w:rPr>
                <w:rFonts w:eastAsia="Times New Roman"/>
                <w:sz w:val="20"/>
                <w:szCs w:val="20"/>
              </w:rPr>
            </w:pPr>
            <w:r>
              <w:rPr>
                <w:rFonts w:eastAsia="Times New Roman"/>
                <w:sz w:val="20"/>
                <w:szCs w:val="20"/>
              </w:rPr>
              <w:t>Сигнал управления</w:t>
            </w:r>
          </w:p>
          <w:p>
            <w:pPr>
              <w:widowControl w:val="0"/>
              <w:jc w:val="left"/>
              <w:rPr>
                <w:rFonts w:eastAsia="Times New Roman"/>
                <w:sz w:val="20"/>
                <w:szCs w:val="20"/>
              </w:rPr>
            </w:pPr>
            <w:r>
              <w:rPr>
                <w:rFonts w:eastAsia="Times New Roman"/>
                <w:sz w:val="20"/>
                <w:szCs w:val="20"/>
              </w:rPr>
              <w:t>Открыть/Закрыть/Стоп</w:t>
            </w:r>
          </w:p>
        </w:tc>
        <w:tc>
          <w:tcPr>
            <w:tcW w:w="1701" w:type="dxa"/>
          </w:tcPr>
          <w:p>
            <w:pPr>
              <w:jc w:val="center"/>
              <w:rPr>
                <w:rFonts w:eastAsia="Times New Roman"/>
                <w:b/>
                <w:sz w:val="20"/>
                <w:szCs w:val="20"/>
              </w:rPr>
            </w:pPr>
            <w:r>
              <w:rPr>
                <w:rFonts w:eastAsia="Times New Roman"/>
                <w:b/>
                <w:sz w:val="20"/>
                <w:szCs w:val="20"/>
              </w:rPr>
              <w:t>24 В</w:t>
            </w:r>
          </w:p>
          <w:p>
            <w:pPr>
              <w:jc w:val="center"/>
              <w:rPr>
                <w:rFonts w:eastAsia="Times New Roman"/>
                <w:b/>
                <w:sz w:val="20"/>
                <w:szCs w:val="20"/>
              </w:rPr>
            </w:pPr>
            <w:r>
              <w:rPr>
                <w:rFonts w:eastAsia="Times New Roman"/>
                <w:b/>
                <w:sz w:val="20"/>
                <w:szCs w:val="20"/>
              </w:rPr>
              <w:t>220 В</w:t>
            </w:r>
          </w:p>
          <w:p>
            <w:pPr>
              <w:jc w:val="center"/>
              <w:rPr>
                <w:rFonts w:eastAsia="Times New Roman"/>
                <w:b/>
                <w:sz w:val="20"/>
                <w:szCs w:val="20"/>
              </w:rPr>
            </w:pPr>
            <w:r>
              <w:rPr>
                <w:rFonts w:eastAsia="Times New Roman"/>
                <w:b/>
                <w:sz w:val="20"/>
                <w:szCs w:val="20"/>
              </w:rPr>
              <w:t>4-20 мА+HART</w:t>
            </w:r>
          </w:p>
        </w:tc>
        <w:tc>
          <w:tcPr>
            <w:tcW w:w="3083" w:type="dxa"/>
          </w:tcPr>
          <w:p>
            <w:pPr>
              <w:widowControl w:val="0"/>
              <w:ind w:left="34"/>
              <w:rPr>
                <w:rFonts w:eastAsia="Times New Roman"/>
                <w:sz w:val="20"/>
                <w:szCs w:val="20"/>
              </w:rPr>
            </w:pPr>
            <w:r>
              <w:rPr>
                <w:rFonts w:eastAsia="Times New Roman"/>
                <w:sz w:val="20"/>
                <w:szCs w:val="20"/>
              </w:rPr>
              <w:t>Указывается тип управляющего сигнала</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tcPr>
          <w:p>
            <w:pPr>
              <w:widowControl w:val="0"/>
              <w:jc w:val="left"/>
              <w:rPr>
                <w:rFonts w:eastAsia="Times New Roman"/>
                <w:sz w:val="20"/>
                <w:szCs w:val="20"/>
              </w:rPr>
            </w:pPr>
            <w:r>
              <w:rPr>
                <w:rFonts w:eastAsia="Times New Roman"/>
                <w:sz w:val="20"/>
                <w:szCs w:val="20"/>
              </w:rPr>
              <w:t>Протокол передачи данных</w:t>
            </w:r>
          </w:p>
        </w:tc>
        <w:tc>
          <w:tcPr>
            <w:tcW w:w="1701" w:type="dxa"/>
          </w:tcPr>
          <w:p>
            <w:pPr>
              <w:jc w:val="center"/>
              <w:rPr>
                <w:rFonts w:eastAsia="Times New Roman"/>
                <w:b/>
                <w:sz w:val="20"/>
                <w:szCs w:val="20"/>
              </w:rPr>
            </w:pPr>
            <w:r>
              <w:rPr>
                <w:rFonts w:eastAsia="Times New Roman"/>
                <w:b/>
                <w:sz w:val="20"/>
                <w:szCs w:val="20"/>
              </w:rPr>
              <w:t>Modbus;</w:t>
            </w:r>
          </w:p>
          <w:p>
            <w:pPr>
              <w:jc w:val="center"/>
              <w:rPr>
                <w:rFonts w:eastAsia="Times New Roman"/>
                <w:b/>
                <w:sz w:val="20"/>
                <w:szCs w:val="20"/>
              </w:rPr>
            </w:pPr>
            <w:r>
              <w:rPr>
                <w:rFonts w:eastAsia="Times New Roman"/>
                <w:b/>
                <w:sz w:val="20"/>
                <w:szCs w:val="20"/>
              </w:rPr>
              <w:t>Fieldbus.</w:t>
            </w:r>
          </w:p>
        </w:tc>
        <w:tc>
          <w:tcPr>
            <w:tcW w:w="3083" w:type="dxa"/>
          </w:tcPr>
          <w:p>
            <w:pPr>
              <w:pStyle w:val="afff6"/>
              <w:widowControl w:val="0"/>
              <w:ind w:left="34"/>
              <w:jc w:val="left"/>
              <w:rPr>
                <w:sz w:val="20"/>
                <w:szCs w:val="20"/>
              </w:rPr>
            </w:pPr>
            <w:r>
              <w:rPr>
                <w:sz w:val="20"/>
                <w:szCs w:val="20"/>
                <w:lang w:eastAsia="ru-RU"/>
              </w:rPr>
              <w:t>Указывается тип протокола обмена</w:t>
            </w:r>
          </w:p>
        </w:tc>
      </w:tr>
      <w:tr>
        <w:trPr>
          <w:trHeight w:val="284"/>
        </w:trPr>
        <w:tc>
          <w:tcPr>
            <w:tcW w:w="491" w:type="dxa"/>
            <w:vMerge w:val="restart"/>
          </w:tcPr>
          <w:p>
            <w:pPr>
              <w:widowControl w:val="0"/>
              <w:rPr>
                <w:rFonts w:eastAsia="Times New Roman"/>
                <w:sz w:val="20"/>
                <w:szCs w:val="20"/>
                <w:lang w:eastAsia="en-US"/>
              </w:rPr>
            </w:pPr>
            <w:r>
              <w:rPr>
                <w:rFonts w:eastAsia="Times New Roman"/>
                <w:sz w:val="20"/>
                <w:szCs w:val="20"/>
              </w:rPr>
              <w:t>3</w:t>
            </w:r>
          </w:p>
        </w:tc>
        <w:tc>
          <w:tcPr>
            <w:tcW w:w="2027" w:type="dxa"/>
            <w:vMerge w:val="restart"/>
          </w:tcPr>
          <w:p>
            <w:pPr>
              <w:widowControl w:val="0"/>
              <w:rPr>
                <w:rFonts w:eastAsia="Times New Roman"/>
                <w:sz w:val="20"/>
                <w:szCs w:val="20"/>
              </w:rPr>
            </w:pPr>
            <w:r>
              <w:rPr>
                <w:rFonts w:eastAsia="Times New Roman"/>
                <w:sz w:val="20"/>
                <w:szCs w:val="20"/>
              </w:rPr>
              <w:t>Опции и комплектующие</w:t>
            </w:r>
          </w:p>
        </w:tc>
        <w:tc>
          <w:tcPr>
            <w:tcW w:w="2552" w:type="dxa"/>
            <w:vMerge w:val="restart"/>
          </w:tcPr>
          <w:p>
            <w:pPr>
              <w:widowControl w:val="0"/>
              <w:jc w:val="left"/>
              <w:rPr>
                <w:rFonts w:eastAsia="Times New Roman"/>
                <w:sz w:val="20"/>
                <w:szCs w:val="20"/>
              </w:rPr>
            </w:pPr>
            <w:r>
              <w:rPr>
                <w:rFonts w:eastAsia="Times New Roman"/>
                <w:sz w:val="20"/>
                <w:szCs w:val="20"/>
              </w:rPr>
              <w:t>Расположение блока управления</w:t>
            </w:r>
          </w:p>
        </w:tc>
        <w:tc>
          <w:tcPr>
            <w:tcW w:w="1701" w:type="dxa"/>
          </w:tcPr>
          <w:p>
            <w:pPr>
              <w:jc w:val="center"/>
              <w:rPr>
                <w:rFonts w:eastAsia="Times New Roman"/>
                <w:b/>
                <w:sz w:val="20"/>
                <w:szCs w:val="20"/>
              </w:rPr>
            </w:pPr>
            <w:r>
              <w:rPr>
                <w:rFonts w:eastAsia="Times New Roman"/>
                <w:b/>
                <w:sz w:val="20"/>
                <w:szCs w:val="20"/>
              </w:rPr>
              <w:t>НЭ</w:t>
            </w:r>
          </w:p>
        </w:tc>
        <w:tc>
          <w:tcPr>
            <w:tcW w:w="3083" w:type="dxa"/>
          </w:tcPr>
          <w:p>
            <w:pPr>
              <w:widowControl w:val="0"/>
              <w:ind w:left="34"/>
              <w:rPr>
                <w:rFonts w:eastAsia="Times New Roman"/>
                <w:sz w:val="20"/>
                <w:szCs w:val="20"/>
              </w:rPr>
            </w:pPr>
            <w:r>
              <w:rPr>
                <w:rFonts w:eastAsia="Times New Roman"/>
                <w:sz w:val="20"/>
                <w:szCs w:val="20"/>
              </w:rPr>
              <w:t>На электроприводе</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vMerge/>
          </w:tcPr>
          <w:p>
            <w:pPr>
              <w:widowControl w:val="0"/>
              <w:jc w:val="left"/>
              <w:rPr>
                <w:rFonts w:eastAsia="Times New Roman"/>
                <w:sz w:val="20"/>
                <w:szCs w:val="20"/>
              </w:rPr>
            </w:pPr>
          </w:p>
        </w:tc>
        <w:tc>
          <w:tcPr>
            <w:tcW w:w="1701" w:type="dxa"/>
          </w:tcPr>
          <w:p>
            <w:pPr>
              <w:jc w:val="center"/>
              <w:rPr>
                <w:rFonts w:eastAsia="Times New Roman"/>
                <w:b/>
                <w:sz w:val="20"/>
                <w:szCs w:val="20"/>
              </w:rPr>
            </w:pPr>
            <w:r>
              <w:rPr>
                <w:rFonts w:eastAsia="Times New Roman"/>
                <w:b/>
                <w:sz w:val="20"/>
                <w:szCs w:val="20"/>
              </w:rPr>
              <w:t>ВБ</w:t>
            </w:r>
          </w:p>
        </w:tc>
        <w:tc>
          <w:tcPr>
            <w:tcW w:w="3083" w:type="dxa"/>
          </w:tcPr>
          <w:p>
            <w:pPr>
              <w:widowControl w:val="0"/>
              <w:ind w:left="34"/>
              <w:rPr>
                <w:rFonts w:eastAsia="Times New Roman"/>
                <w:sz w:val="20"/>
                <w:szCs w:val="20"/>
              </w:rPr>
            </w:pPr>
            <w:r>
              <w:rPr>
                <w:rFonts w:eastAsia="Times New Roman"/>
                <w:sz w:val="20"/>
                <w:szCs w:val="20"/>
              </w:rPr>
              <w:t>Выносной блок</w:t>
            </w:r>
          </w:p>
        </w:tc>
      </w:tr>
      <w:tr>
        <w:trPr>
          <w:trHeight w:val="284"/>
        </w:trPr>
        <w:tc>
          <w:tcPr>
            <w:tcW w:w="491" w:type="dxa"/>
            <w:vMerge/>
          </w:tcPr>
          <w:p>
            <w:pPr>
              <w:widowControl w:val="0"/>
              <w:rPr>
                <w:rFonts w:eastAsia="Times New Roman"/>
                <w:sz w:val="20"/>
                <w:szCs w:val="20"/>
                <w:lang w:eastAsia="en-US"/>
              </w:rPr>
            </w:pPr>
          </w:p>
        </w:tc>
        <w:tc>
          <w:tcPr>
            <w:tcW w:w="2027" w:type="dxa"/>
            <w:vMerge/>
          </w:tcPr>
          <w:p>
            <w:pPr>
              <w:widowControl w:val="0"/>
              <w:rPr>
                <w:rFonts w:eastAsia="Times New Roman"/>
                <w:sz w:val="20"/>
                <w:szCs w:val="20"/>
              </w:rPr>
            </w:pPr>
          </w:p>
        </w:tc>
        <w:tc>
          <w:tcPr>
            <w:tcW w:w="2552" w:type="dxa"/>
            <w:vMerge w:val="restart"/>
          </w:tcPr>
          <w:p>
            <w:pPr>
              <w:widowControl w:val="0"/>
              <w:jc w:val="left"/>
              <w:rPr>
                <w:rFonts w:eastAsia="Times New Roman"/>
                <w:sz w:val="20"/>
                <w:szCs w:val="20"/>
              </w:rPr>
            </w:pPr>
            <w:r>
              <w:rPr>
                <w:rFonts w:eastAsia="Times New Roman"/>
                <w:sz w:val="20"/>
                <w:szCs w:val="20"/>
              </w:rPr>
              <w:t>Кабельный ввод КВ1 для силового кабеля.</w:t>
            </w:r>
          </w:p>
          <w:p>
            <w:pPr>
              <w:widowControl w:val="0"/>
              <w:jc w:val="left"/>
              <w:rPr>
                <w:rFonts w:eastAsia="Times New Roman"/>
                <w:sz w:val="20"/>
                <w:szCs w:val="20"/>
              </w:rPr>
            </w:pPr>
            <w:r>
              <w:rPr>
                <w:rFonts w:eastAsia="Times New Roman"/>
                <w:sz w:val="20"/>
                <w:szCs w:val="20"/>
              </w:rPr>
              <w:t xml:space="preserve"> (Эл.питание ЭП)</w:t>
            </w:r>
          </w:p>
          <w:p>
            <w:pPr>
              <w:widowControl w:val="0"/>
              <w:jc w:val="left"/>
              <w:rPr>
                <w:rFonts w:eastAsia="Times New Roman"/>
                <w:sz w:val="20"/>
                <w:szCs w:val="20"/>
              </w:rPr>
            </w:pPr>
            <w:r>
              <w:rPr>
                <w:rFonts w:eastAsia="Times New Roman"/>
                <w:sz w:val="20"/>
                <w:szCs w:val="20"/>
              </w:rPr>
              <w:t>Диаметр обжимаемого кабеля 15-25 мм</w:t>
            </w:r>
          </w:p>
        </w:tc>
        <w:tc>
          <w:tcPr>
            <w:tcW w:w="1701" w:type="dxa"/>
          </w:tcPr>
          <w:p>
            <w:pPr>
              <w:jc w:val="center"/>
              <w:rPr>
                <w:rFonts w:eastAsia="Times New Roman"/>
                <w:b/>
                <w:sz w:val="20"/>
                <w:szCs w:val="20"/>
              </w:rPr>
            </w:pPr>
            <w:r>
              <w:rPr>
                <w:rFonts w:eastAsia="Times New Roman"/>
                <w:b/>
                <w:sz w:val="20"/>
                <w:szCs w:val="20"/>
              </w:rPr>
              <w:t>Б</w:t>
            </w:r>
          </w:p>
        </w:tc>
        <w:tc>
          <w:tcPr>
            <w:tcW w:w="3083" w:type="dxa"/>
          </w:tcPr>
          <w:p>
            <w:pPr>
              <w:widowControl w:val="0"/>
              <w:ind w:left="34"/>
              <w:rPr>
                <w:rFonts w:eastAsia="Times New Roman"/>
                <w:sz w:val="20"/>
                <w:szCs w:val="20"/>
              </w:rPr>
            </w:pPr>
            <w:r>
              <w:rPr>
                <w:rFonts w:eastAsia="Times New Roman"/>
                <w:sz w:val="20"/>
                <w:szCs w:val="20"/>
              </w:rPr>
              <w:t>Бронированный</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vMerge/>
          </w:tcPr>
          <w:p>
            <w:pPr>
              <w:widowControl w:val="0"/>
              <w:jc w:val="left"/>
              <w:rPr>
                <w:rFonts w:eastAsia="Times New Roman"/>
                <w:sz w:val="20"/>
                <w:szCs w:val="20"/>
              </w:rPr>
            </w:pPr>
          </w:p>
        </w:tc>
        <w:tc>
          <w:tcPr>
            <w:tcW w:w="1701" w:type="dxa"/>
          </w:tcPr>
          <w:p>
            <w:pPr>
              <w:jc w:val="center"/>
              <w:rPr>
                <w:rFonts w:eastAsia="Times New Roman"/>
                <w:b/>
                <w:sz w:val="20"/>
                <w:szCs w:val="20"/>
              </w:rPr>
            </w:pPr>
            <w:r>
              <w:rPr>
                <w:rFonts w:eastAsia="Times New Roman"/>
                <w:b/>
                <w:sz w:val="20"/>
                <w:szCs w:val="20"/>
              </w:rPr>
              <w:t>НБ</w:t>
            </w:r>
          </w:p>
        </w:tc>
        <w:tc>
          <w:tcPr>
            <w:tcW w:w="3083" w:type="dxa"/>
          </w:tcPr>
          <w:p>
            <w:pPr>
              <w:widowControl w:val="0"/>
              <w:ind w:left="34"/>
              <w:rPr>
                <w:rFonts w:eastAsia="Times New Roman"/>
                <w:sz w:val="20"/>
                <w:szCs w:val="20"/>
              </w:rPr>
            </w:pPr>
            <w:r>
              <w:rPr>
                <w:rFonts w:eastAsia="Times New Roman"/>
                <w:sz w:val="20"/>
                <w:szCs w:val="20"/>
              </w:rPr>
              <w:t>Небронированный с фитингом под металлорукав</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vMerge w:val="restart"/>
          </w:tcPr>
          <w:p>
            <w:pPr>
              <w:widowControl w:val="0"/>
              <w:jc w:val="left"/>
              <w:rPr>
                <w:rFonts w:eastAsia="Times New Roman"/>
                <w:sz w:val="20"/>
                <w:szCs w:val="20"/>
              </w:rPr>
            </w:pPr>
            <w:r>
              <w:rPr>
                <w:rFonts w:eastAsia="Times New Roman"/>
                <w:sz w:val="20"/>
                <w:szCs w:val="20"/>
              </w:rPr>
              <w:t>Графический ЖК - дисплей</w:t>
            </w:r>
          </w:p>
        </w:tc>
        <w:tc>
          <w:tcPr>
            <w:tcW w:w="1701" w:type="dxa"/>
          </w:tcPr>
          <w:p>
            <w:pPr>
              <w:jc w:val="center"/>
              <w:rPr>
                <w:rFonts w:eastAsia="Times New Roman"/>
                <w:b/>
                <w:sz w:val="20"/>
                <w:szCs w:val="20"/>
              </w:rPr>
            </w:pPr>
            <w:r>
              <w:rPr>
                <w:rFonts w:eastAsia="Times New Roman"/>
                <w:b/>
                <w:sz w:val="20"/>
                <w:szCs w:val="20"/>
              </w:rPr>
              <w:t>Д</w:t>
            </w:r>
          </w:p>
        </w:tc>
        <w:tc>
          <w:tcPr>
            <w:tcW w:w="3083" w:type="dxa"/>
          </w:tcPr>
          <w:p>
            <w:pPr>
              <w:widowControl w:val="0"/>
              <w:ind w:left="34"/>
              <w:rPr>
                <w:rFonts w:eastAsia="Times New Roman"/>
                <w:sz w:val="20"/>
                <w:szCs w:val="20"/>
              </w:rPr>
            </w:pPr>
            <w:r>
              <w:rPr>
                <w:rFonts w:eastAsia="Times New Roman"/>
                <w:sz w:val="20"/>
                <w:szCs w:val="20"/>
              </w:rPr>
              <w:t>С дисплеем</w:t>
            </w:r>
          </w:p>
        </w:tc>
      </w:tr>
      <w:tr>
        <w:trPr>
          <w:trHeight w:val="284"/>
        </w:trPr>
        <w:tc>
          <w:tcPr>
            <w:tcW w:w="491" w:type="dxa"/>
            <w:vMerge/>
          </w:tcPr>
          <w:p>
            <w:pPr>
              <w:widowControl w:val="0"/>
              <w:rPr>
                <w:rFonts w:eastAsia="Times New Roman"/>
                <w:sz w:val="20"/>
                <w:szCs w:val="20"/>
              </w:rPr>
            </w:pPr>
          </w:p>
        </w:tc>
        <w:tc>
          <w:tcPr>
            <w:tcW w:w="2027" w:type="dxa"/>
            <w:vMerge/>
          </w:tcPr>
          <w:p>
            <w:pPr>
              <w:widowControl w:val="0"/>
              <w:rPr>
                <w:rFonts w:eastAsia="Times New Roman"/>
                <w:sz w:val="20"/>
                <w:szCs w:val="20"/>
              </w:rPr>
            </w:pPr>
          </w:p>
        </w:tc>
        <w:tc>
          <w:tcPr>
            <w:tcW w:w="2552" w:type="dxa"/>
            <w:vMerge/>
          </w:tcPr>
          <w:p>
            <w:pPr>
              <w:widowControl w:val="0"/>
              <w:rPr>
                <w:rFonts w:eastAsia="Times New Roman"/>
                <w:sz w:val="20"/>
                <w:szCs w:val="20"/>
              </w:rPr>
            </w:pPr>
          </w:p>
        </w:tc>
        <w:tc>
          <w:tcPr>
            <w:tcW w:w="1701" w:type="dxa"/>
          </w:tcPr>
          <w:p>
            <w:pPr>
              <w:jc w:val="center"/>
              <w:rPr>
                <w:rFonts w:eastAsia="Times New Roman"/>
                <w:b/>
                <w:sz w:val="20"/>
                <w:szCs w:val="20"/>
              </w:rPr>
            </w:pPr>
            <w:r>
              <w:rPr>
                <w:rFonts w:eastAsia="Times New Roman"/>
                <w:b/>
                <w:sz w:val="20"/>
                <w:szCs w:val="20"/>
              </w:rPr>
              <w:t>БД</w:t>
            </w:r>
          </w:p>
        </w:tc>
        <w:tc>
          <w:tcPr>
            <w:tcW w:w="3083" w:type="dxa"/>
          </w:tcPr>
          <w:p>
            <w:pPr>
              <w:widowControl w:val="0"/>
              <w:ind w:left="34"/>
              <w:rPr>
                <w:rFonts w:eastAsia="Times New Roman"/>
                <w:sz w:val="20"/>
                <w:szCs w:val="20"/>
              </w:rPr>
            </w:pPr>
            <w:r>
              <w:rPr>
                <w:rFonts w:eastAsia="Times New Roman"/>
                <w:sz w:val="20"/>
                <w:szCs w:val="20"/>
              </w:rPr>
              <w:t>Без дисплея</w:t>
            </w:r>
          </w:p>
        </w:tc>
      </w:tr>
    </w:tbl>
    <w:p>
      <w:pPr>
        <w:tabs>
          <w:tab w:val="left" w:pos="945"/>
        </w:tabs>
        <w:rPr>
          <w:rFonts w:asciiTheme="majorBidi" w:hAnsiTheme="majorBidi" w:cstheme="majorBidi"/>
        </w:rPr>
        <w:sectPr>
          <w:headerReference w:type="even" r:id="rId62"/>
          <w:headerReference w:type="default" r:id="rId63"/>
          <w:headerReference w:type="first" r:id="rId64"/>
          <w:pgSz w:w="11906" w:h="16838"/>
          <w:pgMar w:top="510" w:right="1021" w:bottom="567" w:left="1247" w:header="737" w:footer="680" w:gutter="0"/>
          <w:cols w:space="720"/>
          <w:docGrid w:linePitch="360"/>
        </w:sectPr>
      </w:pPr>
    </w:p>
    <w:p>
      <w:pPr>
        <w:pStyle w:val="S0"/>
      </w:pPr>
      <w:r>
        <w:lastRenderedPageBreak/>
        <w:t>В Таблице 35 приведены комбинации обозначения электропривода для крана шарового.</w:t>
      </w:r>
    </w:p>
    <w:p>
      <w:pPr>
        <w:pStyle w:val="S0"/>
      </w:pPr>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35</w:t>
      </w:r>
      <w:r>
        <w:rPr>
          <w:rFonts w:ascii="Arial" w:eastAsia="Times New Roman" w:hAnsi="Arial" w:cs="Arial"/>
          <w:b/>
          <w:bCs/>
          <w:sz w:val="20"/>
          <w:szCs w:val="20"/>
        </w:rPr>
        <w:fldChar w:fldCharType="end"/>
      </w:r>
    </w:p>
    <w:tbl>
      <w:tblPr>
        <w:tblStyle w:val="aff6"/>
        <w:tblpPr w:leftFromText="180" w:rightFromText="180" w:vertAnchor="text" w:horzAnchor="margin" w:tblpY="269"/>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46"/>
        <w:gridCol w:w="1096"/>
        <w:gridCol w:w="1189"/>
        <w:gridCol w:w="918"/>
        <w:gridCol w:w="1012"/>
        <w:gridCol w:w="1096"/>
        <w:gridCol w:w="1864"/>
        <w:gridCol w:w="1751"/>
        <w:gridCol w:w="1084"/>
        <w:gridCol w:w="1001"/>
        <w:gridCol w:w="1409"/>
        <w:gridCol w:w="1701"/>
        <w:gridCol w:w="1410"/>
      </w:tblGrid>
      <w:tr>
        <w:trPr>
          <w:trHeight w:val="397"/>
        </w:trPr>
        <w:tc>
          <w:tcPr>
            <w:tcW w:w="446" w:type="dxa"/>
            <w:vMerge w:val="restart"/>
            <w:tcBorders>
              <w:top w:val="single" w:sz="12" w:space="0" w:color="auto"/>
              <w:left w:val="single" w:sz="12" w:space="0" w:color="auto"/>
            </w:tcBorders>
            <w:shd w:val="clear" w:color="auto" w:fill="FFD200"/>
            <w:vAlign w:val="center"/>
          </w:tcPr>
          <w:p>
            <w:pPr>
              <w:widowControl w:val="0"/>
              <w:ind w:right="-45"/>
              <w:jc w:val="center"/>
              <w:rPr>
                <w:rFonts w:ascii="Arial" w:eastAsia="Calibri" w:hAnsi="Arial" w:cs="Arial"/>
                <w:b/>
                <w:sz w:val="16"/>
                <w:szCs w:val="16"/>
              </w:rPr>
            </w:pPr>
            <w:r>
              <w:rPr>
                <w:rFonts w:ascii="Arial" w:eastAsia="Calibri" w:hAnsi="Arial" w:cs="Arial"/>
                <w:b/>
                <w:sz w:val="16"/>
                <w:szCs w:val="16"/>
              </w:rPr>
              <w:t>№</w:t>
            </w:r>
          </w:p>
          <w:p>
            <w:pPr>
              <w:widowControl w:val="0"/>
              <w:ind w:right="-45"/>
              <w:jc w:val="center"/>
              <w:rPr>
                <w:rFonts w:ascii="Arial" w:eastAsia="Calibri" w:hAnsi="Arial" w:cs="Arial"/>
                <w:b/>
                <w:sz w:val="16"/>
                <w:szCs w:val="16"/>
              </w:rPr>
            </w:pPr>
            <w:r>
              <w:rPr>
                <w:rFonts w:ascii="Arial" w:eastAsia="Calibri" w:hAnsi="Arial" w:cs="Arial"/>
                <w:b/>
                <w:sz w:val="16"/>
                <w:szCs w:val="16"/>
              </w:rPr>
              <w:t>П/П</w:t>
            </w:r>
          </w:p>
        </w:tc>
        <w:tc>
          <w:tcPr>
            <w:tcW w:w="4215" w:type="dxa"/>
            <w:gridSpan w:val="4"/>
            <w:tcBorders>
              <w:top w:val="single" w:sz="12" w:space="0" w:color="auto"/>
              <w:right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ЭЛЕКТРОТЕХНИЧЕСКИЕ ХАРАКТЕРИСТИКИ</w:t>
            </w:r>
          </w:p>
        </w:tc>
        <w:tc>
          <w:tcPr>
            <w:tcW w:w="5795" w:type="dxa"/>
            <w:gridSpan w:val="4"/>
            <w:tcBorders>
              <w:top w:val="single" w:sz="12" w:space="0" w:color="auto"/>
              <w:left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КОНТРОЛЬ И УПРАВЛЕНИЕ</w:t>
            </w:r>
          </w:p>
        </w:tc>
        <w:tc>
          <w:tcPr>
            <w:tcW w:w="5521" w:type="dxa"/>
            <w:gridSpan w:val="4"/>
            <w:tcBorders>
              <w:top w:val="single" w:sz="12" w:space="0" w:color="auto"/>
              <w:left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ОПЦИИ/КОМПЛЕКТУЮЩИЕ</w:t>
            </w:r>
          </w:p>
        </w:tc>
      </w:tr>
      <w:tr>
        <w:trPr>
          <w:trHeight w:val="737"/>
        </w:trPr>
        <w:tc>
          <w:tcPr>
            <w:tcW w:w="446" w:type="dxa"/>
            <w:vMerge/>
            <w:tcBorders>
              <w:left w:val="single" w:sz="12" w:space="0" w:color="auto"/>
              <w:bottom w:val="single" w:sz="12" w:space="0" w:color="auto"/>
            </w:tcBorders>
            <w:shd w:val="clear" w:color="auto" w:fill="FFD200"/>
            <w:vAlign w:val="center"/>
          </w:tcPr>
          <w:p>
            <w:pPr>
              <w:widowControl w:val="0"/>
              <w:jc w:val="center"/>
              <w:rPr>
                <w:rFonts w:ascii="Arial" w:eastAsia="Calibri" w:hAnsi="Arial" w:cs="Arial"/>
                <w:b/>
                <w:sz w:val="16"/>
                <w:szCs w:val="16"/>
              </w:rPr>
            </w:pPr>
          </w:p>
        </w:tc>
        <w:tc>
          <w:tcPr>
            <w:tcW w:w="1096" w:type="dxa"/>
            <w:tcBorders>
              <w:bottom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ОБОЗНАЧЕНИЕ КОМБИНАЦИИ (Х)</w:t>
            </w:r>
          </w:p>
        </w:tc>
        <w:tc>
          <w:tcPr>
            <w:tcW w:w="1189" w:type="dxa"/>
            <w:tcBorders>
              <w:bottom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ВРЫВОЗАЩИТА</w:t>
            </w:r>
          </w:p>
        </w:tc>
        <w:tc>
          <w:tcPr>
            <w:tcW w:w="918" w:type="dxa"/>
            <w:tcBorders>
              <w:bottom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ПЫЛЕВЛАГО ЗАЩИТА (</w:t>
            </w:r>
            <w:r>
              <w:rPr>
                <w:rFonts w:ascii="Arial" w:eastAsia="Calibri" w:hAnsi="Arial" w:cs="Arial"/>
                <w:b/>
                <w:sz w:val="14"/>
                <w:szCs w:val="14"/>
                <w:lang w:val="en-US"/>
              </w:rPr>
              <w:t>IP</w:t>
            </w:r>
            <w:r>
              <w:rPr>
                <w:rFonts w:ascii="Arial" w:eastAsia="Calibri" w:hAnsi="Arial" w:cs="Arial"/>
                <w:b/>
                <w:sz w:val="14"/>
                <w:szCs w:val="14"/>
              </w:rPr>
              <w:t xml:space="preserve">), </w:t>
            </w:r>
          </w:p>
          <w:p>
            <w:pPr>
              <w:widowControl w:val="0"/>
              <w:ind w:left="-108" w:right="-108"/>
              <w:jc w:val="center"/>
              <w:rPr>
                <w:rFonts w:ascii="Arial" w:eastAsia="Calibri" w:hAnsi="Arial" w:cs="Arial"/>
                <w:b/>
                <w:sz w:val="14"/>
                <w:szCs w:val="14"/>
              </w:rPr>
            </w:pPr>
            <w:r>
              <w:rPr>
                <w:rFonts w:ascii="Arial" w:eastAsia="Calibri" w:hAnsi="Arial" w:cs="Arial"/>
                <w:b/>
                <w:sz w:val="14"/>
                <w:szCs w:val="14"/>
              </w:rPr>
              <w:t>НЕ МЕНЕЕ</w:t>
            </w:r>
          </w:p>
        </w:tc>
        <w:tc>
          <w:tcPr>
            <w:tcW w:w="1012" w:type="dxa"/>
            <w:tcBorders>
              <w:bottom w:val="single" w:sz="12" w:space="0" w:color="auto"/>
              <w:right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НАПРЯЖЕНИЕ ПИТАНИЯ, В</w:t>
            </w:r>
          </w:p>
        </w:tc>
        <w:tc>
          <w:tcPr>
            <w:tcW w:w="1096" w:type="dxa"/>
            <w:tcBorders>
              <w:left w:val="single" w:sz="12" w:space="0" w:color="auto"/>
              <w:bottom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ОБОЗНАЧЕНИЕ КОМБИНАЦИИ (Х)</w:t>
            </w:r>
          </w:p>
        </w:tc>
        <w:tc>
          <w:tcPr>
            <w:tcW w:w="1864" w:type="dxa"/>
            <w:tcBorders>
              <w:bottom w:val="single" w:sz="12" w:space="0" w:color="auto"/>
            </w:tcBorders>
            <w:shd w:val="clear" w:color="auto" w:fill="FFD200"/>
            <w:vAlign w:val="center"/>
          </w:tcPr>
          <w:p>
            <w:pPr>
              <w:widowControl w:val="0"/>
              <w:ind w:left="-108" w:right="-31"/>
              <w:jc w:val="center"/>
              <w:rPr>
                <w:rFonts w:ascii="Arial" w:eastAsia="Calibri" w:hAnsi="Arial" w:cs="Arial"/>
                <w:b/>
                <w:sz w:val="14"/>
                <w:szCs w:val="14"/>
              </w:rPr>
            </w:pPr>
            <w:r>
              <w:rPr>
                <w:rFonts w:ascii="Arial" w:eastAsia="Calibri" w:hAnsi="Arial" w:cs="Arial"/>
                <w:b/>
                <w:sz w:val="14"/>
                <w:szCs w:val="14"/>
              </w:rPr>
              <w:t>СИГНАЛ СОСТОЯНИЯ, ОТКРЫТО/</w:t>
            </w:r>
          </w:p>
          <w:p>
            <w:pPr>
              <w:widowControl w:val="0"/>
              <w:ind w:left="-108" w:right="-31"/>
              <w:jc w:val="center"/>
              <w:rPr>
                <w:rFonts w:ascii="Arial" w:eastAsia="Calibri" w:hAnsi="Arial" w:cs="Arial"/>
                <w:b/>
                <w:sz w:val="14"/>
                <w:szCs w:val="14"/>
              </w:rPr>
            </w:pPr>
            <w:r>
              <w:rPr>
                <w:rFonts w:ascii="Arial" w:eastAsia="Calibri" w:hAnsi="Arial" w:cs="Arial"/>
                <w:b/>
                <w:sz w:val="14"/>
                <w:szCs w:val="14"/>
              </w:rPr>
              <w:t>ЗАКРЫТО/АВАРИЯ/</w:t>
            </w:r>
          </w:p>
          <w:p>
            <w:pPr>
              <w:widowControl w:val="0"/>
              <w:ind w:left="-108" w:right="-31"/>
              <w:jc w:val="center"/>
              <w:rPr>
                <w:rFonts w:ascii="Arial" w:eastAsia="Calibri" w:hAnsi="Arial" w:cs="Arial"/>
                <w:b/>
                <w:sz w:val="14"/>
                <w:szCs w:val="14"/>
              </w:rPr>
            </w:pPr>
            <w:r>
              <w:rPr>
                <w:rFonts w:ascii="Arial" w:eastAsia="Calibri" w:hAnsi="Arial" w:cs="Arial"/>
                <w:b/>
                <w:sz w:val="14"/>
                <w:szCs w:val="14"/>
              </w:rPr>
              <w:t>ДИСТАНЦИОННЫЙ РЕЖИМ</w:t>
            </w:r>
          </w:p>
        </w:tc>
        <w:tc>
          <w:tcPr>
            <w:tcW w:w="1751" w:type="dxa"/>
            <w:tcBorders>
              <w:bottom w:val="single" w:sz="12" w:space="0" w:color="auto"/>
            </w:tcBorders>
            <w:shd w:val="clear" w:color="auto" w:fill="FFD200"/>
            <w:vAlign w:val="center"/>
          </w:tcPr>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СИГНАЛ УПРАВЛЕНИЯ, ОТКРЫТЬ/</w:t>
            </w:r>
          </w:p>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 xml:space="preserve">ЗАКРЫТЬ/СТОП </w:t>
            </w:r>
          </w:p>
        </w:tc>
        <w:tc>
          <w:tcPr>
            <w:tcW w:w="1084" w:type="dxa"/>
            <w:tcBorders>
              <w:bottom w:val="single" w:sz="12" w:space="0" w:color="auto"/>
              <w:right w:val="single" w:sz="12" w:space="0" w:color="auto"/>
            </w:tcBorders>
            <w:shd w:val="clear" w:color="auto" w:fill="FFD200"/>
            <w:vAlign w:val="center"/>
          </w:tcPr>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ПРОТОКОЛ ПЕРЕДАЧИ</w:t>
            </w:r>
          </w:p>
        </w:tc>
        <w:tc>
          <w:tcPr>
            <w:tcW w:w="1001" w:type="dxa"/>
            <w:tcBorders>
              <w:left w:val="single" w:sz="12" w:space="0" w:color="auto"/>
              <w:bottom w:val="single" w:sz="12" w:space="0" w:color="auto"/>
            </w:tcBorders>
            <w:shd w:val="clear" w:color="auto" w:fill="FFD200"/>
            <w:vAlign w:val="center"/>
          </w:tcPr>
          <w:p>
            <w:pPr>
              <w:ind w:left="-108" w:right="-108"/>
              <w:jc w:val="center"/>
              <w:rPr>
                <w:rFonts w:ascii="Arial" w:eastAsia="Calibri" w:hAnsi="Arial" w:cs="Arial"/>
                <w:b/>
                <w:sz w:val="14"/>
                <w:szCs w:val="14"/>
              </w:rPr>
            </w:pPr>
            <w:r>
              <w:rPr>
                <w:rFonts w:ascii="Arial" w:eastAsia="Calibri" w:hAnsi="Arial" w:cs="Arial"/>
                <w:b/>
                <w:sz w:val="14"/>
                <w:szCs w:val="14"/>
              </w:rPr>
              <w:t>ОБОЗНАЧЕНИЕ КОМБИНАЦИИ (Х)</w:t>
            </w:r>
          </w:p>
        </w:tc>
        <w:tc>
          <w:tcPr>
            <w:tcW w:w="1409" w:type="dxa"/>
            <w:tcBorders>
              <w:bottom w:val="single" w:sz="12" w:space="0" w:color="auto"/>
            </w:tcBorders>
            <w:shd w:val="clear" w:color="auto" w:fill="FFD200"/>
            <w:vAlign w:val="center"/>
          </w:tcPr>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РАСПОЛОЖЕНИЕ БЛОКА УПРАВЛЕНИЯ</w:t>
            </w:r>
          </w:p>
        </w:tc>
        <w:tc>
          <w:tcPr>
            <w:tcW w:w="1701" w:type="dxa"/>
            <w:tcBorders>
              <w:bottom w:val="single" w:sz="12" w:space="0" w:color="auto"/>
            </w:tcBorders>
            <w:shd w:val="clear" w:color="auto" w:fill="FFD200"/>
            <w:vAlign w:val="center"/>
          </w:tcPr>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КВ1, КАБЕЛЬНЫЙ ВВОД БРОНИРОВАННЫЙ</w:t>
            </w:r>
          </w:p>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/НЕ БРОНИРОВАННЫЙ</w:t>
            </w:r>
          </w:p>
        </w:tc>
        <w:tc>
          <w:tcPr>
            <w:tcW w:w="1410" w:type="dxa"/>
            <w:tcBorders>
              <w:bottom w:val="single" w:sz="12" w:space="0" w:color="auto"/>
              <w:right w:val="single" w:sz="12" w:space="0" w:color="auto"/>
            </w:tcBorders>
            <w:shd w:val="clear" w:color="auto" w:fill="FFD200"/>
            <w:vAlign w:val="center"/>
          </w:tcPr>
          <w:p>
            <w:pPr>
              <w:tabs>
                <w:tab w:val="left" w:pos="945"/>
              </w:tabs>
              <w:ind w:left="-63"/>
              <w:jc w:val="center"/>
              <w:rPr>
                <w:rFonts w:ascii="Arial" w:eastAsia="Calibri" w:hAnsi="Arial" w:cs="Arial"/>
                <w:b/>
                <w:sz w:val="14"/>
                <w:szCs w:val="14"/>
              </w:rPr>
            </w:pPr>
            <w:r>
              <w:rPr>
                <w:rFonts w:ascii="Arial" w:eastAsia="Calibri" w:hAnsi="Arial" w:cs="Arial"/>
                <w:b/>
                <w:sz w:val="14"/>
                <w:szCs w:val="14"/>
              </w:rPr>
              <w:t>ГРАФИЧЕСКИЙ ЖК -ДИСПЛЕЙ</w:t>
            </w:r>
          </w:p>
        </w:tc>
      </w:tr>
      <w:tr>
        <w:trPr>
          <w:trHeight w:val="227"/>
        </w:trPr>
        <w:tc>
          <w:tcPr>
            <w:tcW w:w="446" w:type="dxa"/>
            <w:tcBorders>
              <w:top w:val="single" w:sz="12" w:space="0" w:color="auto"/>
              <w:left w:val="single" w:sz="12" w:space="0" w:color="auto"/>
              <w:bottom w:val="single" w:sz="12" w:space="0" w:color="auto"/>
              <w:right w:val="single" w:sz="6"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1</w:t>
            </w:r>
          </w:p>
        </w:tc>
        <w:tc>
          <w:tcPr>
            <w:tcW w:w="1096"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2</w:t>
            </w:r>
          </w:p>
        </w:tc>
        <w:tc>
          <w:tcPr>
            <w:tcW w:w="1189"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3</w:t>
            </w:r>
          </w:p>
        </w:tc>
        <w:tc>
          <w:tcPr>
            <w:tcW w:w="918"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4</w:t>
            </w:r>
          </w:p>
        </w:tc>
        <w:tc>
          <w:tcPr>
            <w:tcW w:w="1012" w:type="dxa"/>
            <w:tcBorders>
              <w:top w:val="single" w:sz="12" w:space="0" w:color="auto"/>
              <w:left w:val="single" w:sz="6" w:space="0" w:color="auto"/>
              <w:bottom w:val="single" w:sz="12" w:space="0" w:color="auto"/>
              <w:right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5</w:t>
            </w:r>
          </w:p>
        </w:tc>
        <w:tc>
          <w:tcPr>
            <w:tcW w:w="1096" w:type="dxa"/>
            <w:tcBorders>
              <w:top w:val="single" w:sz="12" w:space="0" w:color="auto"/>
              <w:left w:val="single" w:sz="12" w:space="0" w:color="auto"/>
              <w:bottom w:val="single" w:sz="12" w:space="0" w:color="auto"/>
              <w:right w:val="single" w:sz="6"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6</w:t>
            </w:r>
          </w:p>
        </w:tc>
        <w:tc>
          <w:tcPr>
            <w:tcW w:w="1864"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7</w:t>
            </w:r>
          </w:p>
        </w:tc>
        <w:tc>
          <w:tcPr>
            <w:tcW w:w="1751" w:type="dxa"/>
            <w:tcBorders>
              <w:top w:val="single" w:sz="12" w:space="0" w:color="auto"/>
              <w:left w:val="single" w:sz="6" w:space="0" w:color="auto"/>
              <w:bottom w:val="single" w:sz="12" w:space="0" w:color="auto"/>
              <w:right w:val="single" w:sz="6"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8</w:t>
            </w:r>
          </w:p>
        </w:tc>
        <w:tc>
          <w:tcPr>
            <w:tcW w:w="1084" w:type="dxa"/>
            <w:tcBorders>
              <w:top w:val="single" w:sz="12" w:space="0" w:color="auto"/>
              <w:left w:val="single" w:sz="6" w:space="0" w:color="auto"/>
              <w:bottom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9</w:t>
            </w:r>
          </w:p>
        </w:tc>
        <w:tc>
          <w:tcPr>
            <w:tcW w:w="1001" w:type="dxa"/>
            <w:tcBorders>
              <w:top w:val="single" w:sz="12" w:space="0" w:color="auto"/>
              <w:left w:val="single" w:sz="12" w:space="0" w:color="auto"/>
              <w:bottom w:val="single" w:sz="12" w:space="0" w:color="auto"/>
              <w:right w:val="single" w:sz="6"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10</w:t>
            </w:r>
          </w:p>
        </w:tc>
        <w:tc>
          <w:tcPr>
            <w:tcW w:w="1409" w:type="dxa"/>
            <w:tcBorders>
              <w:top w:val="single" w:sz="12" w:space="0" w:color="auto"/>
              <w:left w:val="single" w:sz="6" w:space="0" w:color="auto"/>
              <w:bottom w:val="single" w:sz="12" w:space="0" w:color="auto"/>
              <w:right w:val="single" w:sz="6"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11</w:t>
            </w:r>
          </w:p>
        </w:tc>
        <w:tc>
          <w:tcPr>
            <w:tcW w:w="1701" w:type="dxa"/>
            <w:tcBorders>
              <w:top w:val="single" w:sz="12" w:space="0" w:color="auto"/>
              <w:left w:val="single" w:sz="6" w:space="0" w:color="auto"/>
              <w:bottom w:val="single" w:sz="12" w:space="0" w:color="auto"/>
              <w:right w:val="single" w:sz="6"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12</w:t>
            </w:r>
          </w:p>
        </w:tc>
        <w:tc>
          <w:tcPr>
            <w:tcW w:w="1410" w:type="dxa"/>
            <w:tcBorders>
              <w:top w:val="single" w:sz="12" w:space="0" w:color="auto"/>
              <w:left w:val="single" w:sz="6" w:space="0" w:color="auto"/>
              <w:bottom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13</w:t>
            </w:r>
          </w:p>
        </w:tc>
      </w:tr>
      <w:tr>
        <w:trPr>
          <w:trHeight w:val="227"/>
        </w:trPr>
        <w:tc>
          <w:tcPr>
            <w:tcW w:w="446" w:type="dxa"/>
            <w:tcBorders>
              <w:top w:val="single" w:sz="12" w:space="0" w:color="auto"/>
              <w:left w:val="single" w:sz="12" w:space="0" w:color="auto"/>
            </w:tcBorders>
            <w:shd w:val="clear" w:color="auto" w:fill="auto"/>
          </w:tcPr>
          <w:p>
            <w:pPr>
              <w:rPr>
                <w:color w:val="000000" w:themeColor="text1"/>
                <w:sz w:val="20"/>
              </w:rPr>
            </w:pPr>
            <w:r>
              <w:rPr>
                <w:color w:val="000000" w:themeColor="text1"/>
                <w:sz w:val="20"/>
              </w:rPr>
              <w:t>1</w:t>
            </w:r>
          </w:p>
        </w:tc>
        <w:tc>
          <w:tcPr>
            <w:tcW w:w="1096" w:type="dxa"/>
            <w:tcBorders>
              <w:top w:val="single" w:sz="12" w:space="0" w:color="auto"/>
            </w:tcBorders>
            <w:shd w:val="clear" w:color="auto" w:fill="auto"/>
            <w:vAlign w:val="center"/>
          </w:tcPr>
          <w:p>
            <w:pPr>
              <w:jc w:val="center"/>
              <w:rPr>
                <w:b/>
                <w:color w:val="000000" w:themeColor="text1"/>
                <w:sz w:val="20"/>
              </w:rPr>
            </w:pPr>
            <w:r>
              <w:rPr>
                <w:b/>
                <w:color w:val="000000" w:themeColor="text1"/>
                <w:sz w:val="20"/>
              </w:rPr>
              <w:t>А</w:t>
            </w:r>
          </w:p>
        </w:tc>
        <w:tc>
          <w:tcPr>
            <w:tcW w:w="1189" w:type="dxa"/>
            <w:tcBorders>
              <w:top w:val="single" w:sz="12" w:space="0" w:color="auto"/>
            </w:tcBorders>
            <w:shd w:val="clear" w:color="auto" w:fill="auto"/>
            <w:vAlign w:val="center"/>
          </w:tcPr>
          <w:p>
            <w:pPr>
              <w:jc w:val="center"/>
              <w:rPr>
                <w:color w:val="000000" w:themeColor="text1"/>
                <w:sz w:val="20"/>
              </w:rPr>
            </w:pPr>
            <w:r>
              <w:rPr>
                <w:color w:val="000000" w:themeColor="text1"/>
                <w:sz w:val="20"/>
              </w:rPr>
              <w:t>Exd</w:t>
            </w:r>
          </w:p>
        </w:tc>
        <w:tc>
          <w:tcPr>
            <w:tcW w:w="918" w:type="dxa"/>
            <w:tcBorders>
              <w:top w:val="single" w:sz="12" w:space="0" w:color="auto"/>
            </w:tcBorders>
            <w:shd w:val="clear" w:color="auto" w:fill="auto"/>
            <w:vAlign w:val="center"/>
          </w:tcPr>
          <w:p>
            <w:pPr>
              <w:jc w:val="center"/>
              <w:rPr>
                <w:color w:val="000000" w:themeColor="text1"/>
                <w:sz w:val="20"/>
              </w:rPr>
            </w:pPr>
            <w:r>
              <w:rPr>
                <w:color w:val="000000" w:themeColor="text1"/>
                <w:sz w:val="20"/>
              </w:rPr>
              <w:t>IP54</w:t>
            </w:r>
          </w:p>
        </w:tc>
        <w:tc>
          <w:tcPr>
            <w:tcW w:w="1012" w:type="dxa"/>
            <w:tcBorders>
              <w:top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220</w:t>
            </w:r>
          </w:p>
        </w:tc>
        <w:tc>
          <w:tcPr>
            <w:tcW w:w="1096" w:type="dxa"/>
            <w:tcBorders>
              <w:top w:val="single" w:sz="12" w:space="0" w:color="auto"/>
              <w:left w:val="single" w:sz="12" w:space="0" w:color="auto"/>
            </w:tcBorders>
            <w:shd w:val="clear" w:color="auto" w:fill="auto"/>
            <w:vAlign w:val="center"/>
          </w:tcPr>
          <w:p>
            <w:pPr>
              <w:jc w:val="center"/>
              <w:rPr>
                <w:b/>
                <w:color w:val="000000" w:themeColor="text1"/>
                <w:sz w:val="20"/>
              </w:rPr>
            </w:pPr>
            <w:r>
              <w:rPr>
                <w:b/>
                <w:color w:val="000000" w:themeColor="text1"/>
                <w:sz w:val="20"/>
              </w:rPr>
              <w:t>А</w:t>
            </w:r>
          </w:p>
        </w:tc>
        <w:tc>
          <w:tcPr>
            <w:tcW w:w="1864" w:type="dxa"/>
            <w:tcBorders>
              <w:top w:val="single" w:sz="12" w:space="0" w:color="auto"/>
            </w:tcBorders>
            <w:shd w:val="clear" w:color="auto" w:fill="auto"/>
            <w:vAlign w:val="center"/>
          </w:tcPr>
          <w:p>
            <w:pPr>
              <w:jc w:val="center"/>
              <w:rPr>
                <w:color w:val="000000" w:themeColor="text1"/>
                <w:sz w:val="20"/>
              </w:rPr>
            </w:pPr>
            <w:r>
              <w:rPr>
                <w:color w:val="000000" w:themeColor="text1"/>
                <w:sz w:val="20"/>
              </w:rPr>
              <w:t>24 с.к.</w:t>
            </w:r>
          </w:p>
        </w:tc>
        <w:tc>
          <w:tcPr>
            <w:tcW w:w="1751" w:type="dxa"/>
            <w:tcBorders>
              <w:top w:val="single" w:sz="12" w:space="0" w:color="auto"/>
            </w:tcBorders>
            <w:shd w:val="clear" w:color="auto" w:fill="auto"/>
            <w:vAlign w:val="center"/>
          </w:tcPr>
          <w:p>
            <w:pPr>
              <w:jc w:val="center"/>
              <w:rPr>
                <w:color w:val="000000" w:themeColor="text1"/>
                <w:sz w:val="20"/>
              </w:rPr>
            </w:pPr>
            <w:r>
              <w:rPr>
                <w:color w:val="000000" w:themeColor="text1"/>
                <w:sz w:val="20"/>
              </w:rPr>
              <w:t>24 В</w:t>
            </w:r>
          </w:p>
        </w:tc>
        <w:tc>
          <w:tcPr>
            <w:tcW w:w="1084" w:type="dxa"/>
            <w:tcBorders>
              <w:top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w:t>
            </w:r>
          </w:p>
        </w:tc>
        <w:tc>
          <w:tcPr>
            <w:tcW w:w="1001" w:type="dxa"/>
            <w:tcBorders>
              <w:top w:val="single" w:sz="12" w:space="0" w:color="auto"/>
              <w:left w:val="single" w:sz="12" w:space="0" w:color="auto"/>
            </w:tcBorders>
            <w:shd w:val="clear" w:color="auto" w:fill="auto"/>
            <w:vAlign w:val="center"/>
          </w:tcPr>
          <w:p>
            <w:pPr>
              <w:jc w:val="center"/>
              <w:rPr>
                <w:b/>
                <w:color w:val="000000" w:themeColor="text1"/>
                <w:sz w:val="20"/>
              </w:rPr>
            </w:pPr>
            <w:r>
              <w:rPr>
                <w:b/>
                <w:color w:val="000000" w:themeColor="text1"/>
                <w:sz w:val="20"/>
              </w:rPr>
              <w:t>1</w:t>
            </w:r>
          </w:p>
        </w:tc>
        <w:tc>
          <w:tcPr>
            <w:tcW w:w="1409" w:type="dxa"/>
            <w:tcBorders>
              <w:top w:val="single" w:sz="12" w:space="0" w:color="auto"/>
            </w:tcBorders>
            <w:shd w:val="clear" w:color="auto" w:fill="auto"/>
            <w:vAlign w:val="center"/>
          </w:tcPr>
          <w:p>
            <w:pPr>
              <w:jc w:val="center"/>
              <w:rPr>
                <w:color w:val="000000" w:themeColor="text1"/>
                <w:sz w:val="20"/>
              </w:rPr>
            </w:pPr>
            <w:r>
              <w:rPr>
                <w:color w:val="000000" w:themeColor="text1"/>
                <w:sz w:val="20"/>
              </w:rPr>
              <w:t>НЭ</w:t>
            </w:r>
          </w:p>
        </w:tc>
        <w:tc>
          <w:tcPr>
            <w:tcW w:w="1701" w:type="dxa"/>
            <w:tcBorders>
              <w:top w:val="single" w:sz="12" w:space="0" w:color="auto"/>
            </w:tcBorders>
            <w:vAlign w:val="center"/>
          </w:tcPr>
          <w:p>
            <w:pPr>
              <w:jc w:val="center"/>
              <w:rPr>
                <w:color w:val="000000" w:themeColor="text1"/>
                <w:sz w:val="20"/>
              </w:rPr>
            </w:pPr>
            <w:r>
              <w:rPr>
                <w:color w:val="000000" w:themeColor="text1"/>
                <w:sz w:val="20"/>
              </w:rPr>
              <w:t>Б</w:t>
            </w:r>
          </w:p>
        </w:tc>
        <w:tc>
          <w:tcPr>
            <w:tcW w:w="1410" w:type="dxa"/>
            <w:tcBorders>
              <w:top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Д</w:t>
            </w:r>
          </w:p>
        </w:tc>
      </w:tr>
      <w:tr>
        <w:trPr>
          <w:trHeight w:val="227"/>
        </w:trPr>
        <w:tc>
          <w:tcPr>
            <w:tcW w:w="446" w:type="dxa"/>
            <w:tcBorders>
              <w:left w:val="single" w:sz="12" w:space="0" w:color="auto"/>
            </w:tcBorders>
            <w:shd w:val="clear" w:color="auto" w:fill="auto"/>
          </w:tcPr>
          <w:p>
            <w:pPr>
              <w:rPr>
                <w:color w:val="000000" w:themeColor="text1"/>
                <w:sz w:val="20"/>
              </w:rPr>
            </w:pPr>
            <w:r>
              <w:rPr>
                <w:color w:val="000000" w:themeColor="text1"/>
                <w:sz w:val="20"/>
              </w:rPr>
              <w:t>2</w:t>
            </w:r>
          </w:p>
        </w:tc>
        <w:tc>
          <w:tcPr>
            <w:tcW w:w="1096" w:type="dxa"/>
            <w:shd w:val="clear" w:color="auto" w:fill="auto"/>
            <w:vAlign w:val="center"/>
          </w:tcPr>
          <w:p>
            <w:pPr>
              <w:jc w:val="center"/>
              <w:rPr>
                <w:b/>
                <w:color w:val="000000" w:themeColor="text1"/>
                <w:sz w:val="20"/>
              </w:rPr>
            </w:pPr>
            <w:r>
              <w:rPr>
                <w:b/>
                <w:color w:val="000000" w:themeColor="text1"/>
                <w:sz w:val="20"/>
              </w:rPr>
              <w:t>Б</w:t>
            </w:r>
          </w:p>
        </w:tc>
        <w:tc>
          <w:tcPr>
            <w:tcW w:w="1189" w:type="dxa"/>
            <w:shd w:val="clear" w:color="auto" w:fill="auto"/>
            <w:vAlign w:val="center"/>
          </w:tcPr>
          <w:p>
            <w:pPr>
              <w:jc w:val="center"/>
              <w:rPr>
                <w:color w:val="000000" w:themeColor="text1"/>
                <w:sz w:val="20"/>
              </w:rPr>
            </w:pPr>
            <w:r>
              <w:rPr>
                <w:color w:val="000000" w:themeColor="text1"/>
                <w:sz w:val="20"/>
              </w:rPr>
              <w:t>Exd</w:t>
            </w:r>
          </w:p>
        </w:tc>
        <w:tc>
          <w:tcPr>
            <w:tcW w:w="918" w:type="dxa"/>
            <w:shd w:val="clear" w:color="auto" w:fill="auto"/>
            <w:vAlign w:val="center"/>
          </w:tcPr>
          <w:p>
            <w:pPr>
              <w:jc w:val="center"/>
              <w:rPr>
                <w:color w:val="000000" w:themeColor="text1"/>
                <w:sz w:val="20"/>
              </w:rPr>
            </w:pPr>
            <w:r>
              <w:rPr>
                <w:color w:val="000000" w:themeColor="text1"/>
                <w:sz w:val="20"/>
              </w:rPr>
              <w:t>IP65</w:t>
            </w:r>
          </w:p>
        </w:tc>
        <w:tc>
          <w:tcPr>
            <w:tcW w:w="1012"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220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Б</w:t>
            </w:r>
          </w:p>
        </w:tc>
        <w:tc>
          <w:tcPr>
            <w:tcW w:w="1864" w:type="dxa"/>
            <w:shd w:val="clear" w:color="auto" w:fill="auto"/>
            <w:vAlign w:val="center"/>
          </w:tcPr>
          <w:p>
            <w:pPr>
              <w:jc w:val="center"/>
              <w:rPr>
                <w:color w:val="000000" w:themeColor="text1"/>
                <w:sz w:val="20"/>
              </w:rPr>
            </w:pPr>
            <w:r>
              <w:rPr>
                <w:color w:val="000000" w:themeColor="text1"/>
                <w:sz w:val="20"/>
              </w:rPr>
              <w:t>24 с.к.</w:t>
            </w:r>
          </w:p>
        </w:tc>
        <w:tc>
          <w:tcPr>
            <w:tcW w:w="1751" w:type="dxa"/>
            <w:shd w:val="clear" w:color="auto" w:fill="auto"/>
            <w:vAlign w:val="center"/>
          </w:tcPr>
          <w:p>
            <w:pPr>
              <w:jc w:val="center"/>
              <w:rPr>
                <w:color w:val="000000" w:themeColor="text1"/>
                <w:sz w:val="20"/>
              </w:rPr>
            </w:pPr>
            <w:r>
              <w:rPr>
                <w:color w:val="000000" w:themeColor="text1"/>
                <w:sz w:val="20"/>
              </w:rPr>
              <w:t>24 В</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Fieldbus</w:t>
            </w:r>
          </w:p>
        </w:tc>
        <w:tc>
          <w:tcPr>
            <w:tcW w:w="1001" w:type="dxa"/>
            <w:tcBorders>
              <w:left w:val="single" w:sz="12" w:space="0" w:color="auto"/>
              <w:bottom w:val="single" w:sz="6" w:space="0" w:color="auto"/>
            </w:tcBorders>
            <w:shd w:val="clear" w:color="auto" w:fill="auto"/>
            <w:vAlign w:val="center"/>
          </w:tcPr>
          <w:p>
            <w:pPr>
              <w:jc w:val="center"/>
              <w:rPr>
                <w:b/>
                <w:color w:val="000000" w:themeColor="text1"/>
                <w:sz w:val="20"/>
              </w:rPr>
            </w:pPr>
            <w:r>
              <w:rPr>
                <w:b/>
                <w:color w:val="000000" w:themeColor="text1"/>
                <w:sz w:val="20"/>
              </w:rPr>
              <w:t>2</w:t>
            </w:r>
          </w:p>
        </w:tc>
        <w:tc>
          <w:tcPr>
            <w:tcW w:w="1409" w:type="dxa"/>
            <w:tcBorders>
              <w:bottom w:val="single" w:sz="6" w:space="0" w:color="auto"/>
            </w:tcBorders>
            <w:shd w:val="clear" w:color="auto" w:fill="auto"/>
            <w:vAlign w:val="center"/>
          </w:tcPr>
          <w:p>
            <w:pPr>
              <w:jc w:val="center"/>
              <w:rPr>
                <w:color w:val="000000" w:themeColor="text1"/>
                <w:sz w:val="20"/>
              </w:rPr>
            </w:pPr>
            <w:r>
              <w:rPr>
                <w:color w:val="000000" w:themeColor="text1"/>
                <w:sz w:val="20"/>
              </w:rPr>
              <w:t>НЭ</w:t>
            </w:r>
          </w:p>
        </w:tc>
        <w:tc>
          <w:tcPr>
            <w:tcW w:w="1701" w:type="dxa"/>
            <w:tcBorders>
              <w:bottom w:val="single" w:sz="6" w:space="0" w:color="auto"/>
            </w:tcBorders>
            <w:vAlign w:val="center"/>
          </w:tcPr>
          <w:p>
            <w:pPr>
              <w:jc w:val="center"/>
              <w:rPr>
                <w:color w:val="000000" w:themeColor="text1"/>
                <w:sz w:val="20"/>
              </w:rPr>
            </w:pPr>
            <w:r>
              <w:rPr>
                <w:color w:val="000000" w:themeColor="text1"/>
                <w:sz w:val="20"/>
              </w:rPr>
              <w:t>НБ</w:t>
            </w:r>
          </w:p>
        </w:tc>
        <w:tc>
          <w:tcPr>
            <w:tcW w:w="1410" w:type="dxa"/>
            <w:tcBorders>
              <w:bottom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Д</w:t>
            </w:r>
          </w:p>
        </w:tc>
      </w:tr>
      <w:tr>
        <w:trPr>
          <w:trHeight w:val="227"/>
        </w:trPr>
        <w:tc>
          <w:tcPr>
            <w:tcW w:w="446" w:type="dxa"/>
            <w:tcBorders>
              <w:left w:val="single" w:sz="12" w:space="0" w:color="auto"/>
            </w:tcBorders>
            <w:shd w:val="clear" w:color="auto" w:fill="auto"/>
          </w:tcPr>
          <w:p>
            <w:pPr>
              <w:rPr>
                <w:color w:val="000000" w:themeColor="text1"/>
                <w:sz w:val="20"/>
              </w:rPr>
            </w:pPr>
            <w:r>
              <w:rPr>
                <w:color w:val="000000" w:themeColor="text1"/>
                <w:sz w:val="20"/>
              </w:rPr>
              <w:t>3</w:t>
            </w:r>
          </w:p>
        </w:tc>
        <w:tc>
          <w:tcPr>
            <w:tcW w:w="1096" w:type="dxa"/>
            <w:shd w:val="clear" w:color="auto" w:fill="auto"/>
            <w:vAlign w:val="center"/>
          </w:tcPr>
          <w:p>
            <w:pPr>
              <w:jc w:val="center"/>
              <w:rPr>
                <w:b/>
                <w:color w:val="000000" w:themeColor="text1"/>
                <w:sz w:val="20"/>
              </w:rPr>
            </w:pPr>
            <w:r>
              <w:rPr>
                <w:b/>
                <w:color w:val="000000" w:themeColor="text1"/>
                <w:sz w:val="20"/>
              </w:rPr>
              <w:t>В</w:t>
            </w:r>
          </w:p>
        </w:tc>
        <w:tc>
          <w:tcPr>
            <w:tcW w:w="1189" w:type="dxa"/>
            <w:shd w:val="clear" w:color="auto" w:fill="auto"/>
            <w:vAlign w:val="center"/>
          </w:tcPr>
          <w:p>
            <w:pPr>
              <w:jc w:val="center"/>
              <w:rPr>
                <w:color w:val="000000" w:themeColor="text1"/>
                <w:sz w:val="20"/>
              </w:rPr>
            </w:pPr>
            <w:r>
              <w:rPr>
                <w:color w:val="000000" w:themeColor="text1"/>
                <w:sz w:val="20"/>
              </w:rPr>
              <w:t>Exd</w:t>
            </w:r>
          </w:p>
        </w:tc>
        <w:tc>
          <w:tcPr>
            <w:tcW w:w="918" w:type="dxa"/>
            <w:shd w:val="clear" w:color="auto" w:fill="auto"/>
            <w:vAlign w:val="center"/>
          </w:tcPr>
          <w:p>
            <w:pPr>
              <w:jc w:val="center"/>
              <w:rPr>
                <w:color w:val="000000" w:themeColor="text1"/>
                <w:sz w:val="20"/>
              </w:rPr>
            </w:pPr>
            <w:r>
              <w:rPr>
                <w:color w:val="000000" w:themeColor="text1"/>
                <w:sz w:val="20"/>
              </w:rPr>
              <w:t>IP54</w:t>
            </w:r>
          </w:p>
        </w:tc>
        <w:tc>
          <w:tcPr>
            <w:tcW w:w="1012"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380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В</w:t>
            </w:r>
          </w:p>
        </w:tc>
        <w:tc>
          <w:tcPr>
            <w:tcW w:w="1864" w:type="dxa"/>
            <w:shd w:val="clear" w:color="auto" w:fill="auto"/>
            <w:vAlign w:val="center"/>
          </w:tcPr>
          <w:p>
            <w:pPr>
              <w:jc w:val="center"/>
              <w:rPr>
                <w:color w:val="000000" w:themeColor="text1"/>
                <w:sz w:val="20"/>
              </w:rPr>
            </w:pPr>
            <w:r>
              <w:rPr>
                <w:color w:val="000000" w:themeColor="text1"/>
                <w:sz w:val="20"/>
              </w:rPr>
              <w:t>24 с.к.</w:t>
            </w:r>
          </w:p>
        </w:tc>
        <w:tc>
          <w:tcPr>
            <w:tcW w:w="1751" w:type="dxa"/>
            <w:shd w:val="clear" w:color="auto" w:fill="auto"/>
            <w:vAlign w:val="center"/>
          </w:tcPr>
          <w:p>
            <w:pPr>
              <w:jc w:val="center"/>
              <w:rPr>
                <w:color w:val="000000" w:themeColor="text1"/>
                <w:sz w:val="20"/>
              </w:rPr>
            </w:pPr>
            <w:r>
              <w:rPr>
                <w:color w:val="000000" w:themeColor="text1"/>
                <w:sz w:val="20"/>
              </w:rPr>
              <w:t>24 В</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Modbus</w:t>
            </w:r>
          </w:p>
        </w:tc>
        <w:tc>
          <w:tcPr>
            <w:tcW w:w="1001"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3</w:t>
            </w:r>
          </w:p>
        </w:tc>
        <w:tc>
          <w:tcPr>
            <w:tcW w:w="1409" w:type="dxa"/>
            <w:shd w:val="clear" w:color="auto" w:fill="auto"/>
            <w:vAlign w:val="center"/>
          </w:tcPr>
          <w:p>
            <w:pPr>
              <w:jc w:val="center"/>
              <w:rPr>
                <w:color w:val="000000" w:themeColor="text1"/>
                <w:sz w:val="20"/>
              </w:rPr>
            </w:pPr>
            <w:r>
              <w:rPr>
                <w:color w:val="000000" w:themeColor="text1"/>
                <w:sz w:val="20"/>
              </w:rPr>
              <w:t>НЭ</w:t>
            </w:r>
          </w:p>
        </w:tc>
        <w:tc>
          <w:tcPr>
            <w:tcW w:w="1701" w:type="dxa"/>
            <w:shd w:val="clear" w:color="auto" w:fill="auto"/>
            <w:vAlign w:val="center"/>
          </w:tcPr>
          <w:p>
            <w:pPr>
              <w:jc w:val="center"/>
              <w:rPr>
                <w:color w:val="000000" w:themeColor="text1"/>
                <w:sz w:val="20"/>
              </w:rPr>
            </w:pPr>
            <w:r>
              <w:rPr>
                <w:color w:val="000000" w:themeColor="text1"/>
                <w:sz w:val="20"/>
              </w:rPr>
              <w:t>Б</w:t>
            </w:r>
          </w:p>
        </w:tc>
        <w:tc>
          <w:tcPr>
            <w:tcW w:w="1410"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БД</w:t>
            </w:r>
          </w:p>
        </w:tc>
      </w:tr>
      <w:tr>
        <w:trPr>
          <w:trHeight w:val="227"/>
        </w:trPr>
        <w:tc>
          <w:tcPr>
            <w:tcW w:w="446" w:type="dxa"/>
            <w:tcBorders>
              <w:left w:val="single" w:sz="12" w:space="0" w:color="auto"/>
            </w:tcBorders>
            <w:shd w:val="clear" w:color="auto" w:fill="auto"/>
          </w:tcPr>
          <w:p>
            <w:pPr>
              <w:rPr>
                <w:color w:val="000000" w:themeColor="text1"/>
                <w:sz w:val="20"/>
              </w:rPr>
            </w:pPr>
            <w:r>
              <w:rPr>
                <w:color w:val="000000" w:themeColor="text1"/>
                <w:sz w:val="20"/>
              </w:rPr>
              <w:t>4</w:t>
            </w:r>
          </w:p>
        </w:tc>
        <w:tc>
          <w:tcPr>
            <w:tcW w:w="1096" w:type="dxa"/>
            <w:shd w:val="clear" w:color="auto" w:fill="auto"/>
            <w:vAlign w:val="center"/>
          </w:tcPr>
          <w:p>
            <w:pPr>
              <w:jc w:val="center"/>
              <w:rPr>
                <w:b/>
                <w:color w:val="000000" w:themeColor="text1"/>
                <w:sz w:val="20"/>
              </w:rPr>
            </w:pPr>
            <w:r>
              <w:rPr>
                <w:b/>
                <w:color w:val="000000" w:themeColor="text1"/>
                <w:sz w:val="20"/>
              </w:rPr>
              <w:t>Г</w:t>
            </w:r>
          </w:p>
        </w:tc>
        <w:tc>
          <w:tcPr>
            <w:tcW w:w="1189" w:type="dxa"/>
            <w:shd w:val="clear" w:color="auto" w:fill="auto"/>
            <w:vAlign w:val="center"/>
          </w:tcPr>
          <w:p>
            <w:pPr>
              <w:jc w:val="center"/>
              <w:rPr>
                <w:color w:val="000000" w:themeColor="text1"/>
                <w:sz w:val="20"/>
              </w:rPr>
            </w:pPr>
            <w:r>
              <w:rPr>
                <w:color w:val="000000" w:themeColor="text1"/>
                <w:sz w:val="20"/>
              </w:rPr>
              <w:t>Exd</w:t>
            </w:r>
          </w:p>
        </w:tc>
        <w:tc>
          <w:tcPr>
            <w:tcW w:w="918" w:type="dxa"/>
            <w:shd w:val="clear" w:color="auto" w:fill="auto"/>
            <w:vAlign w:val="center"/>
          </w:tcPr>
          <w:p>
            <w:pPr>
              <w:jc w:val="center"/>
              <w:rPr>
                <w:color w:val="000000" w:themeColor="text1"/>
                <w:sz w:val="20"/>
              </w:rPr>
            </w:pPr>
            <w:r>
              <w:rPr>
                <w:color w:val="000000" w:themeColor="text1"/>
                <w:sz w:val="20"/>
              </w:rPr>
              <w:t>IP65</w:t>
            </w:r>
          </w:p>
        </w:tc>
        <w:tc>
          <w:tcPr>
            <w:tcW w:w="1012"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380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Г</w:t>
            </w:r>
          </w:p>
        </w:tc>
        <w:tc>
          <w:tcPr>
            <w:tcW w:w="1864" w:type="dxa"/>
            <w:shd w:val="clear" w:color="auto" w:fill="auto"/>
            <w:vAlign w:val="center"/>
          </w:tcPr>
          <w:p>
            <w:pPr>
              <w:jc w:val="center"/>
              <w:rPr>
                <w:color w:val="000000" w:themeColor="text1"/>
                <w:sz w:val="20"/>
              </w:rPr>
            </w:pPr>
            <w:r>
              <w:rPr>
                <w:color w:val="000000" w:themeColor="text1"/>
                <w:sz w:val="20"/>
              </w:rPr>
              <w:t>220 с.к.</w:t>
            </w:r>
          </w:p>
        </w:tc>
        <w:tc>
          <w:tcPr>
            <w:tcW w:w="1751" w:type="dxa"/>
            <w:shd w:val="clear" w:color="auto" w:fill="auto"/>
            <w:vAlign w:val="center"/>
          </w:tcPr>
          <w:p>
            <w:pPr>
              <w:jc w:val="center"/>
              <w:rPr>
                <w:color w:val="000000" w:themeColor="text1"/>
                <w:sz w:val="20"/>
              </w:rPr>
            </w:pPr>
            <w:r>
              <w:rPr>
                <w:color w:val="000000" w:themeColor="text1"/>
                <w:sz w:val="20"/>
              </w:rPr>
              <w:t>220 В</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w:t>
            </w:r>
          </w:p>
        </w:tc>
        <w:tc>
          <w:tcPr>
            <w:tcW w:w="1001" w:type="dxa"/>
            <w:tcBorders>
              <w:left w:val="single" w:sz="12" w:space="0" w:color="auto"/>
              <w:bottom w:val="single" w:sz="6" w:space="0" w:color="auto"/>
            </w:tcBorders>
            <w:shd w:val="clear" w:color="auto" w:fill="auto"/>
            <w:vAlign w:val="center"/>
          </w:tcPr>
          <w:p>
            <w:pPr>
              <w:jc w:val="center"/>
              <w:rPr>
                <w:b/>
                <w:color w:val="000000" w:themeColor="text1"/>
                <w:sz w:val="20"/>
              </w:rPr>
            </w:pPr>
            <w:r>
              <w:rPr>
                <w:b/>
                <w:color w:val="000000" w:themeColor="text1"/>
                <w:sz w:val="20"/>
              </w:rPr>
              <w:t>4</w:t>
            </w:r>
          </w:p>
        </w:tc>
        <w:tc>
          <w:tcPr>
            <w:tcW w:w="1409" w:type="dxa"/>
            <w:tcBorders>
              <w:bottom w:val="single" w:sz="6" w:space="0" w:color="auto"/>
            </w:tcBorders>
            <w:shd w:val="clear" w:color="auto" w:fill="auto"/>
            <w:vAlign w:val="center"/>
          </w:tcPr>
          <w:p>
            <w:pPr>
              <w:jc w:val="center"/>
              <w:rPr>
                <w:color w:val="000000" w:themeColor="text1"/>
                <w:sz w:val="20"/>
              </w:rPr>
            </w:pPr>
            <w:r>
              <w:rPr>
                <w:color w:val="000000" w:themeColor="text1"/>
                <w:sz w:val="20"/>
              </w:rPr>
              <w:t>НЭ</w:t>
            </w:r>
          </w:p>
        </w:tc>
        <w:tc>
          <w:tcPr>
            <w:tcW w:w="1701" w:type="dxa"/>
            <w:tcBorders>
              <w:bottom w:val="single" w:sz="6" w:space="0" w:color="auto"/>
            </w:tcBorders>
            <w:shd w:val="clear" w:color="auto" w:fill="auto"/>
            <w:vAlign w:val="center"/>
          </w:tcPr>
          <w:p>
            <w:pPr>
              <w:jc w:val="center"/>
              <w:rPr>
                <w:color w:val="000000" w:themeColor="text1"/>
                <w:sz w:val="20"/>
              </w:rPr>
            </w:pPr>
            <w:r>
              <w:rPr>
                <w:color w:val="000000" w:themeColor="text1"/>
                <w:sz w:val="20"/>
              </w:rPr>
              <w:t>НБ</w:t>
            </w:r>
          </w:p>
        </w:tc>
        <w:tc>
          <w:tcPr>
            <w:tcW w:w="1410" w:type="dxa"/>
            <w:tcBorders>
              <w:bottom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БД</w:t>
            </w:r>
          </w:p>
        </w:tc>
      </w:tr>
      <w:tr>
        <w:trPr>
          <w:trHeight w:val="227"/>
        </w:trPr>
        <w:tc>
          <w:tcPr>
            <w:tcW w:w="446" w:type="dxa"/>
            <w:tcBorders>
              <w:left w:val="single" w:sz="12" w:space="0" w:color="auto"/>
            </w:tcBorders>
            <w:shd w:val="clear" w:color="auto" w:fill="auto"/>
          </w:tcPr>
          <w:p>
            <w:pPr>
              <w:rPr>
                <w:color w:val="000000" w:themeColor="text1"/>
                <w:sz w:val="20"/>
              </w:rPr>
            </w:pPr>
            <w:r>
              <w:rPr>
                <w:color w:val="000000" w:themeColor="text1"/>
                <w:sz w:val="20"/>
              </w:rPr>
              <w:t>5</w:t>
            </w:r>
          </w:p>
        </w:tc>
        <w:tc>
          <w:tcPr>
            <w:tcW w:w="1096" w:type="dxa"/>
            <w:shd w:val="clear" w:color="auto" w:fill="auto"/>
            <w:vAlign w:val="center"/>
          </w:tcPr>
          <w:p>
            <w:pPr>
              <w:jc w:val="center"/>
              <w:rPr>
                <w:b/>
                <w:color w:val="000000" w:themeColor="text1"/>
                <w:sz w:val="20"/>
              </w:rPr>
            </w:pPr>
            <w:r>
              <w:rPr>
                <w:b/>
                <w:color w:val="000000" w:themeColor="text1"/>
                <w:sz w:val="20"/>
              </w:rPr>
              <w:t>Д</w:t>
            </w:r>
          </w:p>
        </w:tc>
        <w:tc>
          <w:tcPr>
            <w:tcW w:w="1189" w:type="dxa"/>
            <w:shd w:val="clear" w:color="auto" w:fill="auto"/>
            <w:vAlign w:val="center"/>
          </w:tcPr>
          <w:p>
            <w:pPr>
              <w:jc w:val="center"/>
              <w:rPr>
                <w:color w:val="000000" w:themeColor="text1"/>
                <w:sz w:val="20"/>
              </w:rPr>
            </w:pPr>
            <w:r>
              <w:rPr>
                <w:color w:val="000000" w:themeColor="text1"/>
                <w:sz w:val="20"/>
              </w:rPr>
              <w:t>Общепром.</w:t>
            </w:r>
          </w:p>
        </w:tc>
        <w:tc>
          <w:tcPr>
            <w:tcW w:w="918" w:type="dxa"/>
            <w:shd w:val="clear" w:color="auto" w:fill="auto"/>
            <w:vAlign w:val="center"/>
          </w:tcPr>
          <w:p>
            <w:pPr>
              <w:jc w:val="center"/>
              <w:rPr>
                <w:color w:val="000000" w:themeColor="text1"/>
                <w:sz w:val="20"/>
              </w:rPr>
            </w:pPr>
            <w:r>
              <w:rPr>
                <w:color w:val="000000" w:themeColor="text1"/>
                <w:sz w:val="20"/>
              </w:rPr>
              <w:t>IP54</w:t>
            </w:r>
          </w:p>
        </w:tc>
        <w:tc>
          <w:tcPr>
            <w:tcW w:w="1012"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220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Д</w:t>
            </w:r>
          </w:p>
        </w:tc>
        <w:tc>
          <w:tcPr>
            <w:tcW w:w="1864" w:type="dxa"/>
            <w:shd w:val="clear" w:color="auto" w:fill="auto"/>
            <w:vAlign w:val="center"/>
          </w:tcPr>
          <w:p>
            <w:pPr>
              <w:jc w:val="center"/>
              <w:rPr>
                <w:color w:val="000000" w:themeColor="text1"/>
                <w:sz w:val="20"/>
              </w:rPr>
            </w:pPr>
            <w:r>
              <w:rPr>
                <w:color w:val="000000" w:themeColor="text1"/>
                <w:sz w:val="20"/>
              </w:rPr>
              <w:t>220 с.к.</w:t>
            </w:r>
          </w:p>
        </w:tc>
        <w:tc>
          <w:tcPr>
            <w:tcW w:w="1751" w:type="dxa"/>
            <w:shd w:val="clear" w:color="auto" w:fill="auto"/>
            <w:vAlign w:val="center"/>
          </w:tcPr>
          <w:p>
            <w:pPr>
              <w:jc w:val="center"/>
              <w:rPr>
                <w:color w:val="000000" w:themeColor="text1"/>
                <w:sz w:val="20"/>
              </w:rPr>
            </w:pPr>
            <w:r>
              <w:rPr>
                <w:color w:val="000000" w:themeColor="text1"/>
                <w:sz w:val="20"/>
              </w:rPr>
              <w:t>220 В</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Fieldbus</w:t>
            </w:r>
          </w:p>
        </w:tc>
        <w:tc>
          <w:tcPr>
            <w:tcW w:w="1001"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5</w:t>
            </w:r>
          </w:p>
        </w:tc>
        <w:tc>
          <w:tcPr>
            <w:tcW w:w="1409" w:type="dxa"/>
            <w:shd w:val="clear" w:color="auto" w:fill="auto"/>
            <w:vAlign w:val="center"/>
          </w:tcPr>
          <w:p>
            <w:pPr>
              <w:jc w:val="center"/>
              <w:rPr>
                <w:color w:val="000000" w:themeColor="text1"/>
                <w:sz w:val="20"/>
              </w:rPr>
            </w:pPr>
            <w:r>
              <w:rPr>
                <w:color w:val="000000" w:themeColor="text1"/>
                <w:sz w:val="20"/>
              </w:rPr>
              <w:t>ВБ</w:t>
            </w:r>
          </w:p>
        </w:tc>
        <w:tc>
          <w:tcPr>
            <w:tcW w:w="1701" w:type="dxa"/>
            <w:shd w:val="clear" w:color="auto" w:fill="auto"/>
            <w:vAlign w:val="center"/>
          </w:tcPr>
          <w:p>
            <w:pPr>
              <w:jc w:val="center"/>
              <w:rPr>
                <w:color w:val="000000" w:themeColor="text1"/>
                <w:sz w:val="20"/>
              </w:rPr>
            </w:pPr>
            <w:r>
              <w:rPr>
                <w:color w:val="000000" w:themeColor="text1"/>
                <w:sz w:val="20"/>
              </w:rPr>
              <w:t>Б</w:t>
            </w:r>
          </w:p>
        </w:tc>
        <w:tc>
          <w:tcPr>
            <w:tcW w:w="1410"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Д</w:t>
            </w:r>
          </w:p>
        </w:tc>
      </w:tr>
      <w:tr>
        <w:trPr>
          <w:trHeight w:val="227"/>
        </w:trPr>
        <w:tc>
          <w:tcPr>
            <w:tcW w:w="446" w:type="dxa"/>
            <w:tcBorders>
              <w:left w:val="single" w:sz="12" w:space="0" w:color="auto"/>
            </w:tcBorders>
            <w:shd w:val="clear" w:color="auto" w:fill="auto"/>
          </w:tcPr>
          <w:p>
            <w:pPr>
              <w:rPr>
                <w:color w:val="000000" w:themeColor="text1"/>
                <w:sz w:val="20"/>
              </w:rPr>
            </w:pPr>
            <w:r>
              <w:rPr>
                <w:color w:val="000000" w:themeColor="text1"/>
                <w:sz w:val="20"/>
              </w:rPr>
              <w:t>6</w:t>
            </w:r>
          </w:p>
        </w:tc>
        <w:tc>
          <w:tcPr>
            <w:tcW w:w="1096" w:type="dxa"/>
            <w:shd w:val="clear" w:color="auto" w:fill="auto"/>
            <w:vAlign w:val="center"/>
          </w:tcPr>
          <w:p>
            <w:pPr>
              <w:jc w:val="center"/>
              <w:rPr>
                <w:b/>
                <w:color w:val="000000" w:themeColor="text1"/>
                <w:sz w:val="20"/>
              </w:rPr>
            </w:pPr>
            <w:r>
              <w:rPr>
                <w:b/>
                <w:color w:val="000000" w:themeColor="text1"/>
                <w:sz w:val="20"/>
              </w:rPr>
              <w:t>Е</w:t>
            </w:r>
          </w:p>
        </w:tc>
        <w:tc>
          <w:tcPr>
            <w:tcW w:w="1189" w:type="dxa"/>
            <w:shd w:val="clear" w:color="auto" w:fill="auto"/>
            <w:vAlign w:val="center"/>
          </w:tcPr>
          <w:p>
            <w:pPr>
              <w:jc w:val="center"/>
              <w:rPr>
                <w:color w:val="000000" w:themeColor="text1"/>
                <w:sz w:val="20"/>
              </w:rPr>
            </w:pPr>
            <w:r>
              <w:rPr>
                <w:color w:val="000000" w:themeColor="text1"/>
                <w:sz w:val="20"/>
              </w:rPr>
              <w:t>Общепром.</w:t>
            </w:r>
          </w:p>
        </w:tc>
        <w:tc>
          <w:tcPr>
            <w:tcW w:w="918" w:type="dxa"/>
            <w:shd w:val="clear" w:color="auto" w:fill="auto"/>
            <w:vAlign w:val="center"/>
          </w:tcPr>
          <w:p>
            <w:pPr>
              <w:jc w:val="center"/>
              <w:rPr>
                <w:color w:val="000000" w:themeColor="text1"/>
                <w:sz w:val="20"/>
              </w:rPr>
            </w:pPr>
            <w:r>
              <w:rPr>
                <w:color w:val="000000" w:themeColor="text1"/>
                <w:sz w:val="20"/>
              </w:rPr>
              <w:t>IP65</w:t>
            </w:r>
          </w:p>
        </w:tc>
        <w:tc>
          <w:tcPr>
            <w:tcW w:w="1012"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220</w:t>
            </w:r>
          </w:p>
        </w:tc>
        <w:tc>
          <w:tcPr>
            <w:tcW w:w="1096" w:type="dxa"/>
            <w:tcBorders>
              <w:left w:val="single" w:sz="12" w:space="0" w:color="auto"/>
              <w:bottom w:val="single" w:sz="6" w:space="0" w:color="auto"/>
            </w:tcBorders>
            <w:shd w:val="clear" w:color="auto" w:fill="auto"/>
            <w:vAlign w:val="center"/>
          </w:tcPr>
          <w:p>
            <w:pPr>
              <w:jc w:val="center"/>
              <w:rPr>
                <w:b/>
                <w:color w:val="000000" w:themeColor="text1"/>
                <w:sz w:val="20"/>
              </w:rPr>
            </w:pPr>
            <w:r>
              <w:rPr>
                <w:b/>
                <w:color w:val="000000" w:themeColor="text1"/>
                <w:sz w:val="20"/>
              </w:rPr>
              <w:t>Е</w:t>
            </w:r>
          </w:p>
        </w:tc>
        <w:tc>
          <w:tcPr>
            <w:tcW w:w="1864" w:type="dxa"/>
            <w:tcBorders>
              <w:bottom w:val="single" w:sz="6" w:space="0" w:color="auto"/>
            </w:tcBorders>
            <w:shd w:val="clear" w:color="auto" w:fill="auto"/>
            <w:vAlign w:val="center"/>
          </w:tcPr>
          <w:p>
            <w:pPr>
              <w:jc w:val="center"/>
              <w:rPr>
                <w:color w:val="000000" w:themeColor="text1"/>
                <w:sz w:val="20"/>
              </w:rPr>
            </w:pPr>
            <w:r>
              <w:rPr>
                <w:color w:val="000000" w:themeColor="text1"/>
                <w:sz w:val="20"/>
              </w:rPr>
              <w:t>220 с.к.</w:t>
            </w:r>
          </w:p>
        </w:tc>
        <w:tc>
          <w:tcPr>
            <w:tcW w:w="1751" w:type="dxa"/>
            <w:tcBorders>
              <w:bottom w:val="single" w:sz="6" w:space="0" w:color="auto"/>
            </w:tcBorders>
            <w:shd w:val="clear" w:color="auto" w:fill="auto"/>
            <w:vAlign w:val="center"/>
          </w:tcPr>
          <w:p>
            <w:pPr>
              <w:jc w:val="center"/>
              <w:rPr>
                <w:color w:val="000000" w:themeColor="text1"/>
                <w:sz w:val="20"/>
              </w:rPr>
            </w:pPr>
            <w:r>
              <w:rPr>
                <w:color w:val="000000" w:themeColor="text1"/>
                <w:sz w:val="20"/>
              </w:rPr>
              <w:t>220 В</w:t>
            </w:r>
          </w:p>
        </w:tc>
        <w:tc>
          <w:tcPr>
            <w:tcW w:w="1084" w:type="dxa"/>
            <w:tcBorders>
              <w:bottom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Modbus</w:t>
            </w:r>
          </w:p>
        </w:tc>
        <w:tc>
          <w:tcPr>
            <w:tcW w:w="1001"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6</w:t>
            </w:r>
          </w:p>
        </w:tc>
        <w:tc>
          <w:tcPr>
            <w:tcW w:w="1409" w:type="dxa"/>
            <w:shd w:val="clear" w:color="auto" w:fill="auto"/>
            <w:vAlign w:val="center"/>
          </w:tcPr>
          <w:p>
            <w:pPr>
              <w:jc w:val="center"/>
              <w:rPr>
                <w:color w:val="000000" w:themeColor="text1"/>
                <w:sz w:val="20"/>
              </w:rPr>
            </w:pPr>
            <w:r>
              <w:rPr>
                <w:color w:val="000000" w:themeColor="text1"/>
                <w:sz w:val="20"/>
              </w:rPr>
              <w:t>ВБ</w:t>
            </w:r>
          </w:p>
        </w:tc>
        <w:tc>
          <w:tcPr>
            <w:tcW w:w="1701" w:type="dxa"/>
            <w:shd w:val="clear" w:color="auto" w:fill="auto"/>
            <w:vAlign w:val="center"/>
          </w:tcPr>
          <w:p>
            <w:pPr>
              <w:jc w:val="center"/>
              <w:rPr>
                <w:color w:val="000000" w:themeColor="text1"/>
                <w:sz w:val="20"/>
              </w:rPr>
            </w:pPr>
            <w:r>
              <w:rPr>
                <w:color w:val="000000" w:themeColor="text1"/>
                <w:sz w:val="20"/>
              </w:rPr>
              <w:t>НБ</w:t>
            </w:r>
          </w:p>
        </w:tc>
        <w:tc>
          <w:tcPr>
            <w:tcW w:w="1410"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Д</w:t>
            </w:r>
          </w:p>
        </w:tc>
      </w:tr>
      <w:tr>
        <w:trPr>
          <w:trHeight w:val="227"/>
        </w:trPr>
        <w:tc>
          <w:tcPr>
            <w:tcW w:w="446" w:type="dxa"/>
            <w:tcBorders>
              <w:left w:val="single" w:sz="12" w:space="0" w:color="auto"/>
            </w:tcBorders>
          </w:tcPr>
          <w:p>
            <w:pPr>
              <w:rPr>
                <w:color w:val="000000" w:themeColor="text1"/>
                <w:sz w:val="20"/>
              </w:rPr>
            </w:pPr>
            <w:r>
              <w:rPr>
                <w:color w:val="000000" w:themeColor="text1"/>
                <w:sz w:val="20"/>
              </w:rPr>
              <w:t>7</w:t>
            </w:r>
          </w:p>
        </w:tc>
        <w:tc>
          <w:tcPr>
            <w:tcW w:w="1096" w:type="dxa"/>
            <w:vAlign w:val="center"/>
          </w:tcPr>
          <w:p>
            <w:pPr>
              <w:jc w:val="center"/>
              <w:rPr>
                <w:b/>
                <w:color w:val="000000" w:themeColor="text1"/>
                <w:sz w:val="20"/>
              </w:rPr>
            </w:pPr>
            <w:r>
              <w:rPr>
                <w:b/>
                <w:color w:val="000000" w:themeColor="text1"/>
                <w:sz w:val="20"/>
              </w:rPr>
              <w:t>Ж</w:t>
            </w:r>
          </w:p>
        </w:tc>
        <w:tc>
          <w:tcPr>
            <w:tcW w:w="1189" w:type="dxa"/>
            <w:vAlign w:val="center"/>
          </w:tcPr>
          <w:p>
            <w:pPr>
              <w:jc w:val="center"/>
              <w:rPr>
                <w:color w:val="000000" w:themeColor="text1"/>
                <w:sz w:val="20"/>
              </w:rPr>
            </w:pPr>
            <w:r>
              <w:rPr>
                <w:color w:val="000000" w:themeColor="text1"/>
                <w:sz w:val="20"/>
              </w:rPr>
              <w:t>Общепром.</w:t>
            </w:r>
          </w:p>
        </w:tc>
        <w:tc>
          <w:tcPr>
            <w:tcW w:w="918" w:type="dxa"/>
            <w:vAlign w:val="center"/>
          </w:tcPr>
          <w:p>
            <w:pPr>
              <w:jc w:val="center"/>
              <w:rPr>
                <w:color w:val="000000" w:themeColor="text1"/>
                <w:sz w:val="20"/>
              </w:rPr>
            </w:pPr>
            <w:r>
              <w:rPr>
                <w:color w:val="000000" w:themeColor="text1"/>
                <w:sz w:val="20"/>
              </w:rPr>
              <w:t>IP54</w:t>
            </w:r>
          </w:p>
        </w:tc>
        <w:tc>
          <w:tcPr>
            <w:tcW w:w="1012" w:type="dxa"/>
            <w:tcBorders>
              <w:right w:val="single" w:sz="12" w:space="0" w:color="auto"/>
            </w:tcBorders>
            <w:vAlign w:val="center"/>
          </w:tcPr>
          <w:p>
            <w:pPr>
              <w:jc w:val="center"/>
              <w:rPr>
                <w:color w:val="000000" w:themeColor="text1"/>
                <w:sz w:val="20"/>
              </w:rPr>
            </w:pPr>
            <w:r>
              <w:rPr>
                <w:color w:val="000000" w:themeColor="text1"/>
                <w:sz w:val="20"/>
              </w:rPr>
              <w:t>380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Ж</w:t>
            </w:r>
          </w:p>
        </w:tc>
        <w:tc>
          <w:tcPr>
            <w:tcW w:w="1864" w:type="dxa"/>
            <w:shd w:val="clear" w:color="auto" w:fill="auto"/>
            <w:vAlign w:val="center"/>
          </w:tcPr>
          <w:p>
            <w:pPr>
              <w:jc w:val="center"/>
              <w:rPr>
                <w:color w:val="000000" w:themeColor="text1"/>
                <w:sz w:val="20"/>
              </w:rPr>
            </w:pPr>
            <w:r>
              <w:rPr>
                <w:color w:val="000000" w:themeColor="text1"/>
                <w:sz w:val="20"/>
              </w:rPr>
              <w:t>24 с.к.</w:t>
            </w:r>
          </w:p>
        </w:tc>
        <w:tc>
          <w:tcPr>
            <w:tcW w:w="1751" w:type="dxa"/>
            <w:shd w:val="clear" w:color="auto" w:fill="auto"/>
            <w:vAlign w:val="center"/>
          </w:tcPr>
          <w:p>
            <w:pPr>
              <w:jc w:val="center"/>
              <w:rPr>
                <w:color w:val="000000" w:themeColor="text1"/>
                <w:sz w:val="20"/>
              </w:rPr>
            </w:pPr>
            <w:r>
              <w:rPr>
                <w:color w:val="000000" w:themeColor="text1"/>
                <w:sz w:val="20"/>
              </w:rPr>
              <w:t>4-20 мА + HART</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w:t>
            </w:r>
          </w:p>
        </w:tc>
        <w:tc>
          <w:tcPr>
            <w:tcW w:w="1001"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7</w:t>
            </w:r>
          </w:p>
        </w:tc>
        <w:tc>
          <w:tcPr>
            <w:tcW w:w="1409" w:type="dxa"/>
            <w:shd w:val="clear" w:color="auto" w:fill="auto"/>
            <w:vAlign w:val="center"/>
          </w:tcPr>
          <w:p>
            <w:pPr>
              <w:jc w:val="center"/>
              <w:rPr>
                <w:color w:val="000000" w:themeColor="text1"/>
                <w:sz w:val="20"/>
              </w:rPr>
            </w:pPr>
            <w:r>
              <w:rPr>
                <w:color w:val="000000" w:themeColor="text1"/>
                <w:sz w:val="20"/>
              </w:rPr>
              <w:t>ВБ</w:t>
            </w:r>
          </w:p>
        </w:tc>
        <w:tc>
          <w:tcPr>
            <w:tcW w:w="1701" w:type="dxa"/>
            <w:shd w:val="clear" w:color="auto" w:fill="auto"/>
            <w:vAlign w:val="center"/>
          </w:tcPr>
          <w:p>
            <w:pPr>
              <w:jc w:val="center"/>
              <w:rPr>
                <w:color w:val="000000" w:themeColor="text1"/>
                <w:sz w:val="20"/>
              </w:rPr>
            </w:pPr>
            <w:r>
              <w:rPr>
                <w:color w:val="000000" w:themeColor="text1"/>
                <w:sz w:val="20"/>
              </w:rPr>
              <w:t>Б</w:t>
            </w:r>
          </w:p>
        </w:tc>
        <w:tc>
          <w:tcPr>
            <w:tcW w:w="1410"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БД</w:t>
            </w:r>
          </w:p>
        </w:tc>
      </w:tr>
      <w:tr>
        <w:trPr>
          <w:trHeight w:val="227"/>
        </w:trPr>
        <w:tc>
          <w:tcPr>
            <w:tcW w:w="446" w:type="dxa"/>
            <w:tcBorders>
              <w:left w:val="single" w:sz="12" w:space="0" w:color="auto"/>
            </w:tcBorders>
          </w:tcPr>
          <w:p>
            <w:pPr>
              <w:rPr>
                <w:color w:val="000000" w:themeColor="text1"/>
                <w:sz w:val="20"/>
              </w:rPr>
            </w:pPr>
            <w:r>
              <w:rPr>
                <w:color w:val="000000" w:themeColor="text1"/>
                <w:sz w:val="20"/>
              </w:rPr>
              <w:t>8</w:t>
            </w:r>
          </w:p>
        </w:tc>
        <w:tc>
          <w:tcPr>
            <w:tcW w:w="1096" w:type="dxa"/>
            <w:tcBorders>
              <w:bottom w:val="single" w:sz="6" w:space="0" w:color="auto"/>
            </w:tcBorders>
            <w:vAlign w:val="center"/>
          </w:tcPr>
          <w:p>
            <w:pPr>
              <w:jc w:val="center"/>
              <w:rPr>
                <w:b/>
                <w:color w:val="000000" w:themeColor="text1"/>
                <w:sz w:val="20"/>
              </w:rPr>
            </w:pPr>
            <w:r>
              <w:rPr>
                <w:b/>
                <w:color w:val="000000" w:themeColor="text1"/>
                <w:sz w:val="20"/>
              </w:rPr>
              <w:t>З</w:t>
            </w:r>
          </w:p>
        </w:tc>
        <w:tc>
          <w:tcPr>
            <w:tcW w:w="1189" w:type="dxa"/>
            <w:tcBorders>
              <w:bottom w:val="single" w:sz="6" w:space="0" w:color="auto"/>
            </w:tcBorders>
            <w:vAlign w:val="center"/>
          </w:tcPr>
          <w:p>
            <w:pPr>
              <w:jc w:val="center"/>
              <w:rPr>
                <w:color w:val="000000" w:themeColor="text1"/>
                <w:sz w:val="20"/>
              </w:rPr>
            </w:pPr>
            <w:r>
              <w:rPr>
                <w:color w:val="000000" w:themeColor="text1"/>
                <w:sz w:val="20"/>
              </w:rPr>
              <w:t>Общепром.</w:t>
            </w:r>
          </w:p>
        </w:tc>
        <w:tc>
          <w:tcPr>
            <w:tcW w:w="918" w:type="dxa"/>
            <w:tcBorders>
              <w:bottom w:val="single" w:sz="6" w:space="0" w:color="auto"/>
            </w:tcBorders>
            <w:vAlign w:val="center"/>
          </w:tcPr>
          <w:p>
            <w:pPr>
              <w:jc w:val="center"/>
              <w:rPr>
                <w:color w:val="000000" w:themeColor="text1"/>
                <w:sz w:val="20"/>
              </w:rPr>
            </w:pPr>
            <w:r>
              <w:rPr>
                <w:color w:val="000000" w:themeColor="text1"/>
                <w:sz w:val="20"/>
              </w:rPr>
              <w:t>IP65</w:t>
            </w:r>
          </w:p>
        </w:tc>
        <w:tc>
          <w:tcPr>
            <w:tcW w:w="1012" w:type="dxa"/>
            <w:tcBorders>
              <w:bottom w:val="single" w:sz="6" w:space="0" w:color="auto"/>
              <w:right w:val="single" w:sz="12" w:space="0" w:color="auto"/>
            </w:tcBorders>
            <w:vAlign w:val="center"/>
          </w:tcPr>
          <w:p>
            <w:pPr>
              <w:jc w:val="center"/>
              <w:rPr>
                <w:color w:val="000000" w:themeColor="text1"/>
                <w:sz w:val="20"/>
              </w:rPr>
            </w:pPr>
            <w:r>
              <w:rPr>
                <w:color w:val="000000" w:themeColor="text1"/>
                <w:sz w:val="20"/>
              </w:rPr>
              <w:t>380</w:t>
            </w: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З</w:t>
            </w:r>
          </w:p>
        </w:tc>
        <w:tc>
          <w:tcPr>
            <w:tcW w:w="1864" w:type="dxa"/>
            <w:shd w:val="clear" w:color="auto" w:fill="auto"/>
            <w:vAlign w:val="center"/>
          </w:tcPr>
          <w:p>
            <w:pPr>
              <w:jc w:val="center"/>
              <w:rPr>
                <w:color w:val="000000" w:themeColor="text1"/>
                <w:sz w:val="20"/>
              </w:rPr>
            </w:pPr>
            <w:r>
              <w:rPr>
                <w:color w:val="000000" w:themeColor="text1"/>
                <w:sz w:val="20"/>
              </w:rPr>
              <w:t>24 с.к.</w:t>
            </w:r>
          </w:p>
        </w:tc>
        <w:tc>
          <w:tcPr>
            <w:tcW w:w="1751" w:type="dxa"/>
            <w:shd w:val="clear" w:color="auto" w:fill="auto"/>
            <w:vAlign w:val="center"/>
          </w:tcPr>
          <w:p>
            <w:pPr>
              <w:jc w:val="center"/>
              <w:rPr>
                <w:color w:val="000000" w:themeColor="text1"/>
                <w:sz w:val="20"/>
              </w:rPr>
            </w:pPr>
            <w:r>
              <w:rPr>
                <w:color w:val="000000" w:themeColor="text1"/>
                <w:sz w:val="20"/>
              </w:rPr>
              <w:t>4-20 мА + HART</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Fieldbus</w:t>
            </w:r>
          </w:p>
        </w:tc>
        <w:tc>
          <w:tcPr>
            <w:tcW w:w="1001"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8</w:t>
            </w:r>
          </w:p>
        </w:tc>
        <w:tc>
          <w:tcPr>
            <w:tcW w:w="1409" w:type="dxa"/>
            <w:shd w:val="clear" w:color="auto" w:fill="auto"/>
            <w:vAlign w:val="center"/>
          </w:tcPr>
          <w:p>
            <w:pPr>
              <w:jc w:val="center"/>
              <w:rPr>
                <w:color w:val="000000" w:themeColor="text1"/>
                <w:sz w:val="20"/>
              </w:rPr>
            </w:pPr>
            <w:r>
              <w:rPr>
                <w:color w:val="000000" w:themeColor="text1"/>
                <w:sz w:val="20"/>
              </w:rPr>
              <w:t>ВБ</w:t>
            </w:r>
          </w:p>
        </w:tc>
        <w:tc>
          <w:tcPr>
            <w:tcW w:w="1701" w:type="dxa"/>
            <w:shd w:val="clear" w:color="auto" w:fill="auto"/>
            <w:vAlign w:val="center"/>
          </w:tcPr>
          <w:p>
            <w:pPr>
              <w:jc w:val="center"/>
              <w:rPr>
                <w:color w:val="000000" w:themeColor="text1"/>
                <w:sz w:val="20"/>
              </w:rPr>
            </w:pPr>
            <w:r>
              <w:rPr>
                <w:color w:val="000000" w:themeColor="text1"/>
                <w:sz w:val="20"/>
              </w:rPr>
              <w:t>НБ</w:t>
            </w:r>
          </w:p>
        </w:tc>
        <w:tc>
          <w:tcPr>
            <w:tcW w:w="1410"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БД</w:t>
            </w:r>
          </w:p>
        </w:tc>
      </w:tr>
      <w:tr>
        <w:trPr>
          <w:trHeight w:val="227"/>
        </w:trPr>
        <w:tc>
          <w:tcPr>
            <w:tcW w:w="446" w:type="dxa"/>
            <w:tcBorders>
              <w:left w:val="single" w:sz="12" w:space="0" w:color="auto"/>
            </w:tcBorders>
          </w:tcPr>
          <w:p>
            <w:pPr>
              <w:rPr>
                <w:color w:val="000000" w:themeColor="text1"/>
                <w:sz w:val="20"/>
              </w:rPr>
            </w:pPr>
            <w:r>
              <w:rPr>
                <w:color w:val="000000" w:themeColor="text1"/>
                <w:sz w:val="20"/>
              </w:rPr>
              <w:t>9</w:t>
            </w:r>
          </w:p>
        </w:tc>
        <w:tc>
          <w:tcPr>
            <w:tcW w:w="1096" w:type="dxa"/>
            <w:shd w:val="clear" w:color="auto" w:fill="auto"/>
            <w:vAlign w:val="center"/>
          </w:tcPr>
          <w:p>
            <w:pPr>
              <w:jc w:val="center"/>
              <w:rPr>
                <w:b/>
                <w:color w:val="000000" w:themeColor="text1"/>
                <w:sz w:val="20"/>
              </w:rPr>
            </w:pPr>
          </w:p>
        </w:tc>
        <w:tc>
          <w:tcPr>
            <w:tcW w:w="1189" w:type="dxa"/>
            <w:shd w:val="clear" w:color="auto" w:fill="auto"/>
            <w:vAlign w:val="center"/>
          </w:tcPr>
          <w:p>
            <w:pPr>
              <w:jc w:val="center"/>
              <w:rPr>
                <w:color w:val="000000" w:themeColor="text1"/>
                <w:sz w:val="20"/>
              </w:rPr>
            </w:pPr>
          </w:p>
        </w:tc>
        <w:tc>
          <w:tcPr>
            <w:tcW w:w="918" w:type="dxa"/>
            <w:shd w:val="clear" w:color="auto" w:fill="auto"/>
            <w:vAlign w:val="center"/>
          </w:tcPr>
          <w:p>
            <w:pPr>
              <w:jc w:val="center"/>
              <w:rPr>
                <w:color w:val="000000" w:themeColor="text1"/>
                <w:sz w:val="20"/>
              </w:rPr>
            </w:pPr>
          </w:p>
        </w:tc>
        <w:tc>
          <w:tcPr>
            <w:tcW w:w="1012" w:type="dxa"/>
            <w:tcBorders>
              <w:right w:val="single" w:sz="12" w:space="0" w:color="auto"/>
            </w:tcBorders>
            <w:shd w:val="clear" w:color="auto" w:fill="auto"/>
            <w:vAlign w:val="center"/>
          </w:tcPr>
          <w:p>
            <w:pPr>
              <w:jc w:val="center"/>
              <w:rPr>
                <w:color w:val="000000" w:themeColor="text1"/>
                <w:sz w:val="20"/>
              </w:rPr>
            </w:pP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И</w:t>
            </w:r>
          </w:p>
        </w:tc>
        <w:tc>
          <w:tcPr>
            <w:tcW w:w="1864" w:type="dxa"/>
            <w:shd w:val="clear" w:color="auto" w:fill="auto"/>
            <w:vAlign w:val="center"/>
          </w:tcPr>
          <w:p>
            <w:pPr>
              <w:jc w:val="center"/>
              <w:rPr>
                <w:color w:val="000000" w:themeColor="text1"/>
                <w:sz w:val="20"/>
              </w:rPr>
            </w:pPr>
            <w:r>
              <w:rPr>
                <w:color w:val="000000" w:themeColor="text1"/>
                <w:sz w:val="20"/>
              </w:rPr>
              <w:t>24 с.к.</w:t>
            </w:r>
          </w:p>
        </w:tc>
        <w:tc>
          <w:tcPr>
            <w:tcW w:w="1751" w:type="dxa"/>
            <w:shd w:val="clear" w:color="auto" w:fill="auto"/>
            <w:vAlign w:val="center"/>
          </w:tcPr>
          <w:p>
            <w:pPr>
              <w:jc w:val="center"/>
              <w:rPr>
                <w:color w:val="000000" w:themeColor="text1"/>
                <w:sz w:val="20"/>
              </w:rPr>
            </w:pPr>
            <w:r>
              <w:rPr>
                <w:color w:val="000000" w:themeColor="text1"/>
                <w:sz w:val="20"/>
              </w:rPr>
              <w:t>4-20 мА + HART</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Modbus</w:t>
            </w:r>
          </w:p>
        </w:tc>
        <w:tc>
          <w:tcPr>
            <w:tcW w:w="1001" w:type="dxa"/>
            <w:tcBorders>
              <w:left w:val="single" w:sz="12" w:space="0" w:color="auto"/>
            </w:tcBorders>
            <w:vAlign w:val="center"/>
          </w:tcPr>
          <w:p>
            <w:pPr>
              <w:jc w:val="center"/>
              <w:rPr>
                <w:b/>
                <w:color w:val="000000" w:themeColor="text1"/>
                <w:sz w:val="20"/>
              </w:rPr>
            </w:pPr>
          </w:p>
        </w:tc>
        <w:tc>
          <w:tcPr>
            <w:tcW w:w="1409" w:type="dxa"/>
            <w:vAlign w:val="center"/>
          </w:tcPr>
          <w:p>
            <w:pPr>
              <w:jc w:val="center"/>
              <w:rPr>
                <w:b/>
                <w:color w:val="000000" w:themeColor="text1"/>
                <w:sz w:val="20"/>
              </w:rPr>
            </w:pPr>
          </w:p>
        </w:tc>
        <w:tc>
          <w:tcPr>
            <w:tcW w:w="1701" w:type="dxa"/>
          </w:tcPr>
          <w:p>
            <w:pPr>
              <w:jc w:val="center"/>
              <w:rPr>
                <w:b/>
                <w:color w:val="000000" w:themeColor="text1"/>
                <w:sz w:val="20"/>
              </w:rPr>
            </w:pPr>
          </w:p>
        </w:tc>
        <w:tc>
          <w:tcPr>
            <w:tcW w:w="1410" w:type="dxa"/>
            <w:tcBorders>
              <w:right w:val="single" w:sz="12" w:space="0" w:color="auto"/>
            </w:tcBorders>
            <w:vAlign w:val="center"/>
          </w:tcPr>
          <w:p>
            <w:pPr>
              <w:jc w:val="center"/>
              <w:rPr>
                <w:b/>
                <w:color w:val="000000" w:themeColor="text1"/>
                <w:sz w:val="20"/>
              </w:rPr>
            </w:pPr>
          </w:p>
        </w:tc>
      </w:tr>
      <w:tr>
        <w:trPr>
          <w:trHeight w:val="227"/>
        </w:trPr>
        <w:tc>
          <w:tcPr>
            <w:tcW w:w="446" w:type="dxa"/>
            <w:tcBorders>
              <w:left w:val="single" w:sz="12" w:space="0" w:color="auto"/>
            </w:tcBorders>
          </w:tcPr>
          <w:p>
            <w:pPr>
              <w:rPr>
                <w:color w:val="000000" w:themeColor="text1"/>
                <w:sz w:val="20"/>
              </w:rPr>
            </w:pPr>
            <w:r>
              <w:rPr>
                <w:color w:val="000000" w:themeColor="text1"/>
                <w:sz w:val="20"/>
              </w:rPr>
              <w:t>10</w:t>
            </w:r>
          </w:p>
        </w:tc>
        <w:tc>
          <w:tcPr>
            <w:tcW w:w="1096" w:type="dxa"/>
            <w:shd w:val="clear" w:color="auto" w:fill="auto"/>
            <w:vAlign w:val="center"/>
          </w:tcPr>
          <w:p>
            <w:pPr>
              <w:jc w:val="center"/>
              <w:rPr>
                <w:b/>
                <w:color w:val="000000" w:themeColor="text1"/>
                <w:sz w:val="20"/>
              </w:rPr>
            </w:pPr>
          </w:p>
        </w:tc>
        <w:tc>
          <w:tcPr>
            <w:tcW w:w="1189" w:type="dxa"/>
            <w:shd w:val="clear" w:color="auto" w:fill="auto"/>
            <w:vAlign w:val="center"/>
          </w:tcPr>
          <w:p>
            <w:pPr>
              <w:jc w:val="center"/>
              <w:rPr>
                <w:color w:val="000000" w:themeColor="text1"/>
                <w:sz w:val="20"/>
              </w:rPr>
            </w:pPr>
          </w:p>
        </w:tc>
        <w:tc>
          <w:tcPr>
            <w:tcW w:w="918" w:type="dxa"/>
            <w:shd w:val="clear" w:color="auto" w:fill="auto"/>
            <w:vAlign w:val="center"/>
          </w:tcPr>
          <w:p>
            <w:pPr>
              <w:jc w:val="center"/>
              <w:rPr>
                <w:color w:val="000000" w:themeColor="text1"/>
                <w:sz w:val="20"/>
              </w:rPr>
            </w:pPr>
          </w:p>
        </w:tc>
        <w:tc>
          <w:tcPr>
            <w:tcW w:w="1012" w:type="dxa"/>
            <w:tcBorders>
              <w:right w:val="single" w:sz="12" w:space="0" w:color="auto"/>
            </w:tcBorders>
            <w:shd w:val="clear" w:color="auto" w:fill="auto"/>
            <w:vAlign w:val="center"/>
          </w:tcPr>
          <w:p>
            <w:pPr>
              <w:jc w:val="center"/>
              <w:rPr>
                <w:color w:val="000000" w:themeColor="text1"/>
                <w:sz w:val="20"/>
              </w:rPr>
            </w:pP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К</w:t>
            </w:r>
          </w:p>
        </w:tc>
        <w:tc>
          <w:tcPr>
            <w:tcW w:w="1864" w:type="dxa"/>
            <w:shd w:val="clear" w:color="auto" w:fill="auto"/>
            <w:vAlign w:val="center"/>
          </w:tcPr>
          <w:p>
            <w:pPr>
              <w:jc w:val="center"/>
              <w:rPr>
                <w:color w:val="000000" w:themeColor="text1"/>
                <w:sz w:val="20"/>
              </w:rPr>
            </w:pPr>
            <w:r>
              <w:rPr>
                <w:color w:val="000000" w:themeColor="text1"/>
                <w:sz w:val="20"/>
              </w:rPr>
              <w:t>220 с.к.</w:t>
            </w:r>
          </w:p>
        </w:tc>
        <w:tc>
          <w:tcPr>
            <w:tcW w:w="1751" w:type="dxa"/>
            <w:shd w:val="clear" w:color="auto" w:fill="auto"/>
            <w:vAlign w:val="center"/>
          </w:tcPr>
          <w:p>
            <w:pPr>
              <w:jc w:val="center"/>
              <w:rPr>
                <w:color w:val="000000" w:themeColor="text1"/>
                <w:sz w:val="20"/>
              </w:rPr>
            </w:pPr>
            <w:r>
              <w:rPr>
                <w:color w:val="000000" w:themeColor="text1"/>
                <w:sz w:val="20"/>
              </w:rPr>
              <w:t>4-20 мА + HART</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w:t>
            </w:r>
          </w:p>
        </w:tc>
        <w:tc>
          <w:tcPr>
            <w:tcW w:w="1001" w:type="dxa"/>
            <w:tcBorders>
              <w:left w:val="single" w:sz="12" w:space="0" w:color="auto"/>
            </w:tcBorders>
            <w:vAlign w:val="center"/>
          </w:tcPr>
          <w:p>
            <w:pPr>
              <w:jc w:val="center"/>
              <w:rPr>
                <w:b/>
                <w:color w:val="000000" w:themeColor="text1"/>
                <w:sz w:val="20"/>
              </w:rPr>
            </w:pPr>
          </w:p>
        </w:tc>
        <w:tc>
          <w:tcPr>
            <w:tcW w:w="1409" w:type="dxa"/>
            <w:vAlign w:val="center"/>
          </w:tcPr>
          <w:p>
            <w:pPr>
              <w:jc w:val="center"/>
              <w:rPr>
                <w:b/>
                <w:color w:val="000000" w:themeColor="text1"/>
                <w:sz w:val="20"/>
              </w:rPr>
            </w:pPr>
          </w:p>
        </w:tc>
        <w:tc>
          <w:tcPr>
            <w:tcW w:w="1701" w:type="dxa"/>
          </w:tcPr>
          <w:p>
            <w:pPr>
              <w:jc w:val="center"/>
              <w:rPr>
                <w:b/>
                <w:color w:val="000000" w:themeColor="text1"/>
                <w:sz w:val="20"/>
              </w:rPr>
            </w:pPr>
          </w:p>
        </w:tc>
        <w:tc>
          <w:tcPr>
            <w:tcW w:w="1410" w:type="dxa"/>
            <w:tcBorders>
              <w:right w:val="single" w:sz="12" w:space="0" w:color="auto"/>
            </w:tcBorders>
            <w:vAlign w:val="center"/>
          </w:tcPr>
          <w:p>
            <w:pPr>
              <w:jc w:val="center"/>
              <w:rPr>
                <w:b/>
                <w:color w:val="000000" w:themeColor="text1"/>
                <w:sz w:val="20"/>
              </w:rPr>
            </w:pPr>
          </w:p>
        </w:tc>
      </w:tr>
      <w:tr>
        <w:trPr>
          <w:trHeight w:val="227"/>
        </w:trPr>
        <w:tc>
          <w:tcPr>
            <w:tcW w:w="446" w:type="dxa"/>
            <w:tcBorders>
              <w:left w:val="single" w:sz="12" w:space="0" w:color="auto"/>
            </w:tcBorders>
          </w:tcPr>
          <w:p>
            <w:pPr>
              <w:rPr>
                <w:color w:val="000000" w:themeColor="text1"/>
                <w:sz w:val="20"/>
              </w:rPr>
            </w:pPr>
            <w:r>
              <w:rPr>
                <w:color w:val="000000" w:themeColor="text1"/>
                <w:sz w:val="20"/>
              </w:rPr>
              <w:t>11</w:t>
            </w:r>
          </w:p>
        </w:tc>
        <w:tc>
          <w:tcPr>
            <w:tcW w:w="1096" w:type="dxa"/>
            <w:shd w:val="clear" w:color="auto" w:fill="auto"/>
            <w:vAlign w:val="center"/>
          </w:tcPr>
          <w:p>
            <w:pPr>
              <w:jc w:val="center"/>
              <w:rPr>
                <w:b/>
                <w:color w:val="000000" w:themeColor="text1"/>
                <w:sz w:val="20"/>
              </w:rPr>
            </w:pPr>
          </w:p>
        </w:tc>
        <w:tc>
          <w:tcPr>
            <w:tcW w:w="1189" w:type="dxa"/>
            <w:shd w:val="clear" w:color="auto" w:fill="auto"/>
            <w:vAlign w:val="center"/>
          </w:tcPr>
          <w:p>
            <w:pPr>
              <w:jc w:val="center"/>
              <w:rPr>
                <w:color w:val="000000" w:themeColor="text1"/>
                <w:sz w:val="20"/>
              </w:rPr>
            </w:pPr>
          </w:p>
        </w:tc>
        <w:tc>
          <w:tcPr>
            <w:tcW w:w="918" w:type="dxa"/>
            <w:shd w:val="clear" w:color="auto" w:fill="auto"/>
            <w:vAlign w:val="center"/>
          </w:tcPr>
          <w:p>
            <w:pPr>
              <w:jc w:val="center"/>
              <w:rPr>
                <w:color w:val="000000" w:themeColor="text1"/>
                <w:sz w:val="20"/>
              </w:rPr>
            </w:pPr>
          </w:p>
        </w:tc>
        <w:tc>
          <w:tcPr>
            <w:tcW w:w="1012" w:type="dxa"/>
            <w:tcBorders>
              <w:right w:val="single" w:sz="12" w:space="0" w:color="auto"/>
            </w:tcBorders>
            <w:shd w:val="clear" w:color="auto" w:fill="auto"/>
            <w:vAlign w:val="center"/>
          </w:tcPr>
          <w:p>
            <w:pPr>
              <w:jc w:val="center"/>
              <w:rPr>
                <w:color w:val="000000" w:themeColor="text1"/>
                <w:sz w:val="20"/>
              </w:rPr>
            </w:pPr>
          </w:p>
        </w:tc>
        <w:tc>
          <w:tcPr>
            <w:tcW w:w="1096" w:type="dxa"/>
            <w:tcBorders>
              <w:left w:val="single" w:sz="12" w:space="0" w:color="auto"/>
            </w:tcBorders>
            <w:shd w:val="clear" w:color="auto" w:fill="auto"/>
            <w:vAlign w:val="center"/>
          </w:tcPr>
          <w:p>
            <w:pPr>
              <w:jc w:val="center"/>
              <w:rPr>
                <w:b/>
                <w:color w:val="000000" w:themeColor="text1"/>
                <w:sz w:val="20"/>
              </w:rPr>
            </w:pPr>
            <w:r>
              <w:rPr>
                <w:b/>
                <w:color w:val="000000" w:themeColor="text1"/>
                <w:sz w:val="20"/>
              </w:rPr>
              <w:t>Л</w:t>
            </w:r>
          </w:p>
        </w:tc>
        <w:tc>
          <w:tcPr>
            <w:tcW w:w="1864" w:type="dxa"/>
            <w:shd w:val="clear" w:color="auto" w:fill="auto"/>
            <w:vAlign w:val="center"/>
          </w:tcPr>
          <w:p>
            <w:pPr>
              <w:jc w:val="center"/>
              <w:rPr>
                <w:color w:val="000000" w:themeColor="text1"/>
                <w:sz w:val="20"/>
              </w:rPr>
            </w:pPr>
            <w:r>
              <w:rPr>
                <w:color w:val="000000" w:themeColor="text1"/>
                <w:sz w:val="20"/>
              </w:rPr>
              <w:t>220 с.к.</w:t>
            </w:r>
          </w:p>
        </w:tc>
        <w:tc>
          <w:tcPr>
            <w:tcW w:w="1751" w:type="dxa"/>
            <w:shd w:val="clear" w:color="auto" w:fill="auto"/>
            <w:vAlign w:val="center"/>
          </w:tcPr>
          <w:p>
            <w:pPr>
              <w:jc w:val="center"/>
              <w:rPr>
                <w:color w:val="000000" w:themeColor="text1"/>
                <w:sz w:val="20"/>
              </w:rPr>
            </w:pPr>
            <w:r>
              <w:rPr>
                <w:color w:val="000000" w:themeColor="text1"/>
                <w:sz w:val="20"/>
              </w:rPr>
              <w:t>4-20 мА + HART</w:t>
            </w:r>
          </w:p>
        </w:tc>
        <w:tc>
          <w:tcPr>
            <w:tcW w:w="1084" w:type="dxa"/>
            <w:tcBorders>
              <w:right w:val="single" w:sz="12" w:space="0" w:color="auto"/>
            </w:tcBorders>
            <w:shd w:val="clear" w:color="auto" w:fill="auto"/>
            <w:vAlign w:val="center"/>
          </w:tcPr>
          <w:p>
            <w:pPr>
              <w:jc w:val="center"/>
              <w:rPr>
                <w:color w:val="000000" w:themeColor="text1"/>
                <w:sz w:val="20"/>
              </w:rPr>
            </w:pPr>
            <w:r>
              <w:rPr>
                <w:color w:val="000000" w:themeColor="text1"/>
                <w:sz w:val="20"/>
              </w:rPr>
              <w:t>Fieldbus</w:t>
            </w:r>
          </w:p>
        </w:tc>
        <w:tc>
          <w:tcPr>
            <w:tcW w:w="1001" w:type="dxa"/>
            <w:tcBorders>
              <w:left w:val="single" w:sz="12" w:space="0" w:color="auto"/>
            </w:tcBorders>
            <w:vAlign w:val="center"/>
          </w:tcPr>
          <w:p>
            <w:pPr>
              <w:jc w:val="center"/>
              <w:rPr>
                <w:b/>
                <w:color w:val="000000" w:themeColor="text1"/>
                <w:sz w:val="20"/>
              </w:rPr>
            </w:pPr>
          </w:p>
        </w:tc>
        <w:tc>
          <w:tcPr>
            <w:tcW w:w="1409" w:type="dxa"/>
            <w:vAlign w:val="center"/>
          </w:tcPr>
          <w:p>
            <w:pPr>
              <w:jc w:val="center"/>
              <w:rPr>
                <w:b/>
                <w:color w:val="000000" w:themeColor="text1"/>
                <w:sz w:val="20"/>
              </w:rPr>
            </w:pPr>
          </w:p>
        </w:tc>
        <w:tc>
          <w:tcPr>
            <w:tcW w:w="1701" w:type="dxa"/>
          </w:tcPr>
          <w:p>
            <w:pPr>
              <w:jc w:val="center"/>
              <w:rPr>
                <w:b/>
                <w:color w:val="000000" w:themeColor="text1"/>
                <w:sz w:val="20"/>
              </w:rPr>
            </w:pPr>
          </w:p>
        </w:tc>
        <w:tc>
          <w:tcPr>
            <w:tcW w:w="1410" w:type="dxa"/>
            <w:tcBorders>
              <w:right w:val="single" w:sz="12" w:space="0" w:color="auto"/>
            </w:tcBorders>
            <w:vAlign w:val="center"/>
          </w:tcPr>
          <w:p>
            <w:pPr>
              <w:jc w:val="center"/>
              <w:rPr>
                <w:b/>
                <w:color w:val="000000" w:themeColor="text1"/>
                <w:sz w:val="20"/>
              </w:rPr>
            </w:pPr>
          </w:p>
        </w:tc>
      </w:tr>
      <w:tr>
        <w:trPr>
          <w:trHeight w:val="227"/>
        </w:trPr>
        <w:tc>
          <w:tcPr>
            <w:tcW w:w="446" w:type="dxa"/>
            <w:tcBorders>
              <w:left w:val="single" w:sz="12" w:space="0" w:color="auto"/>
              <w:bottom w:val="single" w:sz="12" w:space="0" w:color="auto"/>
            </w:tcBorders>
          </w:tcPr>
          <w:p>
            <w:pPr>
              <w:rPr>
                <w:color w:val="000000" w:themeColor="text1"/>
                <w:sz w:val="20"/>
              </w:rPr>
            </w:pPr>
            <w:r>
              <w:rPr>
                <w:color w:val="000000" w:themeColor="text1"/>
                <w:sz w:val="20"/>
              </w:rPr>
              <w:t>12</w:t>
            </w:r>
          </w:p>
        </w:tc>
        <w:tc>
          <w:tcPr>
            <w:tcW w:w="1096" w:type="dxa"/>
            <w:tcBorders>
              <w:bottom w:val="single" w:sz="12" w:space="0" w:color="auto"/>
            </w:tcBorders>
            <w:shd w:val="clear" w:color="auto" w:fill="auto"/>
            <w:vAlign w:val="center"/>
          </w:tcPr>
          <w:p>
            <w:pPr>
              <w:jc w:val="center"/>
              <w:rPr>
                <w:b/>
                <w:color w:val="000000" w:themeColor="text1"/>
                <w:sz w:val="20"/>
              </w:rPr>
            </w:pPr>
          </w:p>
        </w:tc>
        <w:tc>
          <w:tcPr>
            <w:tcW w:w="1189" w:type="dxa"/>
            <w:tcBorders>
              <w:bottom w:val="single" w:sz="12" w:space="0" w:color="auto"/>
            </w:tcBorders>
            <w:shd w:val="clear" w:color="auto" w:fill="auto"/>
            <w:vAlign w:val="center"/>
          </w:tcPr>
          <w:p>
            <w:pPr>
              <w:jc w:val="center"/>
              <w:rPr>
                <w:color w:val="000000" w:themeColor="text1"/>
                <w:sz w:val="20"/>
              </w:rPr>
            </w:pPr>
          </w:p>
        </w:tc>
        <w:tc>
          <w:tcPr>
            <w:tcW w:w="918" w:type="dxa"/>
            <w:tcBorders>
              <w:bottom w:val="single" w:sz="12" w:space="0" w:color="auto"/>
            </w:tcBorders>
            <w:shd w:val="clear" w:color="auto" w:fill="auto"/>
            <w:vAlign w:val="center"/>
          </w:tcPr>
          <w:p>
            <w:pPr>
              <w:jc w:val="center"/>
              <w:rPr>
                <w:color w:val="000000" w:themeColor="text1"/>
                <w:sz w:val="20"/>
              </w:rPr>
            </w:pPr>
          </w:p>
        </w:tc>
        <w:tc>
          <w:tcPr>
            <w:tcW w:w="1012" w:type="dxa"/>
            <w:tcBorders>
              <w:bottom w:val="single" w:sz="12" w:space="0" w:color="auto"/>
              <w:right w:val="single" w:sz="12" w:space="0" w:color="auto"/>
            </w:tcBorders>
            <w:shd w:val="clear" w:color="auto" w:fill="auto"/>
            <w:vAlign w:val="center"/>
          </w:tcPr>
          <w:p>
            <w:pPr>
              <w:jc w:val="center"/>
              <w:rPr>
                <w:color w:val="000000" w:themeColor="text1"/>
                <w:sz w:val="20"/>
              </w:rPr>
            </w:pPr>
          </w:p>
        </w:tc>
        <w:tc>
          <w:tcPr>
            <w:tcW w:w="1096" w:type="dxa"/>
            <w:tcBorders>
              <w:left w:val="single" w:sz="12" w:space="0" w:color="auto"/>
              <w:bottom w:val="single" w:sz="12" w:space="0" w:color="auto"/>
            </w:tcBorders>
            <w:shd w:val="clear" w:color="auto" w:fill="auto"/>
            <w:vAlign w:val="center"/>
          </w:tcPr>
          <w:p>
            <w:pPr>
              <w:jc w:val="center"/>
              <w:rPr>
                <w:b/>
                <w:color w:val="000000" w:themeColor="text1"/>
                <w:sz w:val="20"/>
              </w:rPr>
            </w:pPr>
            <w:r>
              <w:rPr>
                <w:b/>
                <w:color w:val="000000" w:themeColor="text1"/>
                <w:sz w:val="20"/>
              </w:rPr>
              <w:t>М</w:t>
            </w:r>
          </w:p>
        </w:tc>
        <w:tc>
          <w:tcPr>
            <w:tcW w:w="1864" w:type="dxa"/>
            <w:tcBorders>
              <w:bottom w:val="single" w:sz="12" w:space="0" w:color="auto"/>
            </w:tcBorders>
            <w:shd w:val="clear" w:color="auto" w:fill="auto"/>
            <w:vAlign w:val="center"/>
          </w:tcPr>
          <w:p>
            <w:pPr>
              <w:jc w:val="center"/>
              <w:rPr>
                <w:color w:val="000000" w:themeColor="text1"/>
                <w:sz w:val="20"/>
              </w:rPr>
            </w:pPr>
            <w:r>
              <w:rPr>
                <w:color w:val="000000" w:themeColor="text1"/>
                <w:sz w:val="20"/>
              </w:rPr>
              <w:t>220 с.к.</w:t>
            </w:r>
          </w:p>
        </w:tc>
        <w:tc>
          <w:tcPr>
            <w:tcW w:w="1751" w:type="dxa"/>
            <w:tcBorders>
              <w:bottom w:val="single" w:sz="12" w:space="0" w:color="auto"/>
            </w:tcBorders>
            <w:shd w:val="clear" w:color="auto" w:fill="auto"/>
            <w:vAlign w:val="center"/>
          </w:tcPr>
          <w:p>
            <w:pPr>
              <w:jc w:val="center"/>
              <w:rPr>
                <w:color w:val="000000" w:themeColor="text1"/>
                <w:sz w:val="20"/>
              </w:rPr>
            </w:pPr>
            <w:r>
              <w:rPr>
                <w:color w:val="000000" w:themeColor="text1"/>
                <w:sz w:val="20"/>
              </w:rPr>
              <w:t>4-20 мА + HART</w:t>
            </w:r>
          </w:p>
        </w:tc>
        <w:tc>
          <w:tcPr>
            <w:tcW w:w="1084" w:type="dxa"/>
            <w:tcBorders>
              <w:bottom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Modbus</w:t>
            </w:r>
          </w:p>
        </w:tc>
        <w:tc>
          <w:tcPr>
            <w:tcW w:w="1001" w:type="dxa"/>
            <w:tcBorders>
              <w:left w:val="single" w:sz="12" w:space="0" w:color="auto"/>
              <w:bottom w:val="single" w:sz="12" w:space="0" w:color="auto"/>
            </w:tcBorders>
            <w:vAlign w:val="center"/>
          </w:tcPr>
          <w:p>
            <w:pPr>
              <w:jc w:val="center"/>
              <w:rPr>
                <w:b/>
                <w:color w:val="000000" w:themeColor="text1"/>
                <w:sz w:val="20"/>
              </w:rPr>
            </w:pPr>
          </w:p>
        </w:tc>
        <w:tc>
          <w:tcPr>
            <w:tcW w:w="1409" w:type="dxa"/>
            <w:tcBorders>
              <w:bottom w:val="single" w:sz="12" w:space="0" w:color="auto"/>
            </w:tcBorders>
            <w:vAlign w:val="center"/>
          </w:tcPr>
          <w:p>
            <w:pPr>
              <w:jc w:val="center"/>
              <w:rPr>
                <w:b/>
                <w:color w:val="000000" w:themeColor="text1"/>
                <w:sz w:val="20"/>
              </w:rPr>
            </w:pPr>
          </w:p>
        </w:tc>
        <w:tc>
          <w:tcPr>
            <w:tcW w:w="1701" w:type="dxa"/>
            <w:tcBorders>
              <w:bottom w:val="single" w:sz="12" w:space="0" w:color="auto"/>
            </w:tcBorders>
          </w:tcPr>
          <w:p>
            <w:pPr>
              <w:jc w:val="center"/>
              <w:rPr>
                <w:b/>
                <w:color w:val="000000" w:themeColor="text1"/>
                <w:sz w:val="20"/>
              </w:rPr>
            </w:pPr>
          </w:p>
        </w:tc>
        <w:tc>
          <w:tcPr>
            <w:tcW w:w="1410" w:type="dxa"/>
            <w:tcBorders>
              <w:bottom w:val="single" w:sz="12" w:space="0" w:color="auto"/>
              <w:right w:val="single" w:sz="12" w:space="0" w:color="auto"/>
            </w:tcBorders>
            <w:vAlign w:val="center"/>
          </w:tcPr>
          <w:p>
            <w:pPr>
              <w:jc w:val="center"/>
              <w:rPr>
                <w:b/>
                <w:color w:val="000000" w:themeColor="text1"/>
                <w:sz w:val="20"/>
              </w:rPr>
            </w:pPr>
          </w:p>
        </w:tc>
      </w:tr>
    </w:tbl>
    <w:p>
      <w:pPr>
        <w:keepNext/>
        <w:ind w:right="-1"/>
        <w:jc w:val="right"/>
        <w:rPr>
          <w:rFonts w:ascii="Arial" w:eastAsia="Times New Roman" w:hAnsi="Arial" w:cs="Arial"/>
          <w:b/>
          <w:bCs/>
          <w:sz w:val="20"/>
          <w:szCs w:val="20"/>
        </w:rPr>
      </w:pPr>
      <w:r>
        <w:rPr>
          <w:rFonts w:ascii="Arial" w:eastAsia="Times New Roman" w:hAnsi="Arial" w:cs="Arial"/>
          <w:b/>
          <w:bCs/>
          <w:sz w:val="20"/>
          <w:szCs w:val="20"/>
        </w:rPr>
        <w:t>Комбинации обозначений электроприводов для крана шарового</w:t>
      </w:r>
    </w:p>
    <w:p>
      <w:pPr>
        <w:tabs>
          <w:tab w:val="left" w:pos="945"/>
        </w:tabs>
        <w:rPr>
          <w:rFonts w:asciiTheme="majorBidi" w:hAnsiTheme="majorBidi" w:cstheme="majorBidi"/>
        </w:rPr>
        <w:sectPr>
          <w:headerReference w:type="default" r:id="rId65"/>
          <w:footerReference w:type="default" r:id="rId66"/>
          <w:pgSz w:w="16838" w:h="11906" w:orient="landscape"/>
          <w:pgMar w:top="1247" w:right="510" w:bottom="1021" w:left="567" w:header="737" w:footer="680" w:gutter="0"/>
          <w:cols w:space="708"/>
          <w:docGrid w:linePitch="360"/>
        </w:sectPr>
      </w:pPr>
    </w:p>
    <w:p>
      <w:pPr>
        <w:tabs>
          <w:tab w:val="left" w:pos="567"/>
        </w:tabs>
        <w:rPr>
          <w:rFonts w:ascii="Arial" w:eastAsia="PMingLiU" w:hAnsi="Arial" w:cs="Arial"/>
          <w:b/>
          <w:lang w:eastAsia="en-US"/>
        </w:rPr>
      </w:pPr>
      <w:bookmarkStart w:id="316" w:name="_Toc481495766"/>
      <w:bookmarkStart w:id="317" w:name="_Toc499211154"/>
      <w:r>
        <w:rPr>
          <w:rFonts w:ascii="Arial" w:eastAsia="PMingLiU" w:hAnsi="Arial" w:cs="Arial"/>
          <w:b/>
          <w:lang w:eastAsia="en-US"/>
        </w:rPr>
        <w:lastRenderedPageBreak/>
        <w:t>1.3.</w:t>
      </w:r>
      <w:r>
        <w:rPr>
          <w:rFonts w:ascii="Arial" w:eastAsia="PMingLiU" w:hAnsi="Arial" w:cs="Arial"/>
          <w:b/>
          <w:lang w:eastAsia="en-US"/>
        </w:rPr>
        <w:tab/>
        <w:t>ПРИМЕР УСЛОВНОГО ОБОЗНАЧЕНИЯ</w:t>
      </w:r>
      <w:bookmarkEnd w:id="316"/>
      <w:bookmarkEnd w:id="317"/>
    </w:p>
    <w:p>
      <w:pPr>
        <w:widowControl w:val="0"/>
        <w:rPr>
          <w:rFonts w:eastAsia="Calibri"/>
        </w:rPr>
      </w:pPr>
    </w:p>
    <w:p>
      <w:pPr>
        <w:pStyle w:val="affd"/>
        <w:numPr>
          <w:ilvl w:val="0"/>
          <w:numId w:val="82"/>
        </w:numPr>
        <w:tabs>
          <w:tab w:val="left" w:pos="539"/>
        </w:tabs>
        <w:spacing w:line="240" w:lineRule="auto"/>
        <w:ind w:left="538" w:hanging="357"/>
        <w:rPr>
          <w:rFonts w:ascii="Times New Roman" w:eastAsia="PMingLiU" w:hAnsi="Times New Roman"/>
          <w:b/>
          <w:sz w:val="24"/>
        </w:rPr>
      </w:pPr>
      <w:r>
        <w:rPr>
          <w:rFonts w:ascii="Times New Roman" w:eastAsia="Times New Roman" w:hAnsi="Times New Roman"/>
          <w:b/>
          <w:sz w:val="24"/>
        </w:rPr>
        <w:t>КШ250*16НФК1-6К52ЭП</w:t>
      </w:r>
      <w:r>
        <w:rPr>
          <w:rFonts w:ascii="Times New Roman" w:eastAsia="PMingLiU" w:hAnsi="Times New Roman"/>
          <w:b/>
          <w:sz w:val="24"/>
        </w:rPr>
        <w:t>БГ1</w:t>
      </w:r>
      <w:r>
        <w:rPr>
          <w:rFonts w:ascii="Times New Roman" w:eastAsia="Times New Roman" w:hAnsi="Times New Roman"/>
          <w:b/>
          <w:sz w:val="24"/>
        </w:rPr>
        <w:t>-О-1-2</w:t>
      </w:r>
    </w:p>
    <w:p>
      <w:pPr>
        <w:tabs>
          <w:tab w:val="left" w:pos="1418"/>
        </w:tabs>
        <w:rPr>
          <w:rFonts w:eastAsia="PMingLiU"/>
        </w:rPr>
      </w:pPr>
    </w:p>
    <w:p>
      <w:pPr>
        <w:tabs>
          <w:tab w:val="left" w:pos="1418"/>
        </w:tabs>
        <w:rPr>
          <w:rFonts w:eastAsia="PMingLiU"/>
        </w:rPr>
      </w:pPr>
      <w:r>
        <w:rPr>
          <w:rFonts w:eastAsia="PMingLiU"/>
          <w:b/>
          <w:lang w:eastAsia="en-US"/>
        </w:rPr>
        <w:t>КШ</w:t>
      </w:r>
      <w:r>
        <w:rPr>
          <w:rFonts w:eastAsia="PMingLiU"/>
          <w:lang w:eastAsia="en-US"/>
        </w:rPr>
        <w:t xml:space="preserve"> – кран шаровой, </w:t>
      </w:r>
      <w:r>
        <w:rPr>
          <w:rFonts w:eastAsia="PMingLiU"/>
          <w:b/>
          <w:lang w:eastAsia="en-US"/>
        </w:rPr>
        <w:t>250</w:t>
      </w:r>
      <w:r>
        <w:rPr>
          <w:rFonts w:eastAsia="PMingLiU"/>
          <w:lang w:eastAsia="en-US"/>
        </w:rPr>
        <w:t xml:space="preserve"> – номинальный диаметр, мм; </w:t>
      </w:r>
      <w:r>
        <w:rPr>
          <w:rFonts w:eastAsia="PMingLiU"/>
          <w:b/>
          <w:lang w:eastAsia="en-US"/>
        </w:rPr>
        <w:t>16</w:t>
      </w:r>
      <w:r>
        <w:rPr>
          <w:rFonts w:eastAsia="PMingLiU"/>
          <w:lang w:eastAsia="en-US"/>
        </w:rPr>
        <w:t xml:space="preserve"> – номинальное давление, кгс/см²; </w:t>
      </w:r>
      <w:r>
        <w:rPr>
          <w:rFonts w:eastAsia="PMingLiU"/>
          <w:b/>
          <w:lang w:eastAsia="en-US"/>
        </w:rPr>
        <w:t>Н</w:t>
      </w:r>
      <w:r>
        <w:rPr>
          <w:rFonts w:eastAsia="PMingLiU"/>
          <w:lang w:eastAsia="en-US"/>
        </w:rPr>
        <w:t xml:space="preserve"> – надземная установка; </w:t>
      </w:r>
      <w:r>
        <w:rPr>
          <w:rFonts w:eastAsia="PMingLiU"/>
          <w:b/>
          <w:lang w:eastAsia="en-US"/>
        </w:rPr>
        <w:t>Ф</w:t>
      </w:r>
      <w:r>
        <w:rPr>
          <w:rFonts w:eastAsia="PMingLiU"/>
          <w:lang w:eastAsia="en-US"/>
        </w:rPr>
        <w:t xml:space="preserve"> – фланцевое с ответными фланцами под приварку к трубопроводу; </w:t>
      </w:r>
      <w:r>
        <w:rPr>
          <w:rFonts w:eastAsia="PMingLiU"/>
          <w:b/>
          <w:lang w:eastAsia="en-US"/>
        </w:rPr>
        <w:t>К1</w:t>
      </w:r>
      <w:r>
        <w:rPr>
          <w:rFonts w:eastAsia="PMingLiU"/>
          <w:lang w:eastAsia="en-US"/>
        </w:rPr>
        <w:t xml:space="preserve"> </w:t>
      </w:r>
      <w:r>
        <w:rPr>
          <w:rFonts w:eastAsia="PMingLiU"/>
        </w:rPr>
        <w:t>–</w:t>
      </w:r>
      <w:r>
        <w:rPr>
          <w:rFonts w:eastAsia="PMingLiU"/>
          <w:lang w:eastAsia="en-US"/>
        </w:rPr>
        <w:t xml:space="preserve"> классификация рабочей среды в зависимости от содержания сероводорода; </w:t>
      </w:r>
      <w:r>
        <w:rPr>
          <w:rFonts w:eastAsia="PMingLiU"/>
          <w:b/>
        </w:rPr>
        <w:t>6</w:t>
      </w:r>
      <w:r>
        <w:rPr>
          <w:rFonts w:eastAsia="PMingLiU"/>
          <w:lang w:eastAsia="en-US"/>
        </w:rPr>
        <w:t xml:space="preserve"> – значение толщины стенки присоединяемого трубопровода; </w:t>
      </w:r>
      <w:r>
        <w:rPr>
          <w:rFonts w:eastAsia="PMingLiU"/>
          <w:b/>
          <w:lang w:eastAsia="en-US"/>
        </w:rPr>
        <w:t>К52</w:t>
      </w:r>
      <w:r>
        <w:rPr>
          <w:rFonts w:eastAsia="PMingLiU"/>
        </w:rPr>
        <w:t xml:space="preserve"> </w:t>
      </w:r>
      <w:r>
        <w:rPr>
          <w:rFonts w:eastAsia="PMingLiU"/>
          <w:lang w:eastAsia="en-US"/>
        </w:rPr>
        <w:t xml:space="preserve">– </w:t>
      </w:r>
      <w:r>
        <w:rPr>
          <w:rFonts w:eastAsia="PMingLiU"/>
        </w:rPr>
        <w:t xml:space="preserve">класс прочности присоединяемого трубопровода, значение временного сопротивления разрыву </w:t>
      </w:r>
      <w:r>
        <w:rPr>
          <w:rFonts w:eastAsia="PMingLiU" w:hint="eastAsia"/>
        </w:rPr>
        <w:t>Ơ</w:t>
      </w:r>
      <w:r>
        <w:rPr>
          <w:rFonts w:eastAsia="PMingLiU"/>
        </w:rPr>
        <w:t>в, кгс/мм</w:t>
      </w:r>
      <w:r>
        <w:rPr>
          <w:rFonts w:eastAsia="PMingLiU"/>
          <w:vertAlign w:val="superscript"/>
        </w:rPr>
        <w:t>2</w:t>
      </w:r>
      <w:r>
        <w:rPr>
          <w:rFonts w:eastAsia="PMingLiU"/>
        </w:rPr>
        <w:t xml:space="preserve">; </w:t>
      </w:r>
      <w:r>
        <w:rPr>
          <w:rFonts w:eastAsia="PMingLiU"/>
          <w:b/>
        </w:rPr>
        <w:t xml:space="preserve">ЭПБГ1 </w:t>
      </w:r>
      <w:r>
        <w:rPr>
          <w:rFonts w:eastAsia="PMingLiU"/>
        </w:rPr>
        <w:t>– стандартный электропривод, взрывозащита Exd, пылевлагозащита не ниже IP65, напряжение питание 220 В, сигнал состояния 24 с.к., сигнал управления 220 В, протокол передачи Fieldb</w:t>
      </w:r>
      <w:r>
        <w:rPr>
          <w:rFonts w:eastAsia="PMingLiU"/>
          <w:lang w:val="en-US"/>
        </w:rPr>
        <w:t>u</w:t>
      </w:r>
      <w:r>
        <w:rPr>
          <w:rFonts w:eastAsia="PMingLiU"/>
        </w:rPr>
        <w:t xml:space="preserve">s, блок расположен на электроприводе, кабельный ввод для бронированного кабеля; </w:t>
      </w:r>
      <w:r>
        <w:rPr>
          <w:rFonts w:eastAsia="PMingLiU"/>
          <w:b/>
        </w:rPr>
        <w:t xml:space="preserve">О </w:t>
      </w:r>
      <w:r>
        <w:rPr>
          <w:rFonts w:eastAsia="PMingLiU"/>
        </w:rPr>
        <w:t xml:space="preserve">– характеристика рабочей среды (опасная); </w:t>
      </w:r>
      <w:r>
        <w:rPr>
          <w:rFonts w:eastAsia="PMingLiU"/>
          <w:b/>
          <w:lang w:eastAsia="en-US"/>
        </w:rPr>
        <w:t>1</w:t>
      </w:r>
      <w:r>
        <w:rPr>
          <w:rFonts w:eastAsia="PMingLiU"/>
          <w:lang w:eastAsia="en-US"/>
        </w:rPr>
        <w:t xml:space="preserve"> – климатическое исполнение; </w:t>
      </w:r>
      <w:r>
        <w:rPr>
          <w:rFonts w:eastAsia="PMingLiU"/>
          <w:b/>
          <w:lang w:eastAsia="en-US"/>
        </w:rPr>
        <w:t>2</w:t>
      </w:r>
      <w:r>
        <w:rPr>
          <w:rFonts w:eastAsia="PMingLiU"/>
          <w:lang w:eastAsia="en-US"/>
        </w:rPr>
        <w:t xml:space="preserve"> – </w:t>
      </w:r>
      <w:r>
        <w:rPr>
          <w:rFonts w:eastAsia="PMingLiU"/>
        </w:rPr>
        <w:t>сейсмичность района размещения.</w:t>
      </w:r>
    </w:p>
    <w:p>
      <w:pPr>
        <w:tabs>
          <w:tab w:val="left" w:pos="1418"/>
        </w:tabs>
        <w:rPr>
          <w:rFonts w:eastAsia="PMingLiU"/>
        </w:rPr>
        <w:sectPr>
          <w:headerReference w:type="even" r:id="rId67"/>
          <w:headerReference w:type="default" r:id="rId68"/>
          <w:footerReference w:type="default" r:id="rId69"/>
          <w:headerReference w:type="first" r:id="rId70"/>
          <w:pgSz w:w="11906" w:h="16838"/>
          <w:pgMar w:top="510" w:right="1021" w:bottom="567" w:left="1247" w:header="737" w:footer="680" w:gutter="0"/>
          <w:cols w:space="720"/>
          <w:docGrid w:linePitch="360"/>
        </w:sectPr>
      </w:pPr>
    </w:p>
    <w:p>
      <w:pPr>
        <w:pStyle w:val="22"/>
        <w:rPr>
          <w:rFonts w:eastAsia="Times New Roman" w:cs="Arial"/>
        </w:rPr>
      </w:pPr>
      <w:bookmarkStart w:id="318" w:name="_ПРИЛОЖЕНИЕ_3_МОДЕЛЬНЫЕ"/>
      <w:bookmarkStart w:id="319" w:name="_ПРИЛОЖЕНИЕ_2._МОДЕЛЬНЫЕ"/>
      <w:bookmarkStart w:id="320" w:name="_Toc511400334"/>
      <w:bookmarkStart w:id="321" w:name="_Toc514169549"/>
      <w:bookmarkEnd w:id="318"/>
      <w:bookmarkEnd w:id="319"/>
      <w:r>
        <w:rPr>
          <w:rFonts w:eastAsia="Times New Roman" w:cs="Arial"/>
        </w:rPr>
        <w:lastRenderedPageBreak/>
        <w:t>ПРИЛОЖЕНИЕ 2. МОДЕЛЬНЫЕ РЯДЫ ПНЕВМОПРИВОДОВ ДЛЯ ВЫБОРА И ПОСТАВКИ В КОМПЛЕКТЕ С КРАНОМ ШАРОВЫМ</w:t>
      </w:r>
      <w:bookmarkEnd w:id="320"/>
      <w:bookmarkEnd w:id="321"/>
    </w:p>
    <w:p/>
    <w:p/>
    <w:p>
      <w:pPr>
        <w:pStyle w:val="affd"/>
        <w:numPr>
          <w:ilvl w:val="0"/>
          <w:numId w:val="84"/>
        </w:numPr>
        <w:tabs>
          <w:tab w:val="left" w:pos="567"/>
        </w:tabs>
        <w:spacing w:line="240" w:lineRule="auto"/>
        <w:ind w:left="0" w:firstLine="0"/>
        <w:rPr>
          <w:rFonts w:cs="Arial"/>
          <w:b/>
          <w:sz w:val="32"/>
          <w:szCs w:val="32"/>
        </w:rPr>
      </w:pPr>
      <w:r>
        <w:rPr>
          <w:rFonts w:cs="Arial"/>
          <w:b/>
          <w:sz w:val="32"/>
          <w:szCs w:val="32"/>
        </w:rPr>
        <w:t>УСЛОВНОЕ ОБОЗНАЧЕНИЕ</w:t>
      </w:r>
    </w:p>
    <w:p/>
    <w:p/>
    <w:p>
      <w:pPr>
        <w:pStyle w:val="affd"/>
        <w:widowControl w:val="0"/>
        <w:numPr>
          <w:ilvl w:val="1"/>
          <w:numId w:val="84"/>
        </w:numPr>
        <w:shd w:val="clear" w:color="auto" w:fill="FFFFFF" w:themeFill="background1"/>
        <w:tabs>
          <w:tab w:val="left" w:pos="0"/>
          <w:tab w:val="left" w:pos="709"/>
          <w:tab w:val="left" w:pos="1276"/>
        </w:tabs>
        <w:spacing w:line="240" w:lineRule="auto"/>
        <w:ind w:left="0" w:right="104" w:firstLine="0"/>
        <w:rPr>
          <w:rFonts w:cs="Arial"/>
          <w:b/>
        </w:rPr>
      </w:pPr>
      <w:r>
        <w:rPr>
          <w:rFonts w:cs="Arial"/>
          <w:b/>
        </w:rPr>
        <w:t>СХЕМА УСЛОВНОГО ОБОЗНАЧЕНИЯ</w:t>
      </w:r>
    </w:p>
    <w:p>
      <w:pPr>
        <w:shd w:val="clear" w:color="auto" w:fill="FFFFFF" w:themeFill="background1"/>
        <w:tabs>
          <w:tab w:val="left" w:pos="0"/>
          <w:tab w:val="left" w:pos="993"/>
          <w:tab w:val="left" w:pos="1134"/>
          <w:tab w:val="left" w:pos="1276"/>
        </w:tabs>
        <w:ind w:right="104"/>
      </w:pPr>
    </w:p>
    <w:p>
      <w:pPr>
        <w:pStyle w:val="S0"/>
      </w:pPr>
      <w:r>
        <w:t>Схема условного обозначения пневмопривода для крана шарового приведена в Таблице 36.</w:t>
      </w:r>
    </w:p>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36</w:t>
      </w:r>
      <w:r>
        <w:rPr>
          <w:rFonts w:ascii="Arial" w:eastAsia="Times New Roman" w:hAnsi="Arial" w:cs="Arial"/>
          <w:b/>
          <w:bCs/>
          <w:sz w:val="20"/>
          <w:szCs w:val="20"/>
        </w:rPr>
        <w:fldChar w:fldCharType="end"/>
      </w:r>
    </w:p>
    <w:p>
      <w:pPr>
        <w:keepNext/>
        <w:spacing w:after="60"/>
        <w:jc w:val="right"/>
        <w:rPr>
          <w:rFonts w:ascii="Arial" w:eastAsia="Times New Roman" w:hAnsi="Arial" w:cs="Arial"/>
          <w:b/>
          <w:bCs/>
          <w:sz w:val="20"/>
          <w:szCs w:val="20"/>
        </w:rPr>
      </w:pPr>
      <w:r>
        <w:rPr>
          <w:rFonts w:ascii="Arial" w:eastAsia="Times New Roman" w:hAnsi="Arial" w:cs="Arial"/>
          <w:b/>
          <w:bCs/>
          <w:sz w:val="20"/>
          <w:szCs w:val="20"/>
        </w:rPr>
        <w:t>Схема условного обозначения пневмопривода для крана шарового</w:t>
      </w:r>
    </w:p>
    <w:tbl>
      <w:tblPr>
        <w:tblW w:w="5066" w:type="pct"/>
        <w:tblCellMar>
          <w:left w:w="0" w:type="dxa"/>
          <w:right w:w="0" w:type="dxa"/>
        </w:tblCellMar>
        <w:tblLook w:val="04A0" w:firstRow="1" w:lastRow="0" w:firstColumn="1" w:lastColumn="0" w:noHBand="0" w:noVBand="1"/>
      </w:tblPr>
      <w:tblGrid>
        <w:gridCol w:w="8708"/>
        <w:gridCol w:w="394"/>
        <w:gridCol w:w="394"/>
        <w:gridCol w:w="394"/>
      </w:tblGrid>
      <w:tr>
        <w:trPr>
          <w:trHeight w:val="284"/>
        </w:trPr>
        <w:tc>
          <w:tcPr>
            <w:tcW w:w="8789" w:type="dxa"/>
            <w:vMerge w:val="restart"/>
            <w:tcBorders>
              <w:top w:val="single" w:sz="12" w:space="0" w:color="auto"/>
              <w:left w:val="single" w:sz="12" w:space="0" w:color="auto"/>
              <w:right w:val="single" w:sz="6" w:space="0" w:color="auto"/>
            </w:tcBorders>
            <w:shd w:val="clear" w:color="auto" w:fill="FFD200"/>
            <w:tcMar>
              <w:top w:w="0" w:type="dxa"/>
              <w:left w:w="108" w:type="dxa"/>
              <w:bottom w:w="0" w:type="dxa"/>
              <w:right w:w="108" w:type="dxa"/>
            </w:tcMar>
            <w:vAlign w:val="center"/>
            <w:hideMark/>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УСЛОВНОЕ ОБОЗНАЧЕНИе</w:t>
            </w:r>
          </w:p>
        </w:tc>
        <w:tc>
          <w:tcPr>
            <w:tcW w:w="397" w:type="dxa"/>
            <w:tcBorders>
              <w:top w:val="single" w:sz="12" w:space="0" w:color="auto"/>
              <w:left w:val="single" w:sz="6" w:space="0" w:color="auto"/>
              <w:bottom w:val="single" w:sz="6" w:space="0" w:color="auto"/>
              <w:right w:val="single" w:sz="6"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1</w:t>
            </w:r>
          </w:p>
        </w:tc>
        <w:tc>
          <w:tcPr>
            <w:tcW w:w="397" w:type="dxa"/>
            <w:tcBorders>
              <w:top w:val="single" w:sz="12" w:space="0" w:color="auto"/>
              <w:left w:val="single" w:sz="6" w:space="0" w:color="auto"/>
              <w:bottom w:val="single" w:sz="6" w:space="0" w:color="auto"/>
              <w:right w:val="single" w:sz="6"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2</w:t>
            </w:r>
          </w:p>
        </w:tc>
        <w:tc>
          <w:tcPr>
            <w:tcW w:w="397" w:type="dxa"/>
            <w:tcBorders>
              <w:top w:val="single" w:sz="12" w:space="0" w:color="auto"/>
              <w:left w:val="single" w:sz="6" w:space="0" w:color="auto"/>
              <w:bottom w:val="single" w:sz="6" w:space="0" w:color="auto"/>
              <w:right w:val="single" w:sz="12" w:space="0" w:color="auto"/>
            </w:tcBorders>
            <w:shd w:val="clear" w:color="auto" w:fill="FFD200"/>
            <w:vAlign w:val="bottom"/>
          </w:tcPr>
          <w:p>
            <w:pPr>
              <w:spacing w:before="20" w:after="20" w:line="276" w:lineRule="auto"/>
              <w:jc w:val="center"/>
              <w:rPr>
                <w:rFonts w:ascii="Arial" w:hAnsi="Arial" w:cs="Arial"/>
                <w:b/>
                <w:caps/>
                <w:color w:val="000000"/>
                <w:sz w:val="16"/>
                <w:szCs w:val="16"/>
              </w:rPr>
            </w:pPr>
            <w:r>
              <w:rPr>
                <w:rFonts w:ascii="Arial" w:hAnsi="Arial" w:cs="Arial"/>
                <w:b/>
                <w:caps/>
                <w:color w:val="000000"/>
                <w:sz w:val="16"/>
                <w:szCs w:val="16"/>
              </w:rPr>
              <w:t>3</w:t>
            </w:r>
          </w:p>
        </w:tc>
      </w:tr>
      <w:tr>
        <w:trPr>
          <w:trHeight w:val="284"/>
        </w:trPr>
        <w:tc>
          <w:tcPr>
            <w:tcW w:w="8789" w:type="dxa"/>
            <w:vMerge/>
            <w:tcBorders>
              <w:left w:val="single" w:sz="12" w:space="0" w:color="auto"/>
              <w:bottom w:val="single" w:sz="12" w:space="0" w:color="auto"/>
              <w:right w:val="single" w:sz="6" w:space="0" w:color="auto"/>
            </w:tcBorders>
            <w:vAlign w:val="center"/>
            <w:hideMark/>
          </w:tcPr>
          <w:p>
            <w:pPr>
              <w:spacing w:before="20" w:after="20"/>
              <w:jc w:val="center"/>
              <w:rPr>
                <w:rFonts w:ascii="Arial" w:hAnsi="Arial" w:cs="Arial"/>
                <w:b/>
                <w:sz w:val="16"/>
                <w:szCs w:val="16"/>
              </w:rPr>
            </w:pPr>
          </w:p>
        </w:tc>
        <w:tc>
          <w:tcPr>
            <w:tcW w:w="397" w:type="dxa"/>
            <w:tcBorders>
              <w:top w:val="single" w:sz="6" w:space="0" w:color="auto"/>
              <w:left w:val="single" w:sz="6" w:space="0" w:color="auto"/>
              <w:bottom w:val="single" w:sz="12" w:space="0" w:color="auto"/>
              <w:right w:val="single" w:sz="6"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c>
          <w:tcPr>
            <w:tcW w:w="397" w:type="dxa"/>
            <w:tcBorders>
              <w:top w:val="single" w:sz="6" w:space="0" w:color="auto"/>
              <w:left w:val="single" w:sz="6" w:space="0" w:color="auto"/>
              <w:bottom w:val="single" w:sz="12" w:space="0" w:color="auto"/>
              <w:right w:val="single" w:sz="6"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c>
          <w:tcPr>
            <w:tcW w:w="397" w:type="dxa"/>
            <w:tcBorders>
              <w:top w:val="single" w:sz="6" w:space="0" w:color="auto"/>
              <w:left w:val="single" w:sz="6" w:space="0" w:color="auto"/>
              <w:bottom w:val="single" w:sz="12" w:space="0" w:color="auto"/>
              <w:right w:val="single" w:sz="12" w:space="0" w:color="auto"/>
            </w:tcBorders>
            <w:vAlign w:val="center"/>
          </w:tcPr>
          <w:p>
            <w:pPr>
              <w:spacing w:before="20" w:after="20"/>
              <w:jc w:val="center"/>
              <w:rPr>
                <w:rFonts w:ascii="Arial" w:hAnsi="Arial" w:cs="Arial"/>
                <w:b/>
                <w:sz w:val="16"/>
                <w:szCs w:val="16"/>
              </w:rPr>
            </w:pPr>
            <w:r>
              <w:rPr>
                <w:rFonts w:ascii="Arial" w:hAnsi="Arial" w:cs="Arial"/>
                <w:b/>
                <w:sz w:val="16"/>
                <w:szCs w:val="16"/>
              </w:rPr>
              <w:t>Х</w:t>
            </w:r>
          </w:p>
        </w:tc>
      </w:tr>
      <w:tr>
        <w:trPr>
          <w:trHeight w:val="255"/>
        </w:trPr>
        <w:tc>
          <w:tcPr>
            <w:tcW w:w="8789" w:type="dxa"/>
            <w:tcBorders>
              <w:top w:val="single" w:sz="8" w:space="0" w:color="auto"/>
              <w:left w:val="single" w:sz="12" w:space="0" w:color="auto"/>
              <w:bottom w:val="single" w:sz="8" w:space="0" w:color="auto"/>
              <w:right w:val="nil"/>
            </w:tcBorders>
            <w:tcMar>
              <w:top w:w="0" w:type="dxa"/>
              <w:left w:w="108" w:type="dxa"/>
              <w:bottom w:w="0" w:type="dxa"/>
              <w:right w:w="108" w:type="dxa"/>
            </w:tcMar>
          </w:tcPr>
          <w:p>
            <w:pPr>
              <w:spacing w:line="276" w:lineRule="auto"/>
              <w:rPr>
                <w:rFonts w:eastAsia="Times New Roman"/>
              </w:rPr>
            </w:pPr>
            <w:r>
              <w:rPr>
                <w:rFonts w:eastAsia="Times New Roman"/>
              </w:rPr>
              <w:t>Электротехнические характеристики</w:t>
            </w:r>
          </w:p>
        </w:tc>
        <w:tc>
          <w:tcPr>
            <w:tcW w:w="397" w:type="dxa"/>
            <w:tcBorders>
              <w:left w:val="nil"/>
              <w:bottom w:val="single" w:sz="8" w:space="0" w:color="auto"/>
              <w:right w:val="single" w:sz="8" w:space="0" w:color="auto"/>
            </w:tcBorders>
          </w:tcPr>
          <w:p>
            <w:pPr>
              <w:spacing w:line="276" w:lineRule="auto"/>
              <w:rPr>
                <w:rFonts w:eastAsia="Times New Roman"/>
              </w:rPr>
            </w:pPr>
          </w:p>
        </w:tc>
        <w:tc>
          <w:tcPr>
            <w:tcW w:w="397" w:type="dxa"/>
            <w:vMerge w:val="restart"/>
            <w:tcBorders>
              <w:left w:val="single" w:sz="8" w:space="0" w:color="auto"/>
              <w:bottom w:val="single" w:sz="12" w:space="0" w:color="auto"/>
              <w:right w:val="single" w:sz="6" w:space="0" w:color="auto"/>
            </w:tcBorders>
          </w:tcPr>
          <w:p>
            <w:pPr>
              <w:spacing w:line="276" w:lineRule="auto"/>
              <w:rPr>
                <w:rFonts w:eastAsia="Times New Roman"/>
              </w:rPr>
            </w:pPr>
          </w:p>
        </w:tc>
        <w:tc>
          <w:tcPr>
            <w:tcW w:w="397" w:type="dxa"/>
            <w:vMerge w:val="restart"/>
            <w:tcBorders>
              <w:left w:val="single" w:sz="6" w:space="0" w:color="auto"/>
              <w:right w:val="single" w:sz="12" w:space="0" w:color="auto"/>
            </w:tcBorders>
          </w:tcPr>
          <w:p>
            <w:pPr>
              <w:spacing w:line="276" w:lineRule="auto"/>
              <w:rPr>
                <w:rFonts w:eastAsia="Times New Roman"/>
              </w:rPr>
            </w:pPr>
          </w:p>
        </w:tc>
      </w:tr>
      <w:tr>
        <w:trPr>
          <w:trHeight w:val="255"/>
        </w:trPr>
        <w:tc>
          <w:tcPr>
            <w:tcW w:w="397" w:type="dxa"/>
            <w:gridSpan w:val="2"/>
            <w:tcBorders>
              <w:top w:val="single" w:sz="8" w:space="0" w:color="auto"/>
              <w:left w:val="single" w:sz="12" w:space="0" w:color="auto"/>
              <w:bottom w:val="single" w:sz="8" w:space="0" w:color="auto"/>
              <w:right w:val="nil"/>
            </w:tcBorders>
            <w:tcMar>
              <w:top w:w="0" w:type="dxa"/>
              <w:left w:w="108" w:type="dxa"/>
              <w:bottom w:w="0" w:type="dxa"/>
              <w:right w:w="108" w:type="dxa"/>
            </w:tcMar>
          </w:tcPr>
          <w:p>
            <w:pPr>
              <w:spacing w:line="276" w:lineRule="auto"/>
              <w:rPr>
                <w:rFonts w:eastAsia="Times New Roman"/>
              </w:rPr>
            </w:pPr>
            <w:r>
              <w:rPr>
                <w:rFonts w:eastAsia="Times New Roman"/>
              </w:rPr>
              <w:t>Положение безопасности</w:t>
            </w:r>
          </w:p>
        </w:tc>
        <w:tc>
          <w:tcPr>
            <w:tcW w:w="397" w:type="dxa"/>
            <w:vMerge/>
            <w:tcBorders>
              <w:left w:val="nil"/>
              <w:bottom w:val="single" w:sz="8" w:space="0" w:color="auto"/>
              <w:right w:val="single" w:sz="6" w:space="0" w:color="auto"/>
            </w:tcBorders>
          </w:tcPr>
          <w:p>
            <w:pPr>
              <w:spacing w:line="276" w:lineRule="auto"/>
              <w:rPr>
                <w:rFonts w:eastAsia="Times New Roman"/>
              </w:rPr>
            </w:pPr>
          </w:p>
        </w:tc>
        <w:tc>
          <w:tcPr>
            <w:tcW w:w="397" w:type="dxa"/>
            <w:vMerge/>
            <w:tcBorders>
              <w:left w:val="single" w:sz="6" w:space="0" w:color="auto"/>
              <w:right w:val="single" w:sz="12" w:space="0" w:color="auto"/>
            </w:tcBorders>
          </w:tcPr>
          <w:p>
            <w:pPr>
              <w:spacing w:line="276" w:lineRule="auto"/>
              <w:rPr>
                <w:rFonts w:eastAsia="Times New Roman"/>
                <w:sz w:val="16"/>
                <w:szCs w:val="16"/>
              </w:rPr>
            </w:pPr>
          </w:p>
        </w:tc>
      </w:tr>
      <w:tr>
        <w:trPr>
          <w:trHeight w:val="255"/>
        </w:trPr>
        <w:tc>
          <w:tcPr>
            <w:tcW w:w="397" w:type="dxa"/>
            <w:gridSpan w:val="3"/>
            <w:tcBorders>
              <w:top w:val="single" w:sz="8" w:space="0" w:color="auto"/>
              <w:left w:val="single" w:sz="12" w:space="0" w:color="auto"/>
              <w:bottom w:val="single" w:sz="12" w:space="0" w:color="auto"/>
            </w:tcBorders>
            <w:tcMar>
              <w:top w:w="0" w:type="dxa"/>
              <w:left w:w="108" w:type="dxa"/>
              <w:bottom w:w="0" w:type="dxa"/>
              <w:right w:w="108" w:type="dxa"/>
            </w:tcMar>
          </w:tcPr>
          <w:p>
            <w:pPr>
              <w:spacing w:line="276" w:lineRule="auto"/>
              <w:rPr>
                <w:rFonts w:eastAsia="Times New Roman"/>
              </w:rPr>
            </w:pPr>
            <w:r>
              <w:rPr>
                <w:rFonts w:eastAsia="Times New Roman"/>
              </w:rPr>
              <w:t>Тип ручного дублера</w:t>
            </w:r>
          </w:p>
        </w:tc>
        <w:tc>
          <w:tcPr>
            <w:tcW w:w="397" w:type="dxa"/>
            <w:vMerge/>
            <w:tcBorders>
              <w:left w:val="nil"/>
              <w:bottom w:val="single" w:sz="12" w:space="0" w:color="auto"/>
              <w:right w:val="single" w:sz="12" w:space="0" w:color="auto"/>
            </w:tcBorders>
          </w:tcPr>
          <w:p>
            <w:pPr>
              <w:spacing w:line="276" w:lineRule="auto"/>
              <w:rPr>
                <w:rFonts w:eastAsia="Times New Roman"/>
                <w:sz w:val="16"/>
                <w:szCs w:val="16"/>
              </w:rPr>
            </w:pPr>
          </w:p>
        </w:tc>
      </w:tr>
    </w:tbl>
    <w:p>
      <w:pPr>
        <w:pStyle w:val="S0"/>
      </w:pPr>
    </w:p>
    <w:p>
      <w:pPr>
        <w:pStyle w:val="S0"/>
      </w:pPr>
    </w:p>
    <w:p>
      <w:pPr>
        <w:pStyle w:val="affd"/>
        <w:widowControl w:val="0"/>
        <w:numPr>
          <w:ilvl w:val="1"/>
          <w:numId w:val="84"/>
        </w:numPr>
        <w:shd w:val="clear" w:color="auto" w:fill="FFFFFF" w:themeFill="background1"/>
        <w:tabs>
          <w:tab w:val="left" w:pos="0"/>
          <w:tab w:val="left" w:pos="709"/>
          <w:tab w:val="left" w:pos="1276"/>
        </w:tabs>
        <w:spacing w:line="240" w:lineRule="auto"/>
        <w:ind w:left="0" w:right="104" w:firstLine="0"/>
        <w:rPr>
          <w:rFonts w:cs="Arial"/>
          <w:b/>
        </w:rPr>
      </w:pPr>
      <w:r>
        <w:rPr>
          <w:rFonts w:cs="Arial"/>
          <w:b/>
        </w:rPr>
        <w:t>РАСШИФРОВКА УСЛОВНОГО ОБОЗНАЧЕНИЯ</w:t>
      </w:r>
    </w:p>
    <w:p>
      <w:pPr>
        <w:pStyle w:val="S0"/>
      </w:pPr>
    </w:p>
    <w:p>
      <w:pPr>
        <w:pStyle w:val="S0"/>
      </w:pPr>
      <w:r>
        <w:t>В Таблице 37 приведена расшифровка обозначений, входящих в комбинации условного обозначения пневмопривода для крана шарового.</w:t>
      </w:r>
    </w:p>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37</w:t>
      </w:r>
      <w:r>
        <w:rPr>
          <w:rFonts w:ascii="Arial" w:eastAsia="Times New Roman" w:hAnsi="Arial" w:cs="Arial"/>
          <w:b/>
          <w:bCs/>
          <w:sz w:val="20"/>
          <w:szCs w:val="20"/>
        </w:rPr>
        <w:fldChar w:fldCharType="end"/>
      </w:r>
    </w:p>
    <w:p>
      <w:pPr>
        <w:keepNext/>
        <w:spacing w:after="60"/>
        <w:jc w:val="right"/>
        <w:rPr>
          <w:rFonts w:ascii="Arial" w:eastAsia="Times New Roman" w:hAnsi="Arial" w:cs="Arial"/>
          <w:b/>
          <w:bCs/>
          <w:sz w:val="20"/>
          <w:szCs w:val="20"/>
        </w:rPr>
      </w:pPr>
      <w:r>
        <w:rPr>
          <w:rFonts w:ascii="Arial" w:eastAsia="Times New Roman" w:hAnsi="Arial" w:cs="Arial"/>
          <w:b/>
          <w:bCs/>
          <w:sz w:val="20"/>
          <w:szCs w:val="20"/>
        </w:rPr>
        <w:t>Расшифровка условного обозначения пневмопривода для крана шарового</w:t>
      </w:r>
    </w:p>
    <w:tbl>
      <w:tblPr>
        <w:tblStyle w:val="1b"/>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91"/>
        <w:gridCol w:w="1885"/>
        <w:gridCol w:w="2410"/>
        <w:gridCol w:w="2126"/>
        <w:gridCol w:w="2942"/>
      </w:tblGrid>
      <w:tr>
        <w:trPr>
          <w:trHeight w:val="510"/>
          <w:tblHeader/>
        </w:trPr>
        <w:tc>
          <w:tcPr>
            <w:tcW w:w="491" w:type="dxa"/>
            <w:tcBorders>
              <w:bottom w:val="single" w:sz="12"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w:t>
            </w:r>
          </w:p>
          <w:p>
            <w:pPr>
              <w:widowControl w:val="0"/>
              <w:jc w:val="center"/>
              <w:rPr>
                <w:rFonts w:ascii="Arial" w:eastAsia="Calibri" w:hAnsi="Arial" w:cs="Arial"/>
                <w:b/>
                <w:sz w:val="16"/>
                <w:szCs w:val="16"/>
              </w:rPr>
            </w:pPr>
            <w:r>
              <w:rPr>
                <w:rFonts w:ascii="Arial" w:eastAsia="Calibri" w:hAnsi="Arial" w:cs="Arial"/>
                <w:b/>
                <w:sz w:val="16"/>
                <w:szCs w:val="16"/>
              </w:rPr>
              <w:t>П/П</w:t>
            </w:r>
          </w:p>
        </w:tc>
        <w:tc>
          <w:tcPr>
            <w:tcW w:w="1885"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БЛОК ПАРАМЕТРОВ</w:t>
            </w:r>
          </w:p>
        </w:tc>
        <w:tc>
          <w:tcPr>
            <w:tcW w:w="2410"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ПАРАМЕТР</w:t>
            </w:r>
          </w:p>
        </w:tc>
        <w:tc>
          <w:tcPr>
            <w:tcW w:w="2126"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ОБОЗНАЧЕНИЕ</w:t>
            </w:r>
          </w:p>
        </w:tc>
        <w:tc>
          <w:tcPr>
            <w:tcW w:w="2942" w:type="dxa"/>
            <w:tcBorders>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РАСШИФРОВКА</w:t>
            </w:r>
          </w:p>
        </w:tc>
      </w:tr>
      <w:tr>
        <w:trPr>
          <w:trHeight w:val="255"/>
          <w:tblHeader/>
        </w:trPr>
        <w:tc>
          <w:tcPr>
            <w:tcW w:w="491" w:type="dxa"/>
            <w:tcBorders>
              <w:top w:val="single" w:sz="12" w:space="0" w:color="auto"/>
              <w:bottom w:val="single" w:sz="12"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1</w:t>
            </w:r>
          </w:p>
        </w:tc>
        <w:tc>
          <w:tcPr>
            <w:tcW w:w="1885"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2</w:t>
            </w:r>
          </w:p>
        </w:tc>
        <w:tc>
          <w:tcPr>
            <w:tcW w:w="2410"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3</w:t>
            </w:r>
          </w:p>
        </w:tc>
        <w:tc>
          <w:tcPr>
            <w:tcW w:w="2126"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4</w:t>
            </w:r>
          </w:p>
        </w:tc>
        <w:tc>
          <w:tcPr>
            <w:tcW w:w="2942" w:type="dxa"/>
            <w:tcBorders>
              <w:top w:val="single" w:sz="12" w:space="0" w:color="auto"/>
              <w:bottom w:val="single" w:sz="12"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5</w:t>
            </w:r>
          </w:p>
        </w:tc>
      </w:tr>
      <w:tr>
        <w:trPr>
          <w:trHeight w:val="255"/>
        </w:trPr>
        <w:tc>
          <w:tcPr>
            <w:tcW w:w="491" w:type="dxa"/>
            <w:vMerge w:val="restart"/>
          </w:tcPr>
          <w:p>
            <w:pPr>
              <w:widowControl w:val="0"/>
              <w:rPr>
                <w:rFonts w:eastAsia="Times New Roman"/>
                <w:sz w:val="20"/>
                <w:szCs w:val="20"/>
              </w:rPr>
            </w:pPr>
            <w:r>
              <w:rPr>
                <w:rFonts w:eastAsia="Times New Roman"/>
                <w:sz w:val="20"/>
                <w:szCs w:val="20"/>
              </w:rPr>
              <w:t>1</w:t>
            </w:r>
          </w:p>
        </w:tc>
        <w:tc>
          <w:tcPr>
            <w:tcW w:w="1885" w:type="dxa"/>
            <w:vMerge w:val="restart"/>
          </w:tcPr>
          <w:p>
            <w:pPr>
              <w:widowControl w:val="0"/>
              <w:rPr>
                <w:rFonts w:eastAsia="Times New Roman"/>
                <w:sz w:val="20"/>
                <w:szCs w:val="20"/>
              </w:rPr>
            </w:pPr>
            <w:r>
              <w:rPr>
                <w:rFonts w:eastAsia="Times New Roman"/>
                <w:sz w:val="20"/>
                <w:szCs w:val="20"/>
              </w:rPr>
              <w:t>Электротехнические характеристики</w:t>
            </w:r>
          </w:p>
        </w:tc>
        <w:tc>
          <w:tcPr>
            <w:tcW w:w="2410" w:type="dxa"/>
          </w:tcPr>
          <w:p>
            <w:pPr>
              <w:widowControl w:val="0"/>
              <w:jc w:val="left"/>
              <w:rPr>
                <w:rFonts w:eastAsia="Times New Roman"/>
                <w:sz w:val="20"/>
                <w:szCs w:val="20"/>
              </w:rPr>
            </w:pPr>
            <w:r>
              <w:rPr>
                <w:rFonts w:eastAsia="Times New Roman"/>
                <w:sz w:val="20"/>
                <w:szCs w:val="20"/>
              </w:rPr>
              <w:t>Сигнализаторы конечных положений</w:t>
            </w:r>
          </w:p>
        </w:tc>
        <w:tc>
          <w:tcPr>
            <w:tcW w:w="2126" w:type="dxa"/>
          </w:tcPr>
          <w:p>
            <w:pPr>
              <w:jc w:val="center"/>
              <w:rPr>
                <w:rFonts w:eastAsia="Times New Roman"/>
                <w:b/>
                <w:sz w:val="20"/>
                <w:szCs w:val="20"/>
              </w:rPr>
            </w:pPr>
            <w:r>
              <w:rPr>
                <w:rFonts w:eastAsia="Times New Roman"/>
                <w:b/>
                <w:sz w:val="20"/>
                <w:szCs w:val="20"/>
              </w:rPr>
              <w:t>24 В с.к.;</w:t>
            </w:r>
          </w:p>
          <w:p>
            <w:pPr>
              <w:jc w:val="center"/>
              <w:rPr>
                <w:rFonts w:eastAsia="Times New Roman"/>
                <w:b/>
                <w:sz w:val="20"/>
                <w:szCs w:val="20"/>
              </w:rPr>
            </w:pPr>
            <w:r>
              <w:rPr>
                <w:rFonts w:eastAsia="Times New Roman"/>
                <w:b/>
                <w:sz w:val="20"/>
                <w:szCs w:val="20"/>
              </w:rPr>
              <w:t>Namur с.к.</w:t>
            </w:r>
          </w:p>
        </w:tc>
        <w:tc>
          <w:tcPr>
            <w:tcW w:w="2942" w:type="dxa"/>
          </w:tcPr>
          <w:p>
            <w:pPr>
              <w:widowControl w:val="0"/>
              <w:ind w:left="34"/>
              <w:jc w:val="left"/>
              <w:rPr>
                <w:rFonts w:eastAsia="Times New Roman"/>
                <w:sz w:val="20"/>
                <w:szCs w:val="20"/>
              </w:rPr>
            </w:pPr>
            <w:r>
              <w:rPr>
                <w:rFonts w:eastAsia="Times New Roman"/>
                <w:sz w:val="20"/>
                <w:szCs w:val="20"/>
              </w:rPr>
              <w:t>Указывается тип сигнала и напряжение</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val="restart"/>
          </w:tcPr>
          <w:p>
            <w:pPr>
              <w:widowControl w:val="0"/>
              <w:jc w:val="left"/>
              <w:rPr>
                <w:rFonts w:eastAsia="Times New Roman"/>
                <w:sz w:val="20"/>
                <w:szCs w:val="20"/>
              </w:rPr>
            </w:pPr>
            <w:r>
              <w:rPr>
                <w:rFonts w:eastAsia="Times New Roman"/>
                <w:sz w:val="20"/>
                <w:szCs w:val="20"/>
              </w:rPr>
              <w:t>Вид взрывозащиты сигнализатора конечных положений</w:t>
            </w:r>
          </w:p>
        </w:tc>
        <w:tc>
          <w:tcPr>
            <w:tcW w:w="2126" w:type="dxa"/>
          </w:tcPr>
          <w:p>
            <w:pPr>
              <w:jc w:val="center"/>
              <w:rPr>
                <w:rFonts w:eastAsia="Times New Roman"/>
                <w:b/>
                <w:sz w:val="20"/>
                <w:szCs w:val="20"/>
              </w:rPr>
            </w:pPr>
            <w:r>
              <w:rPr>
                <w:rFonts w:eastAsia="Times New Roman"/>
                <w:b/>
                <w:sz w:val="20"/>
                <w:szCs w:val="20"/>
                <w:lang w:val="en-US"/>
              </w:rPr>
              <w:t>Exd</w:t>
            </w:r>
            <w:r>
              <w:rPr>
                <w:rFonts w:eastAsia="Times New Roman"/>
                <w:b/>
                <w:sz w:val="20"/>
                <w:szCs w:val="20"/>
              </w:rPr>
              <w:t>;</w:t>
            </w:r>
          </w:p>
        </w:tc>
        <w:tc>
          <w:tcPr>
            <w:tcW w:w="2942" w:type="dxa"/>
          </w:tcPr>
          <w:p>
            <w:pPr>
              <w:widowControl w:val="0"/>
              <w:ind w:left="34"/>
              <w:jc w:val="left"/>
              <w:rPr>
                <w:rFonts w:eastAsia="Times New Roman"/>
                <w:sz w:val="20"/>
                <w:szCs w:val="20"/>
              </w:rPr>
            </w:pPr>
            <w:r>
              <w:rPr>
                <w:rFonts w:eastAsia="Times New Roman"/>
                <w:sz w:val="20"/>
                <w:szCs w:val="20"/>
              </w:rPr>
              <w:t xml:space="preserve">Взрывонепроницаемая оболочка </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rPr>
            </w:pPr>
          </w:p>
        </w:tc>
        <w:tc>
          <w:tcPr>
            <w:tcW w:w="2126" w:type="dxa"/>
          </w:tcPr>
          <w:p>
            <w:pPr>
              <w:jc w:val="center"/>
              <w:rPr>
                <w:rFonts w:eastAsia="Times New Roman"/>
                <w:b/>
                <w:sz w:val="20"/>
                <w:szCs w:val="20"/>
              </w:rPr>
            </w:pPr>
            <w:r>
              <w:rPr>
                <w:rFonts w:eastAsia="Times New Roman"/>
                <w:b/>
                <w:sz w:val="20"/>
                <w:szCs w:val="20"/>
                <w:lang w:val="en-US"/>
              </w:rPr>
              <w:t>Exi</w:t>
            </w:r>
            <w:r>
              <w:rPr>
                <w:rFonts w:eastAsia="Times New Roman"/>
                <w:b/>
                <w:sz w:val="20"/>
                <w:szCs w:val="20"/>
              </w:rPr>
              <w:t>;</w:t>
            </w:r>
          </w:p>
        </w:tc>
        <w:tc>
          <w:tcPr>
            <w:tcW w:w="2942" w:type="dxa"/>
          </w:tcPr>
          <w:p>
            <w:pPr>
              <w:widowControl w:val="0"/>
              <w:ind w:left="34"/>
              <w:jc w:val="left"/>
              <w:rPr>
                <w:rFonts w:eastAsia="Times New Roman"/>
                <w:sz w:val="20"/>
                <w:szCs w:val="20"/>
              </w:rPr>
            </w:pPr>
            <w:r>
              <w:rPr>
                <w:rFonts w:eastAsia="Times New Roman"/>
                <w:sz w:val="20"/>
                <w:szCs w:val="20"/>
              </w:rPr>
              <w:t>Искробезопасная цепь</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rPr>
            </w:pPr>
          </w:p>
        </w:tc>
        <w:tc>
          <w:tcPr>
            <w:tcW w:w="2126" w:type="dxa"/>
          </w:tcPr>
          <w:p>
            <w:pPr>
              <w:jc w:val="center"/>
              <w:rPr>
                <w:rFonts w:eastAsia="Times New Roman"/>
                <w:b/>
                <w:sz w:val="20"/>
                <w:szCs w:val="20"/>
                <w:lang w:val="en-US"/>
              </w:rPr>
            </w:pPr>
            <w:r>
              <w:rPr>
                <w:rFonts w:eastAsia="Times New Roman"/>
                <w:b/>
                <w:sz w:val="20"/>
                <w:szCs w:val="20"/>
              </w:rPr>
              <w:t>Общепром</w:t>
            </w:r>
          </w:p>
        </w:tc>
        <w:tc>
          <w:tcPr>
            <w:tcW w:w="2942" w:type="dxa"/>
          </w:tcPr>
          <w:p>
            <w:pPr>
              <w:widowControl w:val="0"/>
              <w:ind w:left="34"/>
              <w:jc w:val="left"/>
              <w:rPr>
                <w:rFonts w:eastAsia="Times New Roman"/>
                <w:sz w:val="20"/>
                <w:szCs w:val="20"/>
              </w:rPr>
            </w:pPr>
            <w:r>
              <w:rPr>
                <w:rFonts w:eastAsia="Times New Roman"/>
                <w:sz w:val="20"/>
                <w:szCs w:val="20"/>
              </w:rPr>
              <w:t>Без взрывозащиты</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val="restart"/>
          </w:tcPr>
          <w:p>
            <w:pPr>
              <w:widowControl w:val="0"/>
              <w:jc w:val="left"/>
              <w:rPr>
                <w:rFonts w:eastAsia="Times New Roman"/>
                <w:sz w:val="20"/>
                <w:szCs w:val="20"/>
              </w:rPr>
            </w:pPr>
            <w:r>
              <w:rPr>
                <w:rFonts w:eastAsia="Times New Roman"/>
                <w:sz w:val="20"/>
                <w:szCs w:val="20"/>
              </w:rPr>
              <w:t>Вид взрывозащиты электромагнитного клапана</w:t>
            </w:r>
          </w:p>
        </w:tc>
        <w:tc>
          <w:tcPr>
            <w:tcW w:w="2126" w:type="dxa"/>
          </w:tcPr>
          <w:p>
            <w:pPr>
              <w:jc w:val="center"/>
              <w:rPr>
                <w:rFonts w:eastAsia="Times New Roman"/>
                <w:b/>
                <w:sz w:val="20"/>
                <w:szCs w:val="20"/>
              </w:rPr>
            </w:pPr>
            <w:r>
              <w:rPr>
                <w:rFonts w:eastAsia="Times New Roman"/>
                <w:b/>
                <w:sz w:val="20"/>
                <w:szCs w:val="20"/>
                <w:lang w:val="en-US"/>
              </w:rPr>
              <w:t>Exd</w:t>
            </w:r>
            <w:r>
              <w:rPr>
                <w:rFonts w:eastAsia="Times New Roman"/>
                <w:b/>
                <w:sz w:val="20"/>
                <w:szCs w:val="20"/>
              </w:rPr>
              <w:t>;</w:t>
            </w:r>
          </w:p>
        </w:tc>
        <w:tc>
          <w:tcPr>
            <w:tcW w:w="2942" w:type="dxa"/>
          </w:tcPr>
          <w:p>
            <w:pPr>
              <w:widowControl w:val="0"/>
              <w:ind w:left="34"/>
              <w:jc w:val="left"/>
              <w:rPr>
                <w:rFonts w:eastAsia="Times New Roman"/>
                <w:sz w:val="20"/>
                <w:szCs w:val="20"/>
              </w:rPr>
            </w:pPr>
            <w:r>
              <w:rPr>
                <w:rFonts w:eastAsia="Times New Roman"/>
                <w:sz w:val="20"/>
                <w:szCs w:val="20"/>
              </w:rPr>
              <w:t xml:space="preserve">Взрывонепроницаемая оболочка </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rPr>
            </w:pPr>
          </w:p>
        </w:tc>
        <w:tc>
          <w:tcPr>
            <w:tcW w:w="2126" w:type="dxa"/>
          </w:tcPr>
          <w:p>
            <w:pPr>
              <w:jc w:val="center"/>
              <w:rPr>
                <w:rFonts w:eastAsia="Times New Roman"/>
                <w:b/>
                <w:sz w:val="20"/>
                <w:szCs w:val="20"/>
              </w:rPr>
            </w:pPr>
            <w:r>
              <w:rPr>
                <w:rFonts w:eastAsia="Times New Roman"/>
                <w:b/>
                <w:sz w:val="20"/>
                <w:szCs w:val="20"/>
              </w:rPr>
              <w:t>Общепром</w:t>
            </w:r>
          </w:p>
        </w:tc>
        <w:tc>
          <w:tcPr>
            <w:tcW w:w="2942" w:type="dxa"/>
          </w:tcPr>
          <w:p>
            <w:pPr>
              <w:widowControl w:val="0"/>
              <w:ind w:left="34"/>
              <w:jc w:val="left"/>
              <w:rPr>
                <w:rFonts w:eastAsia="Times New Roman"/>
                <w:sz w:val="20"/>
                <w:szCs w:val="20"/>
              </w:rPr>
            </w:pPr>
            <w:r>
              <w:rPr>
                <w:rFonts w:eastAsia="Times New Roman"/>
                <w:sz w:val="20"/>
                <w:szCs w:val="20"/>
              </w:rPr>
              <w:t>Без взрывозащиты</w:t>
            </w:r>
          </w:p>
        </w:tc>
      </w:tr>
      <w:tr>
        <w:trPr>
          <w:trHeight w:val="255"/>
        </w:trPr>
        <w:tc>
          <w:tcPr>
            <w:tcW w:w="491" w:type="dxa"/>
            <w:vMerge w:val="restart"/>
          </w:tcPr>
          <w:p>
            <w:pPr>
              <w:widowControl w:val="0"/>
              <w:rPr>
                <w:rFonts w:eastAsia="Times New Roman"/>
                <w:sz w:val="20"/>
                <w:szCs w:val="20"/>
                <w:lang w:eastAsia="en-US"/>
              </w:rPr>
            </w:pPr>
            <w:r>
              <w:rPr>
                <w:rFonts w:eastAsia="Times New Roman"/>
                <w:sz w:val="20"/>
                <w:szCs w:val="20"/>
                <w:lang w:eastAsia="en-US"/>
              </w:rPr>
              <w:t>2</w:t>
            </w:r>
          </w:p>
        </w:tc>
        <w:tc>
          <w:tcPr>
            <w:tcW w:w="1885" w:type="dxa"/>
            <w:vMerge w:val="restart"/>
          </w:tcPr>
          <w:p>
            <w:pPr>
              <w:widowControl w:val="0"/>
              <w:rPr>
                <w:rFonts w:eastAsia="Times New Roman"/>
                <w:sz w:val="20"/>
                <w:szCs w:val="20"/>
              </w:rPr>
            </w:pPr>
            <w:r>
              <w:rPr>
                <w:rFonts w:eastAsia="Times New Roman"/>
                <w:sz w:val="20"/>
                <w:szCs w:val="20"/>
              </w:rPr>
              <w:t>Положение безопасности</w:t>
            </w:r>
          </w:p>
        </w:tc>
        <w:tc>
          <w:tcPr>
            <w:tcW w:w="2410" w:type="dxa"/>
            <w:vMerge w:val="restart"/>
          </w:tcPr>
          <w:p>
            <w:pPr>
              <w:widowControl w:val="0"/>
              <w:jc w:val="left"/>
              <w:rPr>
                <w:rFonts w:eastAsia="Times New Roman"/>
                <w:sz w:val="20"/>
                <w:szCs w:val="20"/>
              </w:rPr>
            </w:pPr>
            <w:r>
              <w:rPr>
                <w:rFonts w:eastAsia="Times New Roman"/>
                <w:sz w:val="20"/>
                <w:szCs w:val="20"/>
              </w:rPr>
              <w:t>Состояние</w:t>
            </w:r>
          </w:p>
        </w:tc>
        <w:tc>
          <w:tcPr>
            <w:tcW w:w="2126" w:type="dxa"/>
          </w:tcPr>
          <w:p>
            <w:pPr>
              <w:jc w:val="center"/>
              <w:rPr>
                <w:rFonts w:eastAsia="Times New Roman"/>
                <w:b/>
                <w:sz w:val="20"/>
                <w:szCs w:val="20"/>
              </w:rPr>
            </w:pPr>
            <w:r>
              <w:rPr>
                <w:rFonts w:eastAsia="Times New Roman"/>
                <w:b/>
                <w:sz w:val="20"/>
                <w:szCs w:val="20"/>
              </w:rPr>
              <w:t>Закрыт</w:t>
            </w:r>
          </w:p>
        </w:tc>
        <w:tc>
          <w:tcPr>
            <w:tcW w:w="2942" w:type="dxa"/>
            <w:vMerge w:val="restart"/>
          </w:tcPr>
          <w:p>
            <w:pPr>
              <w:widowControl w:val="0"/>
              <w:ind w:left="34"/>
              <w:jc w:val="left"/>
              <w:rPr>
                <w:rFonts w:eastAsia="Times New Roman"/>
                <w:sz w:val="20"/>
                <w:szCs w:val="20"/>
              </w:rPr>
            </w:pPr>
            <w:r>
              <w:rPr>
                <w:rFonts w:eastAsia="Times New Roman"/>
                <w:sz w:val="20"/>
                <w:szCs w:val="20"/>
              </w:rPr>
              <w:t>Указать положение при отсутствии давления воздуха</w:t>
            </w: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highlight w:val="yellow"/>
              </w:rPr>
            </w:pPr>
          </w:p>
        </w:tc>
        <w:tc>
          <w:tcPr>
            <w:tcW w:w="2126" w:type="dxa"/>
          </w:tcPr>
          <w:p>
            <w:pPr>
              <w:jc w:val="center"/>
              <w:rPr>
                <w:rFonts w:eastAsia="Times New Roman"/>
                <w:b/>
                <w:sz w:val="20"/>
                <w:szCs w:val="20"/>
                <w:highlight w:val="yellow"/>
              </w:rPr>
            </w:pPr>
            <w:r>
              <w:rPr>
                <w:rFonts w:eastAsia="Times New Roman"/>
                <w:b/>
                <w:sz w:val="20"/>
                <w:szCs w:val="20"/>
              </w:rPr>
              <w:t>Открыт</w:t>
            </w:r>
          </w:p>
        </w:tc>
        <w:tc>
          <w:tcPr>
            <w:tcW w:w="2942" w:type="dxa"/>
            <w:vMerge/>
          </w:tcPr>
          <w:p>
            <w:pPr>
              <w:widowControl w:val="0"/>
              <w:ind w:left="34"/>
              <w:jc w:val="left"/>
              <w:rPr>
                <w:rFonts w:eastAsia="Times New Roman"/>
                <w:sz w:val="20"/>
                <w:szCs w:val="20"/>
                <w:highlight w:val="yellow"/>
              </w:rPr>
            </w:pP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highlight w:val="yellow"/>
              </w:rPr>
            </w:pPr>
          </w:p>
        </w:tc>
        <w:tc>
          <w:tcPr>
            <w:tcW w:w="2126" w:type="dxa"/>
          </w:tcPr>
          <w:p>
            <w:pPr>
              <w:jc w:val="center"/>
              <w:rPr>
                <w:rFonts w:eastAsia="Times New Roman"/>
                <w:b/>
                <w:sz w:val="20"/>
                <w:szCs w:val="20"/>
                <w:highlight w:val="yellow"/>
              </w:rPr>
            </w:pPr>
            <w:r>
              <w:rPr>
                <w:rFonts w:eastAsia="Times New Roman"/>
                <w:b/>
                <w:sz w:val="20"/>
                <w:szCs w:val="20"/>
              </w:rPr>
              <w:t>Фиксированное положение</w:t>
            </w:r>
          </w:p>
        </w:tc>
        <w:tc>
          <w:tcPr>
            <w:tcW w:w="2942" w:type="dxa"/>
            <w:vMerge/>
          </w:tcPr>
          <w:p>
            <w:pPr>
              <w:widowControl w:val="0"/>
              <w:ind w:left="34"/>
              <w:jc w:val="left"/>
              <w:rPr>
                <w:rFonts w:eastAsia="Times New Roman"/>
                <w:sz w:val="20"/>
                <w:szCs w:val="20"/>
                <w:highlight w:val="yellow"/>
              </w:rPr>
            </w:pPr>
          </w:p>
        </w:tc>
      </w:tr>
      <w:tr>
        <w:trPr>
          <w:trHeight w:val="255"/>
        </w:trPr>
        <w:tc>
          <w:tcPr>
            <w:tcW w:w="491" w:type="dxa"/>
            <w:vMerge/>
          </w:tcPr>
          <w:p>
            <w:pPr>
              <w:widowControl w:val="0"/>
              <w:rPr>
                <w:rFonts w:eastAsia="Times New Roman"/>
                <w:sz w:val="20"/>
                <w:szCs w:val="20"/>
              </w:rPr>
            </w:pPr>
          </w:p>
        </w:tc>
        <w:tc>
          <w:tcPr>
            <w:tcW w:w="1885" w:type="dxa"/>
            <w:vMerge/>
          </w:tcPr>
          <w:p>
            <w:pPr>
              <w:widowControl w:val="0"/>
              <w:rPr>
                <w:rFonts w:eastAsia="Times New Roman"/>
                <w:sz w:val="20"/>
                <w:szCs w:val="20"/>
              </w:rPr>
            </w:pPr>
          </w:p>
        </w:tc>
        <w:tc>
          <w:tcPr>
            <w:tcW w:w="2410" w:type="dxa"/>
            <w:vMerge/>
          </w:tcPr>
          <w:p>
            <w:pPr>
              <w:widowControl w:val="0"/>
              <w:jc w:val="left"/>
              <w:rPr>
                <w:rFonts w:eastAsia="Times New Roman"/>
                <w:sz w:val="20"/>
                <w:szCs w:val="20"/>
                <w:highlight w:val="yellow"/>
              </w:rPr>
            </w:pPr>
          </w:p>
        </w:tc>
        <w:tc>
          <w:tcPr>
            <w:tcW w:w="2126" w:type="dxa"/>
          </w:tcPr>
          <w:p>
            <w:pPr>
              <w:jc w:val="center"/>
              <w:rPr>
                <w:rFonts w:eastAsia="Times New Roman"/>
                <w:b/>
                <w:sz w:val="20"/>
                <w:szCs w:val="20"/>
                <w:highlight w:val="yellow"/>
              </w:rPr>
            </w:pPr>
            <w:r>
              <w:rPr>
                <w:rFonts w:eastAsia="Times New Roman"/>
                <w:b/>
                <w:sz w:val="20"/>
                <w:szCs w:val="20"/>
              </w:rPr>
              <w:t>Двойного действия</w:t>
            </w:r>
          </w:p>
        </w:tc>
        <w:tc>
          <w:tcPr>
            <w:tcW w:w="2942" w:type="dxa"/>
            <w:vMerge/>
          </w:tcPr>
          <w:p>
            <w:pPr>
              <w:widowControl w:val="0"/>
              <w:ind w:left="34"/>
              <w:jc w:val="left"/>
              <w:rPr>
                <w:rFonts w:eastAsia="Times New Roman"/>
                <w:sz w:val="20"/>
                <w:szCs w:val="20"/>
                <w:highlight w:val="yellow"/>
              </w:rPr>
            </w:pPr>
          </w:p>
        </w:tc>
      </w:tr>
      <w:tr>
        <w:trPr>
          <w:trHeight w:val="255"/>
        </w:trPr>
        <w:tc>
          <w:tcPr>
            <w:tcW w:w="491" w:type="dxa"/>
          </w:tcPr>
          <w:p>
            <w:pPr>
              <w:widowControl w:val="0"/>
              <w:rPr>
                <w:rFonts w:eastAsia="Times New Roman"/>
                <w:sz w:val="20"/>
                <w:szCs w:val="20"/>
              </w:rPr>
            </w:pPr>
            <w:r>
              <w:rPr>
                <w:rFonts w:eastAsia="Times New Roman"/>
                <w:sz w:val="20"/>
                <w:szCs w:val="20"/>
              </w:rPr>
              <w:t>3</w:t>
            </w:r>
          </w:p>
        </w:tc>
        <w:tc>
          <w:tcPr>
            <w:tcW w:w="1885" w:type="dxa"/>
          </w:tcPr>
          <w:p>
            <w:pPr>
              <w:widowControl w:val="0"/>
              <w:rPr>
                <w:rFonts w:eastAsia="Times New Roman"/>
                <w:sz w:val="20"/>
                <w:szCs w:val="20"/>
              </w:rPr>
            </w:pPr>
            <w:r>
              <w:rPr>
                <w:rFonts w:eastAsia="Times New Roman"/>
                <w:sz w:val="20"/>
                <w:szCs w:val="20"/>
              </w:rPr>
              <w:t>Ручной дублер</w:t>
            </w:r>
          </w:p>
        </w:tc>
        <w:tc>
          <w:tcPr>
            <w:tcW w:w="2410" w:type="dxa"/>
          </w:tcPr>
          <w:p>
            <w:pPr>
              <w:widowControl w:val="0"/>
              <w:jc w:val="left"/>
              <w:rPr>
                <w:rFonts w:eastAsia="Times New Roman"/>
                <w:sz w:val="20"/>
                <w:szCs w:val="20"/>
                <w:highlight w:val="yellow"/>
              </w:rPr>
            </w:pPr>
            <w:r>
              <w:rPr>
                <w:rFonts w:eastAsia="Times New Roman"/>
                <w:sz w:val="20"/>
                <w:szCs w:val="20"/>
              </w:rPr>
              <w:t>Тип</w:t>
            </w:r>
          </w:p>
        </w:tc>
        <w:tc>
          <w:tcPr>
            <w:tcW w:w="2126" w:type="dxa"/>
          </w:tcPr>
          <w:p>
            <w:pPr>
              <w:jc w:val="center"/>
              <w:rPr>
                <w:rFonts w:eastAsia="Times New Roman"/>
                <w:b/>
                <w:sz w:val="20"/>
                <w:szCs w:val="20"/>
                <w:highlight w:val="yellow"/>
              </w:rPr>
            </w:pPr>
            <w:r>
              <w:rPr>
                <w:rFonts w:eastAsia="Times New Roman"/>
                <w:b/>
                <w:sz w:val="20"/>
                <w:szCs w:val="20"/>
              </w:rPr>
              <w:t>Механический; гидравлический.</w:t>
            </w:r>
          </w:p>
        </w:tc>
        <w:tc>
          <w:tcPr>
            <w:tcW w:w="2942" w:type="dxa"/>
          </w:tcPr>
          <w:p>
            <w:pPr>
              <w:widowControl w:val="0"/>
              <w:ind w:left="34"/>
              <w:jc w:val="left"/>
              <w:rPr>
                <w:rFonts w:eastAsia="Times New Roman"/>
                <w:sz w:val="20"/>
                <w:szCs w:val="20"/>
                <w:highlight w:val="yellow"/>
              </w:rPr>
            </w:pPr>
            <w:r>
              <w:rPr>
                <w:rFonts w:eastAsia="Times New Roman"/>
                <w:sz w:val="20"/>
                <w:szCs w:val="20"/>
              </w:rPr>
              <w:t>Указывается тип ручного дублера</w:t>
            </w:r>
          </w:p>
        </w:tc>
      </w:tr>
    </w:tbl>
    <w:p>
      <w:pPr>
        <w:tabs>
          <w:tab w:val="left" w:pos="945"/>
        </w:tabs>
        <w:rPr>
          <w:rFonts w:asciiTheme="majorBidi" w:hAnsiTheme="majorBidi" w:cstheme="majorBidi"/>
        </w:rPr>
        <w:sectPr>
          <w:pgSz w:w="11906" w:h="16838"/>
          <w:pgMar w:top="510" w:right="1021" w:bottom="567" w:left="1247" w:header="737" w:footer="680" w:gutter="0"/>
          <w:cols w:space="720"/>
          <w:docGrid w:linePitch="360"/>
        </w:sectPr>
      </w:pPr>
    </w:p>
    <w:p>
      <w:pPr>
        <w:pStyle w:val="S0"/>
      </w:pPr>
      <w:r>
        <w:lastRenderedPageBreak/>
        <w:t>В Таблице 38 приведены комбинации обозначения пневмопривода для крана шарового</w:t>
      </w:r>
    </w:p>
    <w:p>
      <w:pPr>
        <w:pStyle w:val="S0"/>
      </w:pPr>
    </w:p>
    <w:p>
      <w:pPr>
        <w:keepNext/>
        <w:ind w:right="-1"/>
        <w:jc w:val="right"/>
        <w:rPr>
          <w:rFonts w:ascii="Arial" w:eastAsia="Times New Roman" w:hAnsi="Arial" w:cs="Arial"/>
          <w:b/>
          <w:bCs/>
          <w:sz w:val="20"/>
          <w:szCs w:val="20"/>
        </w:rPr>
      </w:pPr>
      <w:r>
        <w:rPr>
          <w:rFonts w:ascii="Arial" w:eastAsia="Times New Roman" w:hAnsi="Arial" w:cs="Arial"/>
          <w:b/>
          <w:bCs/>
          <w:sz w:val="20"/>
          <w:szCs w:val="20"/>
        </w:rPr>
        <w:t xml:space="preserve">Таблица </w:t>
      </w:r>
      <w:r>
        <w:rPr>
          <w:rFonts w:ascii="Arial" w:eastAsia="Times New Roman" w:hAnsi="Arial" w:cs="Arial"/>
          <w:b/>
          <w:bCs/>
          <w:sz w:val="20"/>
          <w:szCs w:val="20"/>
        </w:rPr>
        <w:fldChar w:fldCharType="begin"/>
      </w:r>
      <w:r>
        <w:rPr>
          <w:rFonts w:ascii="Arial" w:eastAsia="Times New Roman" w:hAnsi="Arial" w:cs="Arial"/>
          <w:b/>
          <w:bCs/>
          <w:sz w:val="20"/>
          <w:szCs w:val="20"/>
        </w:rPr>
        <w:instrText xml:space="preserve"> SEQ Таблица \* ARABIC </w:instrText>
      </w:r>
      <w:r>
        <w:rPr>
          <w:rFonts w:ascii="Arial" w:eastAsia="Times New Roman" w:hAnsi="Arial" w:cs="Arial"/>
          <w:b/>
          <w:bCs/>
          <w:sz w:val="20"/>
          <w:szCs w:val="20"/>
        </w:rPr>
        <w:fldChar w:fldCharType="separate"/>
      </w:r>
      <w:r>
        <w:rPr>
          <w:rFonts w:ascii="Arial" w:eastAsia="Times New Roman" w:hAnsi="Arial" w:cs="Arial"/>
          <w:b/>
          <w:bCs/>
          <w:noProof/>
          <w:sz w:val="20"/>
          <w:szCs w:val="20"/>
        </w:rPr>
        <w:t>38</w:t>
      </w:r>
      <w:r>
        <w:rPr>
          <w:rFonts w:ascii="Arial" w:eastAsia="Times New Roman" w:hAnsi="Arial" w:cs="Arial"/>
          <w:b/>
          <w:bCs/>
          <w:sz w:val="20"/>
          <w:szCs w:val="20"/>
        </w:rPr>
        <w:fldChar w:fldCharType="end"/>
      </w:r>
    </w:p>
    <w:tbl>
      <w:tblPr>
        <w:tblStyle w:val="aff6"/>
        <w:tblpPr w:leftFromText="180" w:rightFromText="180" w:vertAnchor="text" w:horzAnchor="margin" w:tblpY="320"/>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31"/>
        <w:gridCol w:w="1420"/>
        <w:gridCol w:w="1701"/>
        <w:gridCol w:w="2268"/>
        <w:gridCol w:w="2693"/>
        <w:gridCol w:w="1276"/>
        <w:gridCol w:w="2693"/>
        <w:gridCol w:w="1560"/>
        <w:gridCol w:w="1835"/>
      </w:tblGrid>
      <w:tr>
        <w:trPr>
          <w:trHeight w:val="397"/>
        </w:trPr>
        <w:tc>
          <w:tcPr>
            <w:tcW w:w="531" w:type="dxa"/>
            <w:vMerge w:val="restart"/>
            <w:tcBorders>
              <w:top w:val="single" w:sz="12" w:space="0" w:color="auto"/>
              <w:left w:val="single" w:sz="12" w:space="0" w:color="auto"/>
            </w:tcBorders>
            <w:shd w:val="clear" w:color="auto" w:fill="FFD200"/>
            <w:vAlign w:val="center"/>
          </w:tcPr>
          <w:p>
            <w:pPr>
              <w:widowControl w:val="0"/>
              <w:ind w:right="-45"/>
              <w:jc w:val="center"/>
              <w:rPr>
                <w:rFonts w:ascii="Arial" w:eastAsia="Calibri" w:hAnsi="Arial" w:cs="Arial"/>
                <w:b/>
                <w:sz w:val="16"/>
                <w:szCs w:val="16"/>
              </w:rPr>
            </w:pPr>
            <w:r>
              <w:rPr>
                <w:rFonts w:ascii="Arial" w:eastAsia="Calibri" w:hAnsi="Arial" w:cs="Arial"/>
                <w:b/>
                <w:sz w:val="16"/>
                <w:szCs w:val="16"/>
              </w:rPr>
              <w:t>№</w:t>
            </w:r>
          </w:p>
          <w:p>
            <w:pPr>
              <w:widowControl w:val="0"/>
              <w:ind w:right="-45"/>
              <w:jc w:val="center"/>
              <w:rPr>
                <w:rFonts w:ascii="Arial" w:eastAsia="Calibri" w:hAnsi="Arial" w:cs="Arial"/>
                <w:b/>
                <w:sz w:val="16"/>
                <w:szCs w:val="16"/>
              </w:rPr>
            </w:pPr>
            <w:r>
              <w:rPr>
                <w:rFonts w:ascii="Arial" w:eastAsia="Calibri" w:hAnsi="Arial" w:cs="Arial"/>
                <w:b/>
                <w:sz w:val="16"/>
                <w:szCs w:val="16"/>
              </w:rPr>
              <w:t>П/П</w:t>
            </w:r>
          </w:p>
        </w:tc>
        <w:tc>
          <w:tcPr>
            <w:tcW w:w="8082" w:type="dxa"/>
            <w:gridSpan w:val="4"/>
            <w:tcBorders>
              <w:top w:val="single" w:sz="12" w:space="0" w:color="auto"/>
              <w:bottom w:val="single" w:sz="6"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ЭЛЕКТРОТЕХНИЧЕСКИЕ ХАРАКТЕРИСТИКИ</w:t>
            </w:r>
          </w:p>
        </w:tc>
        <w:tc>
          <w:tcPr>
            <w:tcW w:w="3969" w:type="dxa"/>
            <w:gridSpan w:val="2"/>
            <w:tcBorders>
              <w:top w:val="single" w:sz="12" w:space="0" w:color="auto"/>
              <w:bottom w:val="single" w:sz="6"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ПОЛОЖЕНИЕ БЕЗОПАСНОСТИ</w:t>
            </w:r>
          </w:p>
        </w:tc>
        <w:tc>
          <w:tcPr>
            <w:tcW w:w="3395" w:type="dxa"/>
            <w:gridSpan w:val="2"/>
            <w:tcBorders>
              <w:top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РУЧНОЙ ДУБЛЕР</w:t>
            </w:r>
          </w:p>
        </w:tc>
      </w:tr>
      <w:tr>
        <w:trPr>
          <w:trHeight w:val="737"/>
        </w:trPr>
        <w:tc>
          <w:tcPr>
            <w:tcW w:w="531" w:type="dxa"/>
            <w:vMerge/>
            <w:tcBorders>
              <w:left w:val="single" w:sz="12" w:space="0" w:color="auto"/>
              <w:bottom w:val="single" w:sz="12" w:space="0" w:color="auto"/>
            </w:tcBorders>
            <w:shd w:val="clear" w:color="auto" w:fill="FFD200"/>
            <w:vAlign w:val="center"/>
          </w:tcPr>
          <w:p>
            <w:pPr>
              <w:widowControl w:val="0"/>
              <w:jc w:val="center"/>
              <w:rPr>
                <w:rFonts w:ascii="Arial" w:eastAsia="Calibri" w:hAnsi="Arial" w:cs="Arial"/>
                <w:b/>
                <w:sz w:val="16"/>
                <w:szCs w:val="16"/>
              </w:rPr>
            </w:pPr>
          </w:p>
        </w:tc>
        <w:tc>
          <w:tcPr>
            <w:tcW w:w="1420" w:type="dxa"/>
            <w:tcBorders>
              <w:bottom w:val="single" w:sz="12" w:space="0" w:color="auto"/>
              <w:right w:val="single" w:sz="6"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ОБОЗНАЧЕНИЕ КОМБИНАЦИИ</w:t>
            </w:r>
          </w:p>
          <w:p>
            <w:pPr>
              <w:widowControl w:val="0"/>
              <w:ind w:left="-108" w:right="-108"/>
              <w:jc w:val="center"/>
              <w:rPr>
                <w:rFonts w:ascii="Arial" w:eastAsia="Calibri" w:hAnsi="Arial" w:cs="Arial"/>
                <w:b/>
                <w:sz w:val="14"/>
                <w:szCs w:val="14"/>
              </w:rPr>
            </w:pPr>
            <w:r>
              <w:rPr>
                <w:rFonts w:ascii="Arial" w:eastAsia="Calibri" w:hAnsi="Arial" w:cs="Arial"/>
                <w:b/>
                <w:sz w:val="14"/>
                <w:szCs w:val="14"/>
              </w:rPr>
              <w:t xml:space="preserve"> (Х)</w:t>
            </w:r>
          </w:p>
        </w:tc>
        <w:tc>
          <w:tcPr>
            <w:tcW w:w="1701" w:type="dxa"/>
            <w:tcBorders>
              <w:left w:val="single" w:sz="6" w:space="0" w:color="auto"/>
              <w:bottom w:val="single" w:sz="12" w:space="0" w:color="auto"/>
              <w:right w:val="single" w:sz="6"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СИГНАЛЫ КОНЕЧНЫХ ПОЛОЖЕНИЙ</w:t>
            </w:r>
          </w:p>
          <w:p>
            <w:pPr>
              <w:widowControl w:val="0"/>
              <w:ind w:left="-108" w:right="-108"/>
              <w:jc w:val="center"/>
              <w:rPr>
                <w:rFonts w:ascii="Arial" w:eastAsia="Calibri" w:hAnsi="Arial" w:cs="Arial"/>
                <w:b/>
                <w:sz w:val="14"/>
                <w:szCs w:val="14"/>
              </w:rPr>
            </w:pPr>
            <w:r>
              <w:rPr>
                <w:rFonts w:ascii="Arial" w:eastAsia="Calibri" w:hAnsi="Arial" w:cs="Arial"/>
                <w:b/>
                <w:sz w:val="14"/>
                <w:szCs w:val="14"/>
              </w:rPr>
              <w:t>ОТКРЫТО/ЗАКРЫТО</w:t>
            </w:r>
          </w:p>
        </w:tc>
        <w:tc>
          <w:tcPr>
            <w:tcW w:w="2268" w:type="dxa"/>
            <w:tcBorders>
              <w:left w:val="single" w:sz="6" w:space="0" w:color="auto"/>
              <w:bottom w:val="single" w:sz="12" w:space="0" w:color="auto"/>
              <w:right w:val="single" w:sz="6"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ВИД ВЗРЫВОЗАЩИТЫ СИГНАЛИЗАТОРА КОНЕЧНЫХ ПОЛОЖЕНИЙ</w:t>
            </w:r>
          </w:p>
        </w:tc>
        <w:tc>
          <w:tcPr>
            <w:tcW w:w="2693" w:type="dxa"/>
            <w:tcBorders>
              <w:left w:val="single" w:sz="6" w:space="0" w:color="auto"/>
              <w:bottom w:val="single" w:sz="12" w:space="0" w:color="auto"/>
              <w:right w:val="single" w:sz="12" w:space="0" w:color="auto"/>
            </w:tcBorders>
            <w:shd w:val="clear" w:color="auto" w:fill="FFD200"/>
            <w:vAlign w:val="center"/>
          </w:tcPr>
          <w:p>
            <w:pPr>
              <w:widowControl w:val="0"/>
              <w:ind w:left="-108" w:right="-31"/>
              <w:jc w:val="center"/>
              <w:rPr>
                <w:rFonts w:ascii="Arial" w:eastAsia="Calibri" w:hAnsi="Arial" w:cs="Arial"/>
                <w:b/>
                <w:sz w:val="14"/>
                <w:szCs w:val="14"/>
              </w:rPr>
            </w:pPr>
            <w:r>
              <w:rPr>
                <w:rFonts w:ascii="Arial" w:eastAsia="Calibri" w:hAnsi="Arial" w:cs="Arial"/>
                <w:b/>
                <w:sz w:val="14"/>
                <w:szCs w:val="14"/>
              </w:rPr>
              <w:t>ВИД ВЗРЫВОЗАЩИТЫ ЭЛЕКТРОМАГНИТНОГО КЛАПАНА</w:t>
            </w:r>
          </w:p>
        </w:tc>
        <w:tc>
          <w:tcPr>
            <w:tcW w:w="1276" w:type="dxa"/>
            <w:tcBorders>
              <w:left w:val="single" w:sz="12" w:space="0" w:color="auto"/>
              <w:bottom w:val="single" w:sz="12" w:space="0" w:color="auto"/>
              <w:right w:val="single" w:sz="6"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ОБОЗНАЧЕНИЕ КОМБИНАЦИИ</w:t>
            </w:r>
          </w:p>
          <w:p>
            <w:pPr>
              <w:widowControl w:val="0"/>
              <w:ind w:left="-108" w:right="-31"/>
              <w:jc w:val="center"/>
              <w:rPr>
                <w:rFonts w:ascii="Arial" w:eastAsia="Calibri" w:hAnsi="Arial" w:cs="Arial"/>
                <w:b/>
                <w:sz w:val="14"/>
                <w:szCs w:val="14"/>
              </w:rPr>
            </w:pPr>
            <w:r>
              <w:rPr>
                <w:rFonts w:ascii="Arial" w:eastAsia="Calibri" w:hAnsi="Arial" w:cs="Arial"/>
                <w:b/>
                <w:sz w:val="14"/>
                <w:szCs w:val="14"/>
              </w:rPr>
              <w:t xml:space="preserve"> (Х)</w:t>
            </w:r>
          </w:p>
        </w:tc>
        <w:tc>
          <w:tcPr>
            <w:tcW w:w="2693" w:type="dxa"/>
            <w:tcBorders>
              <w:left w:val="single" w:sz="6" w:space="0" w:color="auto"/>
              <w:bottom w:val="single" w:sz="12" w:space="0" w:color="auto"/>
              <w:right w:val="single" w:sz="12" w:space="0" w:color="auto"/>
            </w:tcBorders>
            <w:shd w:val="clear" w:color="auto" w:fill="FFD200"/>
            <w:vAlign w:val="center"/>
          </w:tcPr>
          <w:p>
            <w:pPr>
              <w:ind w:left="-108" w:right="-108"/>
              <w:jc w:val="center"/>
              <w:rPr>
                <w:rFonts w:ascii="Arial" w:eastAsia="Calibri" w:hAnsi="Arial" w:cs="Arial"/>
                <w:b/>
                <w:sz w:val="14"/>
                <w:szCs w:val="14"/>
              </w:rPr>
            </w:pPr>
            <w:r>
              <w:rPr>
                <w:rFonts w:ascii="Arial" w:eastAsia="Calibri" w:hAnsi="Arial" w:cs="Arial"/>
                <w:b/>
                <w:sz w:val="14"/>
                <w:szCs w:val="14"/>
              </w:rPr>
              <w:t>СОСТОЯНИЕ</w:t>
            </w:r>
          </w:p>
        </w:tc>
        <w:tc>
          <w:tcPr>
            <w:tcW w:w="1560" w:type="dxa"/>
            <w:tcBorders>
              <w:left w:val="single" w:sz="12" w:space="0" w:color="auto"/>
              <w:bottom w:val="single" w:sz="12" w:space="0" w:color="auto"/>
            </w:tcBorders>
            <w:shd w:val="clear" w:color="auto" w:fill="FFD200"/>
            <w:vAlign w:val="center"/>
          </w:tcPr>
          <w:p>
            <w:pPr>
              <w:widowControl w:val="0"/>
              <w:ind w:left="-108" w:right="-108"/>
              <w:jc w:val="center"/>
              <w:rPr>
                <w:rFonts w:ascii="Arial" w:eastAsia="Calibri" w:hAnsi="Arial" w:cs="Arial"/>
                <w:b/>
                <w:sz w:val="14"/>
                <w:szCs w:val="14"/>
              </w:rPr>
            </w:pPr>
            <w:r>
              <w:rPr>
                <w:rFonts w:ascii="Arial" w:eastAsia="Calibri" w:hAnsi="Arial" w:cs="Arial"/>
                <w:b/>
                <w:sz w:val="14"/>
                <w:szCs w:val="14"/>
              </w:rPr>
              <w:t xml:space="preserve">ОБОЗНАЧЕНИЕ КОМБИНАЦИИ </w:t>
            </w:r>
          </w:p>
          <w:p>
            <w:pPr>
              <w:widowControl w:val="0"/>
              <w:ind w:left="-108" w:right="-108"/>
              <w:jc w:val="center"/>
              <w:rPr>
                <w:rFonts w:ascii="Arial" w:eastAsia="Calibri" w:hAnsi="Arial" w:cs="Arial"/>
                <w:b/>
                <w:sz w:val="14"/>
                <w:szCs w:val="14"/>
              </w:rPr>
            </w:pPr>
            <w:r>
              <w:rPr>
                <w:rFonts w:ascii="Arial" w:eastAsia="Calibri" w:hAnsi="Arial" w:cs="Arial"/>
                <w:b/>
                <w:sz w:val="14"/>
                <w:szCs w:val="14"/>
              </w:rPr>
              <w:t>(Х)</w:t>
            </w:r>
          </w:p>
        </w:tc>
        <w:tc>
          <w:tcPr>
            <w:tcW w:w="1835" w:type="dxa"/>
            <w:tcBorders>
              <w:bottom w:val="single" w:sz="12" w:space="0" w:color="auto"/>
              <w:right w:val="single" w:sz="12" w:space="0" w:color="auto"/>
            </w:tcBorders>
            <w:shd w:val="clear" w:color="auto" w:fill="FFD200"/>
            <w:vAlign w:val="center"/>
          </w:tcPr>
          <w:p>
            <w:pPr>
              <w:tabs>
                <w:tab w:val="left" w:pos="945"/>
              </w:tabs>
              <w:ind w:left="-108" w:right="-108"/>
              <w:jc w:val="center"/>
              <w:rPr>
                <w:rFonts w:ascii="Arial" w:eastAsia="Calibri" w:hAnsi="Arial" w:cs="Arial"/>
                <w:b/>
                <w:sz w:val="14"/>
                <w:szCs w:val="14"/>
              </w:rPr>
            </w:pPr>
            <w:r>
              <w:rPr>
                <w:rFonts w:ascii="Arial" w:eastAsia="Calibri" w:hAnsi="Arial" w:cs="Arial"/>
                <w:b/>
                <w:sz w:val="14"/>
                <w:szCs w:val="14"/>
              </w:rPr>
              <w:t>ТИП</w:t>
            </w:r>
          </w:p>
        </w:tc>
      </w:tr>
      <w:tr>
        <w:trPr>
          <w:trHeight w:val="227"/>
        </w:trPr>
        <w:tc>
          <w:tcPr>
            <w:tcW w:w="531" w:type="dxa"/>
            <w:tcBorders>
              <w:top w:val="single" w:sz="12" w:space="0" w:color="auto"/>
              <w:left w:val="single" w:sz="12" w:space="0" w:color="auto"/>
              <w:bottom w:val="single" w:sz="12" w:space="0" w:color="auto"/>
              <w:right w:val="single" w:sz="6"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1</w:t>
            </w:r>
          </w:p>
        </w:tc>
        <w:tc>
          <w:tcPr>
            <w:tcW w:w="1420"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2</w:t>
            </w:r>
          </w:p>
        </w:tc>
        <w:tc>
          <w:tcPr>
            <w:tcW w:w="1701"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3</w:t>
            </w:r>
          </w:p>
        </w:tc>
        <w:tc>
          <w:tcPr>
            <w:tcW w:w="2268" w:type="dxa"/>
            <w:tcBorders>
              <w:top w:val="single" w:sz="12" w:space="0" w:color="auto"/>
              <w:left w:val="single" w:sz="6" w:space="0" w:color="auto"/>
              <w:bottom w:val="single" w:sz="12" w:space="0" w:color="auto"/>
              <w:right w:val="single" w:sz="6"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4</w:t>
            </w:r>
          </w:p>
        </w:tc>
        <w:tc>
          <w:tcPr>
            <w:tcW w:w="2693" w:type="dxa"/>
            <w:tcBorders>
              <w:top w:val="single" w:sz="12" w:space="0" w:color="auto"/>
              <w:left w:val="single" w:sz="6" w:space="0" w:color="auto"/>
              <w:bottom w:val="single" w:sz="12" w:space="0" w:color="auto"/>
              <w:right w:val="single" w:sz="12"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5</w:t>
            </w:r>
          </w:p>
        </w:tc>
        <w:tc>
          <w:tcPr>
            <w:tcW w:w="1276" w:type="dxa"/>
            <w:tcBorders>
              <w:top w:val="single" w:sz="12" w:space="0" w:color="auto"/>
              <w:left w:val="single" w:sz="12" w:space="0" w:color="auto"/>
              <w:bottom w:val="single" w:sz="12" w:space="0" w:color="auto"/>
              <w:right w:val="single" w:sz="6" w:space="0" w:color="auto"/>
            </w:tcBorders>
            <w:shd w:val="clear" w:color="auto" w:fill="FFD200"/>
            <w:vAlign w:val="center"/>
          </w:tcPr>
          <w:p>
            <w:pPr>
              <w:widowControl w:val="0"/>
              <w:ind w:left="119"/>
              <w:jc w:val="center"/>
              <w:rPr>
                <w:rFonts w:ascii="Arial" w:eastAsia="Calibri" w:hAnsi="Arial" w:cs="Arial"/>
                <w:b/>
                <w:sz w:val="16"/>
                <w:szCs w:val="16"/>
              </w:rPr>
            </w:pPr>
            <w:r>
              <w:rPr>
                <w:rFonts w:ascii="Arial" w:eastAsia="Calibri" w:hAnsi="Arial" w:cs="Arial"/>
                <w:b/>
                <w:sz w:val="16"/>
                <w:szCs w:val="16"/>
              </w:rPr>
              <w:t>6</w:t>
            </w:r>
          </w:p>
        </w:tc>
        <w:tc>
          <w:tcPr>
            <w:tcW w:w="2693" w:type="dxa"/>
            <w:tcBorders>
              <w:top w:val="single" w:sz="12" w:space="0" w:color="auto"/>
              <w:left w:val="single" w:sz="6" w:space="0" w:color="auto"/>
              <w:bottom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7</w:t>
            </w:r>
          </w:p>
        </w:tc>
        <w:tc>
          <w:tcPr>
            <w:tcW w:w="1560" w:type="dxa"/>
            <w:tcBorders>
              <w:top w:val="single" w:sz="12" w:space="0" w:color="auto"/>
              <w:left w:val="single" w:sz="12" w:space="0" w:color="auto"/>
              <w:bottom w:val="single" w:sz="12" w:space="0" w:color="auto"/>
              <w:right w:val="single" w:sz="6" w:space="0" w:color="auto"/>
            </w:tcBorders>
            <w:shd w:val="clear" w:color="auto" w:fill="FFD200"/>
            <w:vAlign w:val="center"/>
          </w:tcPr>
          <w:p>
            <w:pPr>
              <w:widowControl w:val="0"/>
              <w:jc w:val="center"/>
              <w:rPr>
                <w:rFonts w:ascii="Arial" w:eastAsia="Calibri" w:hAnsi="Arial" w:cs="Arial"/>
                <w:b/>
                <w:sz w:val="16"/>
                <w:szCs w:val="16"/>
              </w:rPr>
            </w:pPr>
            <w:r>
              <w:rPr>
                <w:rFonts w:ascii="Arial" w:eastAsia="Calibri" w:hAnsi="Arial" w:cs="Arial"/>
                <w:b/>
                <w:sz w:val="16"/>
                <w:szCs w:val="16"/>
              </w:rPr>
              <w:t>8</w:t>
            </w:r>
          </w:p>
        </w:tc>
        <w:tc>
          <w:tcPr>
            <w:tcW w:w="1835" w:type="dxa"/>
            <w:tcBorders>
              <w:top w:val="single" w:sz="12" w:space="0" w:color="auto"/>
              <w:left w:val="single" w:sz="6" w:space="0" w:color="auto"/>
              <w:bottom w:val="single" w:sz="12" w:space="0" w:color="auto"/>
              <w:right w:val="single" w:sz="12" w:space="0" w:color="auto"/>
            </w:tcBorders>
            <w:shd w:val="clear" w:color="auto" w:fill="FFD200"/>
            <w:vAlign w:val="center"/>
          </w:tcPr>
          <w:p>
            <w:pPr>
              <w:tabs>
                <w:tab w:val="left" w:pos="945"/>
              </w:tabs>
              <w:jc w:val="center"/>
              <w:rPr>
                <w:rFonts w:ascii="Arial" w:eastAsia="Calibri" w:hAnsi="Arial" w:cs="Arial"/>
                <w:b/>
                <w:sz w:val="16"/>
                <w:szCs w:val="16"/>
              </w:rPr>
            </w:pPr>
            <w:r>
              <w:rPr>
                <w:rFonts w:ascii="Arial" w:eastAsia="Calibri" w:hAnsi="Arial" w:cs="Arial"/>
                <w:b/>
                <w:sz w:val="16"/>
                <w:szCs w:val="16"/>
              </w:rPr>
              <w:t>9</w:t>
            </w:r>
          </w:p>
        </w:tc>
      </w:tr>
      <w:tr>
        <w:trPr>
          <w:trHeight w:val="227"/>
        </w:trPr>
        <w:tc>
          <w:tcPr>
            <w:tcW w:w="531" w:type="dxa"/>
            <w:tcBorders>
              <w:top w:val="single" w:sz="12" w:space="0" w:color="auto"/>
              <w:left w:val="single" w:sz="12" w:space="0" w:color="auto"/>
            </w:tcBorders>
            <w:shd w:val="clear" w:color="auto" w:fill="auto"/>
          </w:tcPr>
          <w:p>
            <w:pPr>
              <w:rPr>
                <w:color w:val="000000" w:themeColor="text1"/>
                <w:sz w:val="20"/>
              </w:rPr>
            </w:pPr>
            <w:r>
              <w:rPr>
                <w:color w:val="000000" w:themeColor="text1"/>
                <w:sz w:val="20"/>
              </w:rPr>
              <w:t>1</w:t>
            </w:r>
          </w:p>
        </w:tc>
        <w:tc>
          <w:tcPr>
            <w:tcW w:w="1420" w:type="dxa"/>
            <w:tcBorders>
              <w:top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А</w:t>
            </w:r>
          </w:p>
        </w:tc>
        <w:tc>
          <w:tcPr>
            <w:tcW w:w="1701" w:type="dxa"/>
            <w:tcBorders>
              <w:top w:val="single" w:sz="12" w:space="0" w:color="auto"/>
              <w:left w:val="single" w:sz="6" w:space="0" w:color="auto"/>
              <w:right w:val="single" w:sz="6" w:space="0" w:color="auto"/>
            </w:tcBorders>
            <w:shd w:val="clear" w:color="auto" w:fill="auto"/>
            <w:vAlign w:val="center"/>
          </w:tcPr>
          <w:p>
            <w:pPr>
              <w:jc w:val="center"/>
              <w:rPr>
                <w:b/>
                <w:color w:val="000000" w:themeColor="text1"/>
                <w:sz w:val="20"/>
              </w:rPr>
            </w:pPr>
            <w:r>
              <w:rPr>
                <w:color w:val="000000" w:themeColor="text1"/>
                <w:sz w:val="20"/>
              </w:rPr>
              <w:t>24 с.к.</w:t>
            </w:r>
          </w:p>
        </w:tc>
        <w:tc>
          <w:tcPr>
            <w:tcW w:w="2268" w:type="dxa"/>
            <w:tcBorders>
              <w:top w:val="single" w:sz="12" w:space="0" w:color="auto"/>
              <w:left w:val="single" w:sz="6" w:space="0" w:color="auto"/>
              <w:right w:val="single" w:sz="6" w:space="0" w:color="auto"/>
            </w:tcBorders>
            <w:shd w:val="clear" w:color="auto" w:fill="auto"/>
          </w:tcPr>
          <w:p>
            <w:pPr>
              <w:jc w:val="center"/>
              <w:rPr>
                <w:color w:val="000000" w:themeColor="text1"/>
                <w:sz w:val="20"/>
              </w:rPr>
            </w:pPr>
            <w:r>
              <w:rPr>
                <w:color w:val="000000" w:themeColor="text1"/>
                <w:sz w:val="20"/>
              </w:rPr>
              <w:t>Ехd</w:t>
            </w:r>
          </w:p>
        </w:tc>
        <w:tc>
          <w:tcPr>
            <w:tcW w:w="2693" w:type="dxa"/>
            <w:tcBorders>
              <w:top w:val="single" w:sz="12" w:space="0" w:color="auto"/>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Ехd</w:t>
            </w:r>
          </w:p>
        </w:tc>
        <w:tc>
          <w:tcPr>
            <w:tcW w:w="1276" w:type="dxa"/>
            <w:tcBorders>
              <w:top w:val="single" w:sz="12" w:space="0" w:color="auto"/>
              <w:left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А</w:t>
            </w:r>
          </w:p>
        </w:tc>
        <w:tc>
          <w:tcPr>
            <w:tcW w:w="2693" w:type="dxa"/>
            <w:tcBorders>
              <w:top w:val="single" w:sz="12" w:space="0" w:color="auto"/>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Закрыт</w:t>
            </w:r>
          </w:p>
        </w:tc>
        <w:tc>
          <w:tcPr>
            <w:tcW w:w="1560" w:type="dxa"/>
            <w:tcBorders>
              <w:top w:val="single" w:sz="12" w:space="0" w:color="auto"/>
              <w:left w:val="single" w:sz="12" w:space="0" w:color="auto"/>
            </w:tcBorders>
            <w:shd w:val="clear" w:color="auto" w:fill="auto"/>
            <w:vAlign w:val="center"/>
          </w:tcPr>
          <w:p>
            <w:pPr>
              <w:jc w:val="center"/>
              <w:rPr>
                <w:b/>
                <w:color w:val="000000" w:themeColor="text1"/>
                <w:sz w:val="20"/>
              </w:rPr>
            </w:pPr>
            <w:r>
              <w:rPr>
                <w:b/>
                <w:color w:val="000000" w:themeColor="text1"/>
                <w:sz w:val="20"/>
              </w:rPr>
              <w:t>1</w:t>
            </w:r>
          </w:p>
        </w:tc>
        <w:tc>
          <w:tcPr>
            <w:tcW w:w="1835" w:type="dxa"/>
            <w:tcBorders>
              <w:top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Механический</w:t>
            </w:r>
          </w:p>
        </w:tc>
      </w:tr>
      <w:tr>
        <w:trPr>
          <w:trHeight w:val="227"/>
        </w:trPr>
        <w:tc>
          <w:tcPr>
            <w:tcW w:w="531" w:type="dxa"/>
            <w:tcBorders>
              <w:left w:val="single" w:sz="12" w:space="0" w:color="auto"/>
            </w:tcBorders>
            <w:shd w:val="clear" w:color="auto" w:fill="auto"/>
          </w:tcPr>
          <w:p>
            <w:pPr>
              <w:rPr>
                <w:color w:val="000000" w:themeColor="text1"/>
                <w:sz w:val="20"/>
              </w:rPr>
            </w:pPr>
            <w:r>
              <w:rPr>
                <w:color w:val="000000" w:themeColor="text1"/>
                <w:sz w:val="20"/>
              </w:rPr>
              <w:t>2</w:t>
            </w:r>
          </w:p>
        </w:tc>
        <w:tc>
          <w:tcPr>
            <w:tcW w:w="1420" w:type="dxa"/>
            <w:tcBorders>
              <w:right w:val="single" w:sz="6" w:space="0" w:color="auto"/>
            </w:tcBorders>
            <w:shd w:val="clear" w:color="auto" w:fill="auto"/>
            <w:vAlign w:val="center"/>
          </w:tcPr>
          <w:p>
            <w:pPr>
              <w:jc w:val="center"/>
              <w:rPr>
                <w:b/>
                <w:color w:val="000000" w:themeColor="text1"/>
                <w:sz w:val="20"/>
              </w:rPr>
            </w:pPr>
            <w:r>
              <w:rPr>
                <w:b/>
                <w:color w:val="000000" w:themeColor="text1"/>
                <w:sz w:val="20"/>
              </w:rPr>
              <w:t>Б</w:t>
            </w:r>
          </w:p>
        </w:tc>
        <w:tc>
          <w:tcPr>
            <w:tcW w:w="1701" w:type="dxa"/>
            <w:tcBorders>
              <w:left w:val="single" w:sz="6" w:space="0" w:color="auto"/>
              <w:right w:val="single" w:sz="6" w:space="0" w:color="auto"/>
            </w:tcBorders>
            <w:shd w:val="clear" w:color="auto" w:fill="auto"/>
            <w:vAlign w:val="center"/>
          </w:tcPr>
          <w:p>
            <w:pPr>
              <w:jc w:val="center"/>
              <w:rPr>
                <w:b/>
                <w:color w:val="000000" w:themeColor="text1"/>
                <w:sz w:val="20"/>
              </w:rPr>
            </w:pPr>
            <w:r>
              <w:rPr>
                <w:color w:val="000000" w:themeColor="text1"/>
                <w:sz w:val="20"/>
              </w:rPr>
              <w:t>Namur с.к.</w:t>
            </w:r>
          </w:p>
        </w:tc>
        <w:tc>
          <w:tcPr>
            <w:tcW w:w="2268" w:type="dxa"/>
            <w:tcBorders>
              <w:left w:val="single" w:sz="6" w:space="0" w:color="auto"/>
              <w:right w:val="single" w:sz="6" w:space="0" w:color="auto"/>
            </w:tcBorders>
            <w:shd w:val="clear" w:color="auto" w:fill="auto"/>
          </w:tcPr>
          <w:p>
            <w:pPr>
              <w:jc w:val="center"/>
              <w:rPr>
                <w:color w:val="000000" w:themeColor="text1"/>
                <w:sz w:val="20"/>
              </w:rPr>
            </w:pPr>
            <w:r>
              <w:rPr>
                <w:color w:val="000000" w:themeColor="text1"/>
                <w:sz w:val="20"/>
              </w:rPr>
              <w:t>Exi</w:t>
            </w:r>
          </w:p>
        </w:tc>
        <w:tc>
          <w:tcPr>
            <w:tcW w:w="2693" w:type="dxa"/>
            <w:tcBorders>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Ехd</w:t>
            </w:r>
          </w:p>
        </w:tc>
        <w:tc>
          <w:tcPr>
            <w:tcW w:w="1276" w:type="dxa"/>
            <w:tcBorders>
              <w:left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Б</w:t>
            </w:r>
          </w:p>
        </w:tc>
        <w:tc>
          <w:tcPr>
            <w:tcW w:w="2693" w:type="dxa"/>
            <w:tcBorders>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Открыт</w:t>
            </w:r>
          </w:p>
        </w:tc>
        <w:tc>
          <w:tcPr>
            <w:tcW w:w="1560" w:type="dxa"/>
            <w:tcBorders>
              <w:left w:val="single" w:sz="12" w:space="0" w:color="auto"/>
              <w:bottom w:val="single" w:sz="6" w:space="0" w:color="auto"/>
            </w:tcBorders>
            <w:shd w:val="clear" w:color="auto" w:fill="auto"/>
            <w:vAlign w:val="center"/>
          </w:tcPr>
          <w:p>
            <w:pPr>
              <w:jc w:val="center"/>
              <w:rPr>
                <w:b/>
                <w:color w:val="000000" w:themeColor="text1"/>
                <w:sz w:val="20"/>
              </w:rPr>
            </w:pPr>
            <w:r>
              <w:rPr>
                <w:b/>
                <w:color w:val="000000" w:themeColor="text1"/>
                <w:sz w:val="20"/>
              </w:rPr>
              <w:t>2</w:t>
            </w:r>
          </w:p>
        </w:tc>
        <w:tc>
          <w:tcPr>
            <w:tcW w:w="1835" w:type="dxa"/>
            <w:tcBorders>
              <w:bottom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Гидравлический</w:t>
            </w:r>
          </w:p>
        </w:tc>
      </w:tr>
      <w:tr>
        <w:trPr>
          <w:trHeight w:val="227"/>
        </w:trPr>
        <w:tc>
          <w:tcPr>
            <w:tcW w:w="531" w:type="dxa"/>
            <w:tcBorders>
              <w:left w:val="single" w:sz="12" w:space="0" w:color="auto"/>
            </w:tcBorders>
            <w:shd w:val="clear" w:color="auto" w:fill="auto"/>
          </w:tcPr>
          <w:p>
            <w:pPr>
              <w:rPr>
                <w:color w:val="000000" w:themeColor="text1"/>
                <w:sz w:val="20"/>
              </w:rPr>
            </w:pPr>
            <w:r>
              <w:rPr>
                <w:color w:val="000000" w:themeColor="text1"/>
                <w:sz w:val="20"/>
              </w:rPr>
              <w:t>3</w:t>
            </w:r>
          </w:p>
        </w:tc>
        <w:tc>
          <w:tcPr>
            <w:tcW w:w="1420" w:type="dxa"/>
            <w:tcBorders>
              <w:right w:val="single" w:sz="6" w:space="0" w:color="auto"/>
            </w:tcBorders>
            <w:shd w:val="clear" w:color="auto" w:fill="auto"/>
            <w:vAlign w:val="center"/>
          </w:tcPr>
          <w:p>
            <w:pPr>
              <w:jc w:val="center"/>
              <w:rPr>
                <w:b/>
                <w:color w:val="000000" w:themeColor="text1"/>
                <w:sz w:val="20"/>
              </w:rPr>
            </w:pPr>
            <w:r>
              <w:rPr>
                <w:b/>
                <w:color w:val="000000" w:themeColor="text1"/>
                <w:sz w:val="20"/>
              </w:rPr>
              <w:t>В</w:t>
            </w:r>
          </w:p>
        </w:tc>
        <w:tc>
          <w:tcPr>
            <w:tcW w:w="1701" w:type="dxa"/>
            <w:tcBorders>
              <w:left w:val="single" w:sz="6" w:space="0" w:color="auto"/>
              <w:right w:val="single" w:sz="6" w:space="0" w:color="auto"/>
            </w:tcBorders>
            <w:shd w:val="clear" w:color="auto" w:fill="auto"/>
            <w:vAlign w:val="center"/>
          </w:tcPr>
          <w:p>
            <w:pPr>
              <w:jc w:val="center"/>
              <w:rPr>
                <w:b/>
                <w:color w:val="000000" w:themeColor="text1"/>
                <w:sz w:val="20"/>
              </w:rPr>
            </w:pPr>
            <w:r>
              <w:rPr>
                <w:color w:val="000000" w:themeColor="text1"/>
                <w:sz w:val="20"/>
              </w:rPr>
              <w:t>24 с.к.</w:t>
            </w:r>
          </w:p>
        </w:tc>
        <w:tc>
          <w:tcPr>
            <w:tcW w:w="2268" w:type="dxa"/>
            <w:tcBorders>
              <w:left w:val="single" w:sz="6" w:space="0" w:color="auto"/>
              <w:right w:val="single" w:sz="6" w:space="0" w:color="auto"/>
            </w:tcBorders>
            <w:shd w:val="clear" w:color="auto" w:fill="auto"/>
          </w:tcPr>
          <w:p>
            <w:pPr>
              <w:jc w:val="center"/>
              <w:rPr>
                <w:color w:val="000000" w:themeColor="text1"/>
                <w:sz w:val="20"/>
              </w:rPr>
            </w:pPr>
            <w:r>
              <w:rPr>
                <w:color w:val="000000" w:themeColor="text1"/>
                <w:sz w:val="20"/>
              </w:rPr>
              <w:t>Общепром.</w:t>
            </w:r>
          </w:p>
        </w:tc>
        <w:tc>
          <w:tcPr>
            <w:tcW w:w="2693" w:type="dxa"/>
            <w:tcBorders>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Общепром.</w:t>
            </w:r>
          </w:p>
        </w:tc>
        <w:tc>
          <w:tcPr>
            <w:tcW w:w="1276" w:type="dxa"/>
            <w:tcBorders>
              <w:left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В</w:t>
            </w:r>
          </w:p>
        </w:tc>
        <w:tc>
          <w:tcPr>
            <w:tcW w:w="2693" w:type="dxa"/>
            <w:tcBorders>
              <w:left w:val="single" w:sz="6"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Фиксированное положение</w:t>
            </w:r>
          </w:p>
        </w:tc>
        <w:tc>
          <w:tcPr>
            <w:tcW w:w="1560" w:type="dxa"/>
            <w:tcBorders>
              <w:left w:val="single" w:sz="12" w:space="0" w:color="auto"/>
            </w:tcBorders>
            <w:shd w:val="clear" w:color="auto" w:fill="auto"/>
            <w:vAlign w:val="center"/>
          </w:tcPr>
          <w:p>
            <w:pPr>
              <w:jc w:val="center"/>
              <w:rPr>
                <w:color w:val="000000" w:themeColor="text1"/>
                <w:sz w:val="20"/>
              </w:rPr>
            </w:pPr>
          </w:p>
        </w:tc>
        <w:tc>
          <w:tcPr>
            <w:tcW w:w="1835" w:type="dxa"/>
            <w:tcBorders>
              <w:right w:val="single" w:sz="12" w:space="0" w:color="auto"/>
            </w:tcBorders>
            <w:shd w:val="clear" w:color="auto" w:fill="auto"/>
            <w:vAlign w:val="center"/>
          </w:tcPr>
          <w:p>
            <w:pPr>
              <w:jc w:val="center"/>
              <w:rPr>
                <w:color w:val="000000" w:themeColor="text1"/>
                <w:sz w:val="20"/>
              </w:rPr>
            </w:pPr>
          </w:p>
        </w:tc>
      </w:tr>
      <w:tr>
        <w:trPr>
          <w:trHeight w:val="227"/>
        </w:trPr>
        <w:tc>
          <w:tcPr>
            <w:tcW w:w="531" w:type="dxa"/>
            <w:tcBorders>
              <w:left w:val="single" w:sz="12" w:space="0" w:color="auto"/>
              <w:bottom w:val="single" w:sz="12" w:space="0" w:color="auto"/>
            </w:tcBorders>
            <w:shd w:val="clear" w:color="auto" w:fill="auto"/>
          </w:tcPr>
          <w:p>
            <w:pPr>
              <w:rPr>
                <w:color w:val="000000" w:themeColor="text1"/>
                <w:sz w:val="20"/>
              </w:rPr>
            </w:pPr>
            <w:r>
              <w:rPr>
                <w:color w:val="000000" w:themeColor="text1"/>
                <w:sz w:val="20"/>
              </w:rPr>
              <w:t>4</w:t>
            </w:r>
          </w:p>
        </w:tc>
        <w:tc>
          <w:tcPr>
            <w:tcW w:w="1420" w:type="dxa"/>
            <w:tcBorders>
              <w:bottom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Г</w:t>
            </w:r>
          </w:p>
        </w:tc>
        <w:tc>
          <w:tcPr>
            <w:tcW w:w="1701" w:type="dxa"/>
            <w:tcBorders>
              <w:left w:val="single" w:sz="6" w:space="0" w:color="auto"/>
              <w:bottom w:val="single" w:sz="12" w:space="0" w:color="auto"/>
              <w:right w:val="single" w:sz="6" w:space="0" w:color="auto"/>
            </w:tcBorders>
            <w:shd w:val="clear" w:color="auto" w:fill="auto"/>
            <w:vAlign w:val="center"/>
          </w:tcPr>
          <w:p>
            <w:pPr>
              <w:jc w:val="center"/>
              <w:rPr>
                <w:b/>
                <w:color w:val="000000" w:themeColor="text1"/>
                <w:sz w:val="20"/>
              </w:rPr>
            </w:pPr>
          </w:p>
        </w:tc>
        <w:tc>
          <w:tcPr>
            <w:tcW w:w="2268" w:type="dxa"/>
            <w:tcBorders>
              <w:left w:val="single" w:sz="6" w:space="0" w:color="auto"/>
              <w:bottom w:val="single" w:sz="12" w:space="0" w:color="auto"/>
              <w:right w:val="single" w:sz="6" w:space="0" w:color="auto"/>
            </w:tcBorders>
            <w:shd w:val="clear" w:color="auto" w:fill="auto"/>
          </w:tcPr>
          <w:p>
            <w:pPr>
              <w:jc w:val="center"/>
              <w:rPr>
                <w:b/>
                <w:color w:val="000000" w:themeColor="text1"/>
                <w:sz w:val="20"/>
              </w:rPr>
            </w:pPr>
          </w:p>
        </w:tc>
        <w:tc>
          <w:tcPr>
            <w:tcW w:w="2693" w:type="dxa"/>
            <w:tcBorders>
              <w:left w:val="single" w:sz="6" w:space="0" w:color="auto"/>
              <w:bottom w:val="single" w:sz="12" w:space="0" w:color="auto"/>
              <w:right w:val="single" w:sz="12" w:space="0" w:color="auto"/>
            </w:tcBorders>
            <w:shd w:val="clear" w:color="auto" w:fill="auto"/>
            <w:vAlign w:val="center"/>
          </w:tcPr>
          <w:p>
            <w:pPr>
              <w:jc w:val="center"/>
              <w:rPr>
                <w:b/>
                <w:color w:val="000000" w:themeColor="text1"/>
                <w:sz w:val="20"/>
              </w:rPr>
            </w:pPr>
          </w:p>
        </w:tc>
        <w:tc>
          <w:tcPr>
            <w:tcW w:w="1276" w:type="dxa"/>
            <w:tcBorders>
              <w:left w:val="single" w:sz="12" w:space="0" w:color="auto"/>
              <w:bottom w:val="single" w:sz="12" w:space="0" w:color="auto"/>
              <w:right w:val="single" w:sz="6" w:space="0" w:color="auto"/>
            </w:tcBorders>
            <w:shd w:val="clear" w:color="auto" w:fill="auto"/>
            <w:vAlign w:val="center"/>
          </w:tcPr>
          <w:p>
            <w:pPr>
              <w:jc w:val="center"/>
              <w:rPr>
                <w:b/>
                <w:color w:val="000000" w:themeColor="text1"/>
                <w:sz w:val="20"/>
              </w:rPr>
            </w:pPr>
            <w:r>
              <w:rPr>
                <w:b/>
                <w:color w:val="000000" w:themeColor="text1"/>
                <w:sz w:val="20"/>
              </w:rPr>
              <w:t>Г</w:t>
            </w:r>
          </w:p>
        </w:tc>
        <w:tc>
          <w:tcPr>
            <w:tcW w:w="2693" w:type="dxa"/>
            <w:tcBorders>
              <w:left w:val="single" w:sz="6" w:space="0" w:color="auto"/>
              <w:bottom w:val="single" w:sz="12" w:space="0" w:color="auto"/>
              <w:right w:val="single" w:sz="12" w:space="0" w:color="auto"/>
            </w:tcBorders>
            <w:shd w:val="clear" w:color="auto" w:fill="auto"/>
            <w:vAlign w:val="center"/>
          </w:tcPr>
          <w:p>
            <w:pPr>
              <w:jc w:val="center"/>
              <w:rPr>
                <w:color w:val="000000" w:themeColor="text1"/>
                <w:sz w:val="20"/>
              </w:rPr>
            </w:pPr>
            <w:r>
              <w:rPr>
                <w:color w:val="000000" w:themeColor="text1"/>
                <w:sz w:val="20"/>
              </w:rPr>
              <w:t>Двойного действия</w:t>
            </w:r>
          </w:p>
        </w:tc>
        <w:tc>
          <w:tcPr>
            <w:tcW w:w="1560" w:type="dxa"/>
            <w:tcBorders>
              <w:left w:val="single" w:sz="12" w:space="0" w:color="auto"/>
              <w:bottom w:val="single" w:sz="12" w:space="0" w:color="auto"/>
            </w:tcBorders>
            <w:shd w:val="clear" w:color="auto" w:fill="auto"/>
            <w:vAlign w:val="center"/>
          </w:tcPr>
          <w:p>
            <w:pPr>
              <w:jc w:val="center"/>
              <w:rPr>
                <w:color w:val="000000" w:themeColor="text1"/>
                <w:sz w:val="20"/>
              </w:rPr>
            </w:pPr>
          </w:p>
        </w:tc>
        <w:tc>
          <w:tcPr>
            <w:tcW w:w="1835" w:type="dxa"/>
            <w:tcBorders>
              <w:bottom w:val="single" w:sz="12" w:space="0" w:color="auto"/>
              <w:right w:val="single" w:sz="12" w:space="0" w:color="auto"/>
            </w:tcBorders>
            <w:shd w:val="clear" w:color="auto" w:fill="auto"/>
            <w:vAlign w:val="center"/>
          </w:tcPr>
          <w:p>
            <w:pPr>
              <w:jc w:val="center"/>
              <w:rPr>
                <w:color w:val="000000" w:themeColor="text1"/>
                <w:sz w:val="20"/>
              </w:rPr>
            </w:pPr>
          </w:p>
        </w:tc>
      </w:tr>
    </w:tbl>
    <w:p>
      <w:pPr>
        <w:keepNext/>
        <w:ind w:right="-1"/>
        <w:jc w:val="right"/>
        <w:rPr>
          <w:rFonts w:ascii="Arial" w:eastAsia="Times New Roman" w:hAnsi="Arial" w:cs="Arial"/>
          <w:b/>
          <w:bCs/>
          <w:sz w:val="20"/>
          <w:szCs w:val="20"/>
        </w:rPr>
      </w:pPr>
      <w:r>
        <w:rPr>
          <w:rFonts w:ascii="Arial" w:eastAsia="Times New Roman" w:hAnsi="Arial" w:cs="Arial"/>
          <w:b/>
          <w:bCs/>
          <w:sz w:val="20"/>
          <w:szCs w:val="20"/>
        </w:rPr>
        <w:t>Комбинации обозначений пневмопривода для крана шарового</w:t>
      </w:r>
    </w:p>
    <w:p>
      <w:pPr>
        <w:tabs>
          <w:tab w:val="left" w:pos="945"/>
        </w:tabs>
        <w:rPr>
          <w:rFonts w:asciiTheme="majorBidi" w:hAnsiTheme="majorBidi" w:cstheme="majorBidi"/>
        </w:rPr>
      </w:pPr>
    </w:p>
    <w:p/>
    <w:p>
      <w:pPr>
        <w:tabs>
          <w:tab w:val="left" w:pos="567"/>
        </w:tabs>
        <w:rPr>
          <w:rFonts w:ascii="Arial" w:hAnsi="Arial" w:cs="Arial"/>
          <w:b/>
        </w:rPr>
      </w:pPr>
      <w:r>
        <w:rPr>
          <w:rFonts w:ascii="Arial" w:hAnsi="Arial" w:cs="Arial"/>
          <w:b/>
        </w:rPr>
        <w:t>1.3.</w:t>
      </w:r>
      <w:r>
        <w:rPr>
          <w:rFonts w:ascii="Arial" w:hAnsi="Arial" w:cs="Arial"/>
          <w:b/>
        </w:rPr>
        <w:tab/>
        <w:t>ПРИМЕР УСЛОВНОГО ОБОЗНАЧЕНИЯ</w:t>
      </w:r>
    </w:p>
    <w:p>
      <w:pPr>
        <w:widowControl w:val="0"/>
        <w:rPr>
          <w:rFonts w:eastAsia="Calibri"/>
        </w:rPr>
      </w:pPr>
    </w:p>
    <w:p>
      <w:pPr>
        <w:widowControl w:val="0"/>
        <w:numPr>
          <w:ilvl w:val="0"/>
          <w:numId w:val="31"/>
        </w:numPr>
        <w:tabs>
          <w:tab w:val="left" w:pos="539"/>
        </w:tabs>
        <w:spacing w:before="120"/>
        <w:ind w:left="538" w:hanging="357"/>
        <w:rPr>
          <w:rFonts w:eastAsia="Times New Roman"/>
          <w:b/>
        </w:rPr>
      </w:pPr>
      <w:r>
        <w:rPr>
          <w:rFonts w:eastAsia="Times New Roman"/>
          <w:b/>
        </w:rPr>
        <w:t>КШ250*16НФК1-6К52ППАБ1-О-1-2</w:t>
      </w:r>
    </w:p>
    <w:p>
      <w:pPr>
        <w:tabs>
          <w:tab w:val="left" w:pos="1418"/>
        </w:tabs>
        <w:rPr>
          <w:rFonts w:eastAsia="PMingLiU"/>
        </w:rPr>
      </w:pPr>
    </w:p>
    <w:p>
      <w:pPr>
        <w:tabs>
          <w:tab w:val="left" w:pos="1418"/>
        </w:tabs>
        <w:rPr>
          <w:rFonts w:eastAsia="PMingLiU"/>
        </w:rPr>
      </w:pPr>
      <w:r>
        <w:rPr>
          <w:rFonts w:eastAsia="PMingLiU"/>
          <w:b/>
          <w:lang w:eastAsia="en-US"/>
        </w:rPr>
        <w:t>КШ</w:t>
      </w:r>
      <w:r>
        <w:rPr>
          <w:rFonts w:eastAsia="PMingLiU"/>
          <w:lang w:eastAsia="en-US"/>
        </w:rPr>
        <w:t xml:space="preserve"> – кран шаровой, </w:t>
      </w:r>
      <w:r>
        <w:rPr>
          <w:rFonts w:eastAsia="PMingLiU"/>
          <w:b/>
          <w:lang w:eastAsia="en-US"/>
        </w:rPr>
        <w:t>250</w:t>
      </w:r>
      <w:r>
        <w:rPr>
          <w:rFonts w:eastAsia="PMingLiU"/>
          <w:lang w:eastAsia="en-US"/>
        </w:rPr>
        <w:t xml:space="preserve"> – номинальный диаметр, мм; </w:t>
      </w:r>
      <w:r>
        <w:rPr>
          <w:rFonts w:eastAsia="PMingLiU"/>
          <w:b/>
          <w:lang w:eastAsia="en-US"/>
        </w:rPr>
        <w:t>16</w:t>
      </w:r>
      <w:r>
        <w:rPr>
          <w:rFonts w:eastAsia="PMingLiU"/>
          <w:lang w:eastAsia="en-US"/>
        </w:rPr>
        <w:t xml:space="preserve"> – номинальное давление, кгс/см²; </w:t>
      </w:r>
      <w:r>
        <w:rPr>
          <w:rFonts w:eastAsia="PMingLiU"/>
          <w:b/>
          <w:lang w:eastAsia="en-US"/>
        </w:rPr>
        <w:t>Н</w:t>
      </w:r>
      <w:r>
        <w:rPr>
          <w:rFonts w:eastAsia="PMingLiU"/>
          <w:lang w:eastAsia="en-US"/>
        </w:rPr>
        <w:t xml:space="preserve"> – надземная установка; </w:t>
      </w:r>
      <w:r>
        <w:rPr>
          <w:rFonts w:eastAsia="PMingLiU"/>
          <w:b/>
          <w:lang w:eastAsia="en-US"/>
        </w:rPr>
        <w:t>Ф</w:t>
      </w:r>
      <w:r>
        <w:rPr>
          <w:rFonts w:eastAsia="PMingLiU"/>
          <w:lang w:eastAsia="en-US"/>
        </w:rPr>
        <w:t xml:space="preserve"> – фланцевое с ответными фланцами под приварку к трубопроводу; </w:t>
      </w:r>
      <w:r>
        <w:rPr>
          <w:rFonts w:eastAsia="PMingLiU"/>
          <w:b/>
          <w:lang w:eastAsia="en-US"/>
        </w:rPr>
        <w:t xml:space="preserve">К1 </w:t>
      </w:r>
      <w:r>
        <w:rPr>
          <w:rFonts w:eastAsia="PMingLiU"/>
        </w:rPr>
        <w:t>–</w:t>
      </w:r>
      <w:r>
        <w:rPr>
          <w:rFonts w:eastAsia="PMingLiU"/>
          <w:lang w:eastAsia="en-US"/>
        </w:rPr>
        <w:t xml:space="preserve"> классификация рабочей среды в зависимости от содержания сероводорода; </w:t>
      </w:r>
      <w:r>
        <w:rPr>
          <w:rFonts w:eastAsia="PMingLiU"/>
          <w:b/>
        </w:rPr>
        <w:t>6</w:t>
      </w:r>
      <w:r>
        <w:rPr>
          <w:rFonts w:eastAsia="PMingLiU"/>
          <w:lang w:eastAsia="en-US"/>
        </w:rPr>
        <w:t xml:space="preserve"> – значение толщины стенки присоединяемого трубопровода; </w:t>
      </w:r>
      <w:r>
        <w:rPr>
          <w:rFonts w:eastAsia="PMingLiU"/>
          <w:b/>
          <w:lang w:eastAsia="en-US"/>
        </w:rPr>
        <w:t>К52</w:t>
      </w:r>
      <w:r>
        <w:rPr>
          <w:rFonts w:eastAsia="PMingLiU"/>
        </w:rPr>
        <w:t xml:space="preserve"> </w:t>
      </w:r>
      <w:r>
        <w:rPr>
          <w:rFonts w:eastAsia="PMingLiU"/>
          <w:lang w:eastAsia="en-US"/>
        </w:rPr>
        <w:t xml:space="preserve">– </w:t>
      </w:r>
      <w:r>
        <w:rPr>
          <w:rFonts w:eastAsia="PMingLiU"/>
        </w:rPr>
        <w:t xml:space="preserve">класс прочности присоединяемого трубопровода, значение временного сопротивления разрыву </w:t>
      </w:r>
      <w:r>
        <w:rPr>
          <w:rFonts w:eastAsia="PMingLiU" w:hint="eastAsia"/>
        </w:rPr>
        <w:t>Ơ</w:t>
      </w:r>
      <w:r>
        <w:rPr>
          <w:rFonts w:eastAsia="PMingLiU"/>
        </w:rPr>
        <w:t>в, кгс/мм</w:t>
      </w:r>
      <w:r>
        <w:rPr>
          <w:rFonts w:eastAsia="PMingLiU"/>
          <w:vertAlign w:val="superscript"/>
        </w:rPr>
        <w:t>2</w:t>
      </w:r>
      <w:r>
        <w:rPr>
          <w:rFonts w:eastAsia="PMingLiU"/>
        </w:rPr>
        <w:t>;</w:t>
      </w:r>
      <w:r>
        <w:rPr>
          <w:rFonts w:eastAsia="PMingLiU"/>
          <w:lang w:eastAsia="en-US"/>
        </w:rPr>
        <w:t xml:space="preserve"> </w:t>
      </w:r>
      <w:r>
        <w:rPr>
          <w:rFonts w:eastAsia="PMingLiU"/>
          <w:b/>
        </w:rPr>
        <w:t>П</w:t>
      </w:r>
      <w:r>
        <w:rPr>
          <w:rFonts w:eastAsia="PMingLiU"/>
          <w:b/>
          <w:lang w:eastAsia="en-US"/>
        </w:rPr>
        <w:t>ПАБ1</w:t>
      </w:r>
      <w:r>
        <w:rPr>
          <w:rFonts w:eastAsia="PMingLiU"/>
          <w:lang w:eastAsia="en-US"/>
        </w:rPr>
        <w:t xml:space="preserve"> – тип пневмопривода с обозначением модификации пневмопривода</w:t>
      </w:r>
      <w:r>
        <w:rPr>
          <w:rFonts w:eastAsia="PMingLiU"/>
        </w:rPr>
        <w:t xml:space="preserve">; </w:t>
      </w:r>
      <w:r>
        <w:rPr>
          <w:rFonts w:eastAsia="PMingLiU"/>
          <w:b/>
        </w:rPr>
        <w:t>О</w:t>
      </w:r>
      <w:r>
        <w:rPr>
          <w:rFonts w:eastAsia="PMingLiU"/>
        </w:rPr>
        <w:t xml:space="preserve"> – характеристика рабочей среды (опасная); </w:t>
      </w:r>
      <w:r>
        <w:rPr>
          <w:rFonts w:eastAsia="PMingLiU"/>
          <w:b/>
          <w:lang w:eastAsia="en-US"/>
        </w:rPr>
        <w:t>1</w:t>
      </w:r>
      <w:r>
        <w:rPr>
          <w:rFonts w:eastAsia="PMingLiU"/>
          <w:lang w:eastAsia="en-US"/>
        </w:rPr>
        <w:t xml:space="preserve"> – климатическое исполнение; </w:t>
      </w:r>
      <w:r>
        <w:rPr>
          <w:rFonts w:eastAsia="PMingLiU"/>
          <w:b/>
          <w:lang w:eastAsia="en-US"/>
        </w:rPr>
        <w:t xml:space="preserve">2 </w:t>
      </w:r>
      <w:r>
        <w:rPr>
          <w:rFonts w:eastAsia="PMingLiU"/>
          <w:lang w:eastAsia="en-US"/>
        </w:rPr>
        <w:t xml:space="preserve">– </w:t>
      </w:r>
      <w:r>
        <w:rPr>
          <w:rFonts w:eastAsia="PMingLiU"/>
        </w:rPr>
        <w:t>сейсмичность района размещения.</w:t>
      </w:r>
    </w:p>
    <w:p>
      <w:pPr>
        <w:tabs>
          <w:tab w:val="left" w:pos="1418"/>
        </w:tabs>
        <w:jc w:val="left"/>
        <w:rPr>
          <w:rFonts w:eastAsia="PMingLiU"/>
        </w:rPr>
      </w:pPr>
    </w:p>
    <w:p>
      <w:pPr>
        <w:tabs>
          <w:tab w:val="left" w:pos="1418"/>
        </w:tabs>
        <w:jc w:val="left"/>
        <w:rPr>
          <w:rFonts w:eastAsia="PMingLiU"/>
        </w:rPr>
        <w:sectPr>
          <w:headerReference w:type="default" r:id="rId71"/>
          <w:footerReference w:type="default" r:id="rId72"/>
          <w:pgSz w:w="16838" w:h="11906" w:orient="landscape"/>
          <w:pgMar w:top="1247" w:right="510" w:bottom="1021" w:left="567" w:header="737" w:footer="680" w:gutter="0"/>
          <w:cols w:space="708"/>
          <w:docGrid w:linePitch="360"/>
        </w:sectPr>
      </w:pPr>
    </w:p>
    <w:p>
      <w:pPr>
        <w:pStyle w:val="22"/>
        <w:rPr>
          <w:rFonts w:eastAsia="Times New Roman" w:cs="Arial"/>
        </w:rPr>
      </w:pPr>
      <w:bookmarkStart w:id="322" w:name="_ПРИЛОЖЕНИЕ_3._МЕТОДИКА"/>
      <w:bookmarkStart w:id="323" w:name="_Toc511400335"/>
      <w:bookmarkStart w:id="324" w:name="_Toc514169550"/>
      <w:bookmarkEnd w:id="322"/>
      <w:r>
        <w:rPr>
          <w:rFonts w:eastAsia="Times New Roman" w:cs="Arial"/>
        </w:rPr>
        <w:lastRenderedPageBreak/>
        <w:t xml:space="preserve">ПРИЛОЖЕНИЕ 3. </w:t>
      </w:r>
      <w:bookmarkEnd w:id="311"/>
      <w:bookmarkEnd w:id="312"/>
      <w:r>
        <w:rPr>
          <w:rFonts w:eastAsia="Times New Roman" w:cs="Arial"/>
        </w:rPr>
        <w:t>МЕТОДИКА (МЕТОД) ИЗМЕРЕНИЙ СКОРОСТИ КОРРОЗИИ СТАЛЕЙ В МОДЕЛЬНОЙ СЕРОВОДОРОДСОДЕРЖАЩЕЙ СРЕДЕ ГРАВИМЕТРИЧЕСКИМ МЕТОДОМ</w:t>
      </w:r>
      <w:bookmarkEnd w:id="323"/>
      <w:bookmarkEnd w:id="324"/>
    </w:p>
    <w:p/>
    <w:p/>
    <w:p>
      <w:pPr>
        <w:pStyle w:val="M"/>
        <w:numPr>
          <w:ilvl w:val="0"/>
          <w:numId w:val="40"/>
        </w:numPr>
        <w:tabs>
          <w:tab w:val="left" w:pos="567"/>
        </w:tabs>
        <w:ind w:left="0" w:firstLine="0"/>
        <w:rPr>
          <w:rFonts w:ascii="Arial" w:hAnsi="Arial" w:cs="Arial"/>
          <w:b/>
        </w:rPr>
      </w:pPr>
      <w:r>
        <w:rPr>
          <w:rFonts w:ascii="Arial" w:hAnsi="Arial" w:cs="Arial"/>
          <w:b/>
        </w:rPr>
        <w:t>НАЗНАЧЕНИЕ И ОБЛАСТЬ ПРИМЕНЕНИЯ</w:t>
      </w:r>
    </w:p>
    <w:p>
      <w:pPr>
        <w:rPr>
          <w:rFonts w:eastAsia="Times New Roman"/>
          <w:kern w:val="28"/>
        </w:rPr>
      </w:pPr>
    </w:p>
    <w:p>
      <w:pPr>
        <w:rPr>
          <w:rFonts w:eastAsia="Times New Roman"/>
          <w:kern w:val="28"/>
        </w:rPr>
      </w:pPr>
      <w:r>
        <w:rPr>
          <w:rFonts w:eastAsia="Times New Roman"/>
          <w:kern w:val="28"/>
        </w:rPr>
        <w:t>Настоящая методика (метод) измерений, предназначена для измерения скорости коррозии сталей гравиметрическим методом при испытаниях в сероводородсодержащей среде.</w:t>
      </w:r>
    </w:p>
    <w:p>
      <w:pPr>
        <w:rPr>
          <w:rFonts w:eastAsia="Times New Roman"/>
          <w:kern w:val="28"/>
        </w:rPr>
      </w:pPr>
    </w:p>
    <w:p>
      <w:pPr>
        <w:rPr>
          <w:rFonts w:eastAsia="Times New Roman"/>
          <w:kern w:val="28"/>
        </w:rPr>
      </w:pPr>
      <w:r>
        <w:rPr>
          <w:rFonts w:eastAsia="Times New Roman"/>
          <w:kern w:val="28"/>
        </w:rPr>
        <w:t>Данная методика разработана в соответствии с ГОСТ Р 9.905 и ГОСТ 9.908.</w:t>
      </w:r>
    </w:p>
    <w:p>
      <w:pPr>
        <w:rPr>
          <w:rFonts w:eastAsia="Times New Roman"/>
          <w:kern w:val="28"/>
        </w:rPr>
      </w:pPr>
    </w:p>
    <w:p>
      <w:pPr>
        <w:rPr>
          <w:rFonts w:eastAsia="Times New Roman"/>
          <w:kern w:val="28"/>
        </w:rPr>
      </w:pPr>
      <w:r>
        <w:rPr>
          <w:rFonts w:eastAsia="Times New Roman"/>
          <w:kern w:val="28"/>
        </w:rPr>
        <w:t>Настоящая методика предназначена для проведения измерений в лаборатории коррозионных испытаний.</w:t>
      </w:r>
    </w:p>
    <w:p>
      <w:pPr>
        <w:rPr>
          <w:rFonts w:eastAsia="Times New Roman"/>
          <w:kern w:val="28"/>
        </w:rPr>
      </w:pPr>
    </w:p>
    <w:p>
      <w:pPr>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ТРЕБОВАНИЯ К СМО, ПРОВОДЯЩЕЙ ИСПЫТАНИЯ</w:t>
      </w:r>
    </w:p>
    <w:p/>
    <w:p>
      <w:pPr>
        <w:pStyle w:val="affd"/>
        <w:tabs>
          <w:tab w:val="left" w:pos="567"/>
        </w:tabs>
        <w:spacing w:line="240" w:lineRule="auto"/>
        <w:ind w:left="0" w:firstLine="0"/>
        <w:contextualSpacing w:val="0"/>
        <w:rPr>
          <w:rFonts w:ascii="Times New Roman" w:eastAsia="Times New Roman" w:hAnsi="Times New Roman"/>
          <w:sz w:val="24"/>
        </w:rPr>
      </w:pPr>
      <w:r>
        <w:rPr>
          <w:rFonts w:ascii="Times New Roman" w:eastAsia="Times New Roman" w:hAnsi="Times New Roman"/>
          <w:sz w:val="24"/>
        </w:rPr>
        <w:t xml:space="preserve">Испытания материалов основных сборочных единиц и деталей шаровых кранов должны проводиться в </w:t>
      </w:r>
      <w:r>
        <w:t>СМО</w:t>
      </w:r>
      <w:r>
        <w:rPr>
          <w:rFonts w:ascii="Times New Roman" w:eastAsia="Times New Roman" w:hAnsi="Times New Roman"/>
          <w:sz w:val="24"/>
        </w:rPr>
        <w:t>, лаборатория которой аккредитована и соответствует требованиям приказа Минэкономразвития России от 30.05.2014 № 326 «Об утверждении Критериев аккредитации, перечня документов, подтверждающих соответствие заявителя, аккредитованного лица критериям аккредитации, и перечня документов в области стандартизации, соблюдение требований которых заявителями, аккредитованными лицами обеспечивает их соответствие критериям аккредитации», ГОСТ ИСО/МЭК 17025.</w:t>
      </w:r>
    </w:p>
    <w:p/>
    <w:p/>
    <w:p>
      <w:pPr>
        <w:pStyle w:val="M"/>
        <w:numPr>
          <w:ilvl w:val="0"/>
          <w:numId w:val="40"/>
        </w:numPr>
        <w:tabs>
          <w:tab w:val="left" w:pos="567"/>
        </w:tabs>
        <w:ind w:left="0" w:firstLine="0"/>
        <w:rPr>
          <w:rFonts w:ascii="Arial" w:hAnsi="Arial" w:cs="Arial"/>
          <w:b/>
        </w:rPr>
      </w:pPr>
      <w:r>
        <w:rPr>
          <w:rFonts w:ascii="Arial" w:hAnsi="Arial" w:cs="Arial"/>
          <w:b/>
        </w:rPr>
        <w:t>СУЩНОСТЬ МЕТОДА</w:t>
      </w:r>
    </w:p>
    <w:p>
      <w:pPr>
        <w:rPr>
          <w:rFonts w:eastAsia="Times New Roman"/>
          <w:kern w:val="28"/>
        </w:rPr>
      </w:pPr>
    </w:p>
    <w:p>
      <w:pPr>
        <w:rPr>
          <w:rFonts w:eastAsia="Times New Roman"/>
          <w:kern w:val="28"/>
        </w:rPr>
      </w:pPr>
      <w:r>
        <w:rPr>
          <w:rFonts w:eastAsia="Times New Roman"/>
          <w:kern w:val="28"/>
        </w:rPr>
        <w:t>Методика предусматривает выдержку образцов из испытываемой стали без приложения внешних напряжений в растворе заданного состава, насыщенном сероводородом при нормальных условиях. После регламентированного времени выдержки образцы извлекают из коррозионной среды и определяют скорость равномерной коррозии по изменению массы образцов.</w:t>
      </w:r>
    </w:p>
    <w:p/>
    <w:p/>
    <w:p>
      <w:pPr>
        <w:pStyle w:val="M"/>
        <w:numPr>
          <w:ilvl w:val="0"/>
          <w:numId w:val="40"/>
        </w:numPr>
        <w:tabs>
          <w:tab w:val="left" w:pos="567"/>
        </w:tabs>
        <w:ind w:left="0" w:firstLine="0"/>
        <w:rPr>
          <w:rFonts w:ascii="Arial" w:hAnsi="Arial" w:cs="Arial"/>
          <w:b/>
        </w:rPr>
      </w:pPr>
      <w:r>
        <w:rPr>
          <w:rFonts w:ascii="Arial" w:hAnsi="Arial" w:cs="Arial"/>
          <w:b/>
        </w:rPr>
        <w:t>СРЕДСТВА ИЗМЕРЕНИЙ, ВСПОМОГАТЕЛЬНЫЕ УСТРОЙСТВА, МАТЕРИАЛЫ, РЕАКТИВЫ</w:t>
      </w:r>
    </w:p>
    <w:p>
      <w:pPr>
        <w:jc w:val="left"/>
        <w:rPr>
          <w:rFonts w:eastAsia="Times New Roman"/>
          <w:kern w:val="28"/>
        </w:rPr>
      </w:pPr>
    </w:p>
    <w:p>
      <w:pPr>
        <w:rPr>
          <w:rFonts w:eastAsia="Times New Roman"/>
          <w:kern w:val="28"/>
        </w:rPr>
      </w:pPr>
      <w:r>
        <w:rPr>
          <w:rFonts w:eastAsia="Times New Roman"/>
          <w:kern w:val="28"/>
        </w:rPr>
        <w:t>При выполнении измерений применяют средства измерений, вспомогательные устройства, материалы и реактивы, приведенные в Таблице 39.</w:t>
      </w:r>
    </w:p>
    <w:p>
      <w:pPr>
        <w:keepNext/>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39</w:t>
      </w:r>
      <w:r>
        <w:rPr>
          <w:rFonts w:ascii="Arial" w:eastAsia="Times New Roman" w:hAnsi="Arial"/>
          <w:b/>
          <w:sz w:val="20"/>
        </w:rPr>
        <w:fldChar w:fldCharType="end"/>
      </w:r>
    </w:p>
    <w:p>
      <w:pPr>
        <w:pStyle w:val="Sd"/>
        <w:widowControl/>
        <w:spacing w:after="60"/>
        <w:contextualSpacing/>
      </w:pPr>
      <w:r>
        <w:rPr>
          <w:kern w:val="28"/>
        </w:rPr>
        <w:t>Перечень средств измерений, вспомогательных устройств,</w:t>
      </w:r>
      <w:r>
        <w:rPr>
          <w:kern w:val="28"/>
        </w:rPr>
        <w:br/>
        <w:t>материалов и реактивов при выполнении измерений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1"/>
        <w:gridCol w:w="2711"/>
        <w:gridCol w:w="2121"/>
        <w:gridCol w:w="4405"/>
      </w:tblGrid>
      <w:tr>
        <w:trPr>
          <w:tblHeader/>
        </w:trPr>
        <w:tc>
          <w:tcPr>
            <w:tcW w:w="223" w:type="pct"/>
            <w:tcBorders>
              <w:top w:val="single" w:sz="12" w:space="0" w:color="auto"/>
              <w:bottom w:val="single" w:sz="12" w:space="0" w:color="auto"/>
            </w:tcBorders>
            <w:shd w:val="clear" w:color="auto" w:fill="FFD200"/>
            <w:vAlign w:val="center"/>
          </w:tcPr>
          <w:p>
            <w:pPr>
              <w:keepNext/>
              <w:ind w:left="57" w:right="57"/>
              <w:jc w:val="center"/>
              <w:rPr>
                <w:rFonts w:ascii="Arial" w:eastAsia="Times New Roman" w:hAnsi="Arial" w:cs="Arial"/>
                <w:b/>
                <w:kern w:val="28"/>
                <w:sz w:val="16"/>
              </w:rPr>
            </w:pPr>
            <w:r>
              <w:rPr>
                <w:rFonts w:ascii="Arial" w:eastAsia="Times New Roman" w:hAnsi="Arial" w:cs="Arial"/>
                <w:b/>
                <w:kern w:val="28"/>
                <w:sz w:val="16"/>
              </w:rPr>
              <w:t>№ П/П</w:t>
            </w:r>
          </w:p>
        </w:tc>
        <w:tc>
          <w:tcPr>
            <w:tcW w:w="1402" w:type="pct"/>
            <w:tcBorders>
              <w:top w:val="single" w:sz="12" w:space="0" w:color="auto"/>
              <w:bottom w:val="single" w:sz="12" w:space="0" w:color="auto"/>
            </w:tcBorders>
            <w:shd w:val="clear" w:color="auto" w:fill="FFD200"/>
            <w:vAlign w:val="center"/>
          </w:tcPr>
          <w:p>
            <w:pPr>
              <w:keepNext/>
              <w:ind w:left="57" w:right="57"/>
              <w:jc w:val="center"/>
              <w:rPr>
                <w:rFonts w:ascii="Arial" w:hAnsi="Arial" w:cs="Arial"/>
                <w:b/>
                <w:color w:val="000000" w:themeColor="text1"/>
                <w:kern w:val="28"/>
                <w:sz w:val="16"/>
              </w:rPr>
            </w:pPr>
            <w:r>
              <w:rPr>
                <w:rFonts w:ascii="Arial" w:hAnsi="Arial" w:cs="Arial"/>
                <w:b/>
                <w:color w:val="000000" w:themeColor="text1"/>
                <w:kern w:val="28"/>
                <w:sz w:val="16"/>
              </w:rPr>
              <w:t xml:space="preserve">НАИМЕНОВАНИЕ СРЕДСТВ </w:t>
            </w:r>
            <w:r>
              <w:rPr>
                <w:rFonts w:ascii="Arial" w:hAnsi="Arial" w:cs="Arial"/>
                <w:b/>
                <w:color w:val="000000" w:themeColor="text1"/>
                <w:kern w:val="28"/>
                <w:sz w:val="16"/>
              </w:rPr>
              <w:br/>
              <w:t xml:space="preserve">ИЗМЕРЕНИЙ И </w:t>
            </w:r>
            <w:r>
              <w:rPr>
                <w:rFonts w:ascii="Arial" w:hAnsi="Arial" w:cs="Arial"/>
                <w:b/>
                <w:color w:val="000000" w:themeColor="text1"/>
                <w:kern w:val="28"/>
                <w:sz w:val="16"/>
              </w:rPr>
              <w:br/>
              <w:t>РЕАКТИВОВ</w:t>
            </w:r>
          </w:p>
        </w:tc>
        <w:tc>
          <w:tcPr>
            <w:tcW w:w="1097" w:type="pct"/>
            <w:tcBorders>
              <w:top w:val="single" w:sz="12" w:space="0" w:color="auto"/>
              <w:bottom w:val="single" w:sz="12" w:space="0" w:color="auto"/>
            </w:tcBorders>
            <w:shd w:val="clear" w:color="auto" w:fill="FFD200"/>
            <w:vAlign w:val="center"/>
          </w:tcPr>
          <w:p>
            <w:pPr>
              <w:keepNext/>
              <w:ind w:left="57" w:right="57" w:firstLine="170"/>
              <w:jc w:val="center"/>
              <w:rPr>
                <w:rFonts w:ascii="Arial" w:hAnsi="Arial" w:cs="Arial"/>
                <w:b/>
                <w:color w:val="000000" w:themeColor="text1"/>
                <w:kern w:val="28"/>
                <w:sz w:val="16"/>
              </w:rPr>
            </w:pPr>
            <w:r>
              <w:rPr>
                <w:rFonts w:ascii="Arial" w:hAnsi="Arial" w:cs="Arial"/>
                <w:b/>
                <w:color w:val="000000" w:themeColor="text1"/>
                <w:kern w:val="28"/>
                <w:sz w:val="16"/>
              </w:rPr>
              <w:t>ОБОЗНАЧЕНИЕ И НАИМЕНОВАНИЕ ДОКУМЕНТОВ, В СООТВЕТСТВИИ С КОТОРЫМИ ВЫПУСКАЮТ СРЕДСТВА ИЗМЕРЕНИЙ И РЕАКТИВЫ</w:t>
            </w:r>
          </w:p>
        </w:tc>
        <w:tc>
          <w:tcPr>
            <w:tcW w:w="2278" w:type="pct"/>
            <w:tcBorders>
              <w:top w:val="single" w:sz="12" w:space="0" w:color="auto"/>
              <w:bottom w:val="single" w:sz="12" w:space="0" w:color="auto"/>
            </w:tcBorders>
            <w:shd w:val="clear" w:color="auto" w:fill="FFD200"/>
            <w:vAlign w:val="center"/>
          </w:tcPr>
          <w:p>
            <w:pPr>
              <w:keepNext/>
              <w:ind w:left="57" w:right="57" w:firstLine="264"/>
              <w:jc w:val="center"/>
              <w:rPr>
                <w:rFonts w:ascii="Arial" w:hAnsi="Arial" w:cs="Arial"/>
                <w:b/>
                <w:color w:val="000000" w:themeColor="text1"/>
                <w:kern w:val="28"/>
                <w:sz w:val="16"/>
              </w:rPr>
            </w:pPr>
            <w:r>
              <w:rPr>
                <w:rFonts w:ascii="Arial" w:hAnsi="Arial" w:cs="Arial"/>
                <w:b/>
                <w:color w:val="000000" w:themeColor="text1"/>
                <w:kern w:val="28"/>
                <w:sz w:val="16"/>
              </w:rPr>
              <w:t>МЕТРОЛОГИЧЕСКИЕ, ТЕХНИЧЕСКИЕ ХАРАКТЕРИСТИКИ ИЛИ ССЫЛКА НА ЧЕРТЕЖ. ТРЕБОВАНИЯ К КАЧЕСТВУ РЕАКТИВОВ</w:t>
            </w:r>
          </w:p>
        </w:tc>
      </w:tr>
      <w:tr>
        <w:trPr>
          <w:tblHeader/>
        </w:trPr>
        <w:tc>
          <w:tcPr>
            <w:tcW w:w="223" w:type="pct"/>
            <w:tcBorders>
              <w:top w:val="single" w:sz="12" w:space="0" w:color="auto"/>
              <w:bottom w:val="single" w:sz="12" w:space="0" w:color="auto"/>
            </w:tcBorders>
            <w:shd w:val="clear" w:color="auto" w:fill="FFD200"/>
          </w:tcPr>
          <w:p>
            <w:pPr>
              <w:keepNext/>
              <w:ind w:left="57"/>
              <w:jc w:val="center"/>
              <w:rPr>
                <w:rFonts w:ascii="Arial" w:eastAsia="Times New Roman" w:hAnsi="Arial" w:cs="Arial"/>
                <w:b/>
                <w:kern w:val="28"/>
                <w:sz w:val="16"/>
              </w:rPr>
            </w:pPr>
            <w:r>
              <w:rPr>
                <w:rFonts w:ascii="Arial" w:eastAsia="Times New Roman" w:hAnsi="Arial" w:cs="Arial"/>
                <w:b/>
                <w:kern w:val="28"/>
                <w:sz w:val="16"/>
              </w:rPr>
              <w:t>1</w:t>
            </w:r>
          </w:p>
        </w:tc>
        <w:tc>
          <w:tcPr>
            <w:tcW w:w="1402" w:type="pct"/>
            <w:tcBorders>
              <w:top w:val="single" w:sz="12" w:space="0" w:color="auto"/>
              <w:bottom w:val="single" w:sz="12" w:space="0" w:color="auto"/>
            </w:tcBorders>
            <w:shd w:val="clear" w:color="auto" w:fill="FFD200"/>
          </w:tcPr>
          <w:p>
            <w:pPr>
              <w:keepNext/>
              <w:ind w:left="57"/>
              <w:jc w:val="center"/>
              <w:rPr>
                <w:rFonts w:ascii="Arial" w:eastAsia="Times New Roman" w:hAnsi="Arial" w:cs="Arial"/>
                <w:b/>
                <w:kern w:val="28"/>
                <w:sz w:val="16"/>
              </w:rPr>
            </w:pPr>
            <w:r>
              <w:rPr>
                <w:rFonts w:ascii="Arial" w:eastAsia="Times New Roman" w:hAnsi="Arial" w:cs="Arial"/>
                <w:b/>
                <w:kern w:val="28"/>
                <w:sz w:val="16"/>
              </w:rPr>
              <w:t>2</w:t>
            </w:r>
          </w:p>
        </w:tc>
        <w:tc>
          <w:tcPr>
            <w:tcW w:w="1097" w:type="pct"/>
            <w:tcBorders>
              <w:top w:val="single" w:sz="12" w:space="0" w:color="auto"/>
              <w:bottom w:val="single" w:sz="12" w:space="0" w:color="auto"/>
            </w:tcBorders>
            <w:shd w:val="clear" w:color="auto" w:fill="FFD200"/>
          </w:tcPr>
          <w:p>
            <w:pPr>
              <w:keepNext/>
              <w:ind w:left="57" w:firstLine="170"/>
              <w:jc w:val="center"/>
              <w:rPr>
                <w:rFonts w:ascii="Arial" w:eastAsia="Times New Roman" w:hAnsi="Arial" w:cs="Arial"/>
                <w:b/>
                <w:kern w:val="28"/>
                <w:sz w:val="16"/>
              </w:rPr>
            </w:pPr>
            <w:r>
              <w:rPr>
                <w:rFonts w:ascii="Arial" w:eastAsia="Times New Roman" w:hAnsi="Arial" w:cs="Arial"/>
                <w:b/>
                <w:kern w:val="28"/>
                <w:sz w:val="16"/>
              </w:rPr>
              <w:t>3</w:t>
            </w:r>
          </w:p>
        </w:tc>
        <w:tc>
          <w:tcPr>
            <w:tcW w:w="2278" w:type="pct"/>
            <w:tcBorders>
              <w:top w:val="single" w:sz="12" w:space="0" w:color="auto"/>
              <w:bottom w:val="single" w:sz="12" w:space="0" w:color="auto"/>
            </w:tcBorders>
            <w:shd w:val="clear" w:color="auto" w:fill="FFD200"/>
          </w:tcPr>
          <w:p>
            <w:pPr>
              <w:keepNext/>
              <w:ind w:left="-8" w:firstLine="264"/>
              <w:jc w:val="center"/>
              <w:rPr>
                <w:rFonts w:ascii="Arial" w:eastAsia="Times New Roman" w:hAnsi="Arial" w:cs="Arial"/>
                <w:b/>
                <w:kern w:val="28"/>
                <w:sz w:val="16"/>
              </w:rPr>
            </w:pPr>
            <w:r>
              <w:rPr>
                <w:rFonts w:ascii="Arial" w:eastAsia="Times New Roman" w:hAnsi="Arial" w:cs="Arial"/>
                <w:b/>
                <w:kern w:val="28"/>
                <w:sz w:val="16"/>
              </w:rPr>
              <w:t>4</w:t>
            </w:r>
          </w:p>
        </w:tc>
      </w:tr>
      <w:tr>
        <w:tc>
          <w:tcPr>
            <w:tcW w:w="223" w:type="pct"/>
            <w:tcBorders>
              <w:top w:val="single" w:sz="12" w:space="0" w:color="auto"/>
              <w:left w:val="single" w:sz="12" w:space="0" w:color="auto"/>
              <w:bottom w:val="single" w:sz="6" w:space="0" w:color="auto"/>
            </w:tcBorders>
          </w:tcPr>
          <w:p>
            <w:pPr>
              <w:ind w:left="57" w:right="57"/>
              <w:rPr>
                <w:kern w:val="28"/>
                <w:sz w:val="20"/>
                <w:szCs w:val="20"/>
              </w:rPr>
            </w:pPr>
            <w:r>
              <w:rPr>
                <w:kern w:val="28"/>
                <w:sz w:val="20"/>
                <w:szCs w:val="20"/>
              </w:rPr>
              <w:t>1</w:t>
            </w:r>
          </w:p>
        </w:tc>
        <w:tc>
          <w:tcPr>
            <w:tcW w:w="1402" w:type="pct"/>
            <w:tcBorders>
              <w:top w:val="single" w:sz="12" w:space="0" w:color="auto"/>
              <w:bottom w:val="single" w:sz="6" w:space="0" w:color="auto"/>
            </w:tcBorders>
          </w:tcPr>
          <w:p>
            <w:pPr>
              <w:ind w:left="57" w:right="57"/>
              <w:jc w:val="left"/>
              <w:rPr>
                <w:kern w:val="28"/>
                <w:sz w:val="20"/>
                <w:szCs w:val="20"/>
              </w:rPr>
            </w:pPr>
            <w:r>
              <w:rPr>
                <w:kern w:val="28"/>
                <w:sz w:val="20"/>
                <w:szCs w:val="20"/>
              </w:rPr>
              <w:t xml:space="preserve">Анализатор жидкости/ </w:t>
            </w:r>
            <w:r>
              <w:rPr>
                <w:color w:val="000000" w:themeColor="text1"/>
                <w:kern w:val="28"/>
                <w:sz w:val="20"/>
                <w:szCs w:val="20"/>
              </w:rPr>
              <w:t>рН-</w:t>
            </w:r>
            <w:r>
              <w:rPr>
                <w:color w:val="000000" w:themeColor="text1"/>
                <w:kern w:val="28"/>
                <w:sz w:val="20"/>
                <w:szCs w:val="20"/>
              </w:rPr>
              <w:lastRenderedPageBreak/>
              <w:t>метр</w:t>
            </w:r>
          </w:p>
        </w:tc>
        <w:tc>
          <w:tcPr>
            <w:tcW w:w="1097" w:type="pct"/>
            <w:tcBorders>
              <w:top w:val="single" w:sz="12" w:space="0" w:color="auto"/>
              <w:bottom w:val="single" w:sz="6" w:space="0" w:color="auto"/>
            </w:tcBorders>
          </w:tcPr>
          <w:p>
            <w:pPr>
              <w:ind w:left="57" w:right="57"/>
              <w:jc w:val="left"/>
              <w:rPr>
                <w:kern w:val="28"/>
                <w:sz w:val="20"/>
                <w:szCs w:val="20"/>
              </w:rPr>
            </w:pPr>
            <w:r>
              <w:rPr>
                <w:kern w:val="28"/>
                <w:sz w:val="20"/>
                <w:szCs w:val="20"/>
              </w:rPr>
              <w:lastRenderedPageBreak/>
              <w:t xml:space="preserve">Средство измерения </w:t>
            </w:r>
            <w:r>
              <w:rPr>
                <w:kern w:val="28"/>
                <w:sz w:val="20"/>
                <w:szCs w:val="20"/>
              </w:rPr>
              <w:lastRenderedPageBreak/>
              <w:t>должно быть допущено к использованию в РФ и включено в Государственный реестр средств измерений РФ</w:t>
            </w:r>
          </w:p>
        </w:tc>
        <w:tc>
          <w:tcPr>
            <w:tcW w:w="2278" w:type="pct"/>
            <w:tcBorders>
              <w:top w:val="single" w:sz="12" w:space="0" w:color="auto"/>
              <w:bottom w:val="single" w:sz="6" w:space="0" w:color="auto"/>
            </w:tcBorders>
          </w:tcPr>
          <w:p>
            <w:pPr>
              <w:ind w:left="57" w:right="57"/>
              <w:jc w:val="left"/>
              <w:rPr>
                <w:kern w:val="28"/>
                <w:sz w:val="20"/>
                <w:szCs w:val="20"/>
              </w:rPr>
            </w:pPr>
            <w:r>
              <w:rPr>
                <w:kern w:val="28"/>
                <w:sz w:val="20"/>
                <w:szCs w:val="20"/>
              </w:rPr>
              <w:lastRenderedPageBreak/>
              <w:t xml:space="preserve">Диапазон измерения водородного показателя от 1 </w:t>
            </w:r>
            <w:r>
              <w:rPr>
                <w:kern w:val="28"/>
                <w:sz w:val="20"/>
                <w:szCs w:val="20"/>
              </w:rPr>
              <w:lastRenderedPageBreak/>
              <w:t>до 12 единиц рН, предел допускаемой основной абсолютной погрешности измерения водородного показателя ±0,01 ед. pH</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lastRenderedPageBreak/>
              <w:t>2</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Штангенциркуль электронный</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166</w:t>
            </w: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Диапазон измерений 0-250 мм, </w:t>
            </w:r>
          </w:p>
          <w:p>
            <w:pPr>
              <w:ind w:left="57" w:right="57"/>
              <w:jc w:val="left"/>
              <w:rPr>
                <w:kern w:val="28"/>
                <w:sz w:val="20"/>
                <w:szCs w:val="20"/>
              </w:rPr>
            </w:pPr>
            <w:r>
              <w:rPr>
                <w:kern w:val="28"/>
                <w:sz w:val="20"/>
                <w:szCs w:val="20"/>
              </w:rPr>
              <w:t xml:space="preserve">предел допускаемой погрешности ±0,04 мм </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3</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Весы лабораторные </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Р 53228</w:t>
            </w: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Наибольший предел взвешивания 210 г, погрешность взвешивания:</w:t>
            </w:r>
          </w:p>
          <w:p>
            <w:pPr>
              <w:numPr>
                <w:ilvl w:val="0"/>
                <w:numId w:val="53"/>
              </w:numPr>
              <w:tabs>
                <w:tab w:val="left" w:pos="539"/>
              </w:tabs>
              <w:spacing w:before="120"/>
              <w:ind w:left="538" w:hanging="357"/>
              <w:jc w:val="left"/>
              <w:rPr>
                <w:kern w:val="28"/>
                <w:sz w:val="20"/>
                <w:szCs w:val="20"/>
              </w:rPr>
            </w:pPr>
            <w:r>
              <w:rPr>
                <w:kern w:val="28"/>
                <w:sz w:val="20"/>
                <w:szCs w:val="20"/>
              </w:rPr>
              <w:t>± 0,5 мг - до 50 г вкл.,</w:t>
            </w:r>
          </w:p>
          <w:p>
            <w:pPr>
              <w:numPr>
                <w:ilvl w:val="0"/>
                <w:numId w:val="53"/>
              </w:numPr>
              <w:tabs>
                <w:tab w:val="left" w:pos="539"/>
              </w:tabs>
              <w:spacing w:before="120"/>
              <w:ind w:left="538" w:hanging="357"/>
              <w:jc w:val="left"/>
              <w:rPr>
                <w:kern w:val="28"/>
                <w:sz w:val="20"/>
                <w:szCs w:val="20"/>
              </w:rPr>
            </w:pPr>
            <w:r>
              <w:rPr>
                <w:kern w:val="28"/>
                <w:sz w:val="20"/>
                <w:szCs w:val="20"/>
              </w:rPr>
              <w:t xml:space="preserve">± 0,7 мг - св. 50 г до 210 г вкл. </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4</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Весы электронные прецизионные </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Р 53228</w:t>
            </w:r>
          </w:p>
          <w:p>
            <w:pPr>
              <w:ind w:left="57" w:right="57"/>
              <w:jc w:val="left"/>
              <w:rPr>
                <w:kern w:val="28"/>
                <w:sz w:val="20"/>
                <w:szCs w:val="20"/>
              </w:rPr>
            </w:pP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Наибольший предел взвешивания 410 г, погрешность взвешивания ±0,03 г </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5</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Термометр ртутный стеклянный лабораторный </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28498</w:t>
            </w:r>
          </w:p>
          <w:p>
            <w:pPr>
              <w:ind w:left="57" w:right="57"/>
              <w:jc w:val="left"/>
              <w:rPr>
                <w:kern w:val="28"/>
                <w:sz w:val="20"/>
                <w:szCs w:val="20"/>
              </w:rPr>
            </w:pP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Диапазон измерений температуры от 0 до плюс 55 </w:t>
            </w:r>
            <w:r>
              <w:rPr>
                <w:kern w:val="28"/>
                <w:sz w:val="20"/>
                <w:szCs w:val="20"/>
                <w:vertAlign w:val="superscript"/>
              </w:rPr>
              <w:t>о</w:t>
            </w:r>
            <w:r>
              <w:rPr>
                <w:kern w:val="28"/>
                <w:sz w:val="20"/>
                <w:szCs w:val="20"/>
              </w:rPr>
              <w:t xml:space="preserve">С, цена деления 0,1 </w:t>
            </w:r>
            <w:r>
              <w:rPr>
                <w:kern w:val="28"/>
                <w:sz w:val="20"/>
                <w:szCs w:val="20"/>
                <w:vertAlign w:val="superscript"/>
              </w:rPr>
              <w:t>о</w:t>
            </w:r>
            <w:r>
              <w:rPr>
                <w:kern w:val="28"/>
                <w:sz w:val="20"/>
                <w:szCs w:val="20"/>
              </w:rPr>
              <w:t>С</w:t>
            </w:r>
          </w:p>
        </w:tc>
      </w:tr>
      <w:tr>
        <w:trPr>
          <w:trHeight w:val="293"/>
        </w:trP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6</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Прибор комбинированный</w:t>
            </w:r>
            <w:r>
              <w:rPr>
                <w:kern w:val="28"/>
                <w:sz w:val="20"/>
                <w:szCs w:val="20"/>
              </w:rPr>
              <w:br/>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19300</w:t>
            </w:r>
          </w:p>
          <w:p>
            <w:pPr>
              <w:ind w:left="57" w:right="57"/>
              <w:jc w:val="left"/>
              <w:rPr>
                <w:kern w:val="28"/>
                <w:sz w:val="20"/>
                <w:szCs w:val="20"/>
              </w:rPr>
            </w:pPr>
            <w:r>
              <w:rPr>
                <w:kern w:val="28"/>
                <w:sz w:val="20"/>
                <w:szCs w:val="20"/>
              </w:rPr>
              <w:t>Средство измерения должно быть допущено к использованию в РФ и включено в Государственный реестр средств измерений РФ</w:t>
            </w: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Диапазон измерений:</w:t>
            </w:r>
          </w:p>
          <w:p>
            <w:pPr>
              <w:numPr>
                <w:ilvl w:val="0"/>
                <w:numId w:val="53"/>
              </w:numPr>
              <w:tabs>
                <w:tab w:val="left" w:pos="539"/>
              </w:tabs>
              <w:spacing w:before="120"/>
              <w:ind w:left="538" w:hanging="357"/>
              <w:jc w:val="left"/>
              <w:rPr>
                <w:kern w:val="28"/>
                <w:sz w:val="20"/>
                <w:szCs w:val="20"/>
              </w:rPr>
            </w:pPr>
            <w:r>
              <w:rPr>
                <w:kern w:val="28"/>
                <w:sz w:val="20"/>
                <w:szCs w:val="20"/>
              </w:rPr>
              <w:t xml:space="preserve">температуры воздуха от минус 10 </w:t>
            </w:r>
            <w:r>
              <w:rPr>
                <w:kern w:val="28"/>
                <w:sz w:val="20"/>
                <w:szCs w:val="20"/>
                <w:vertAlign w:val="superscript"/>
              </w:rPr>
              <w:t>о</w:t>
            </w:r>
            <w:r>
              <w:rPr>
                <w:kern w:val="28"/>
                <w:sz w:val="20"/>
                <w:szCs w:val="20"/>
              </w:rPr>
              <w:t xml:space="preserve">С до плюс 60 </w:t>
            </w:r>
            <w:r>
              <w:rPr>
                <w:kern w:val="28"/>
                <w:sz w:val="20"/>
                <w:szCs w:val="20"/>
                <w:vertAlign w:val="superscript"/>
              </w:rPr>
              <w:t>о</w:t>
            </w:r>
            <w:r>
              <w:rPr>
                <w:kern w:val="28"/>
                <w:sz w:val="20"/>
                <w:szCs w:val="20"/>
              </w:rPr>
              <w:t>С,</w:t>
            </w:r>
          </w:p>
          <w:p>
            <w:pPr>
              <w:numPr>
                <w:ilvl w:val="0"/>
                <w:numId w:val="52"/>
              </w:numPr>
              <w:tabs>
                <w:tab w:val="left" w:pos="539"/>
              </w:tabs>
              <w:spacing w:before="120"/>
              <w:ind w:left="896" w:hanging="357"/>
              <w:jc w:val="left"/>
              <w:rPr>
                <w:kern w:val="28"/>
                <w:sz w:val="20"/>
                <w:szCs w:val="20"/>
              </w:rPr>
            </w:pPr>
            <w:r>
              <w:rPr>
                <w:kern w:val="28"/>
                <w:sz w:val="20"/>
                <w:szCs w:val="20"/>
              </w:rPr>
              <w:t xml:space="preserve">предел допускаемой абсолютной погрешности измерений температуры воздуха ±0,4 </w:t>
            </w:r>
            <w:r>
              <w:rPr>
                <w:kern w:val="28"/>
                <w:sz w:val="20"/>
                <w:szCs w:val="20"/>
                <w:vertAlign w:val="superscript"/>
              </w:rPr>
              <w:t>о</w:t>
            </w:r>
            <w:r>
              <w:rPr>
                <w:kern w:val="28"/>
                <w:sz w:val="20"/>
                <w:szCs w:val="20"/>
              </w:rPr>
              <w:t xml:space="preserve">С. </w:t>
            </w:r>
          </w:p>
          <w:p>
            <w:pPr>
              <w:numPr>
                <w:ilvl w:val="0"/>
                <w:numId w:val="53"/>
              </w:numPr>
              <w:tabs>
                <w:tab w:val="left" w:pos="539"/>
              </w:tabs>
              <w:spacing w:before="120"/>
              <w:ind w:left="538" w:hanging="357"/>
              <w:jc w:val="left"/>
              <w:rPr>
                <w:kern w:val="28"/>
                <w:sz w:val="20"/>
                <w:szCs w:val="20"/>
              </w:rPr>
            </w:pPr>
            <w:r>
              <w:rPr>
                <w:kern w:val="28"/>
                <w:sz w:val="20"/>
                <w:szCs w:val="20"/>
              </w:rPr>
              <w:t xml:space="preserve">относительной влажности воздуха от 10 до 98 %; </w:t>
            </w:r>
          </w:p>
          <w:p>
            <w:pPr>
              <w:numPr>
                <w:ilvl w:val="0"/>
                <w:numId w:val="52"/>
              </w:numPr>
              <w:tabs>
                <w:tab w:val="left" w:pos="539"/>
              </w:tabs>
              <w:spacing w:before="120"/>
              <w:ind w:left="896" w:hanging="357"/>
              <w:jc w:val="left"/>
              <w:rPr>
                <w:kern w:val="28"/>
                <w:sz w:val="20"/>
                <w:szCs w:val="20"/>
              </w:rPr>
            </w:pPr>
            <w:r>
              <w:rPr>
                <w:kern w:val="28"/>
                <w:sz w:val="20"/>
                <w:szCs w:val="20"/>
              </w:rPr>
              <w:t>предел допускаемой абсолютной погрешности измерений относительной влажности воздуха ±3 %.</w:t>
            </w:r>
          </w:p>
          <w:p>
            <w:pPr>
              <w:numPr>
                <w:ilvl w:val="0"/>
                <w:numId w:val="53"/>
              </w:numPr>
              <w:tabs>
                <w:tab w:val="left" w:pos="539"/>
              </w:tabs>
              <w:spacing w:before="120"/>
              <w:ind w:left="538" w:hanging="357"/>
              <w:jc w:val="left"/>
              <w:rPr>
                <w:kern w:val="28"/>
                <w:sz w:val="20"/>
                <w:szCs w:val="20"/>
              </w:rPr>
            </w:pPr>
            <w:r>
              <w:rPr>
                <w:kern w:val="28"/>
                <w:sz w:val="20"/>
                <w:szCs w:val="20"/>
              </w:rPr>
              <w:t>давления от 300 до 1200 гПа;</w:t>
            </w:r>
          </w:p>
          <w:p>
            <w:pPr>
              <w:numPr>
                <w:ilvl w:val="0"/>
                <w:numId w:val="52"/>
              </w:numPr>
              <w:tabs>
                <w:tab w:val="left" w:pos="539"/>
              </w:tabs>
              <w:spacing w:before="120"/>
              <w:ind w:left="896" w:hanging="357"/>
              <w:jc w:val="left"/>
              <w:rPr>
                <w:kern w:val="28"/>
                <w:sz w:val="20"/>
                <w:szCs w:val="20"/>
              </w:rPr>
            </w:pPr>
            <w:r>
              <w:rPr>
                <w:kern w:val="28"/>
                <w:sz w:val="20"/>
                <w:szCs w:val="20"/>
              </w:rPr>
              <w:t>предел допускаемой погрешности измерений давления ±3 гПа</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7</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Аквадистиллятор электрический ДЭ-10</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ТУ 64-1-308</w:t>
            </w: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Производительность 10 л/ч</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8</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Натрия хлорид</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4233</w:t>
            </w:r>
          </w:p>
        </w:tc>
        <w:tc>
          <w:tcPr>
            <w:tcW w:w="2278" w:type="pct"/>
            <w:tcBorders>
              <w:top w:val="single" w:sz="6" w:space="0" w:color="auto"/>
              <w:bottom w:val="single" w:sz="6" w:space="0" w:color="auto"/>
            </w:tcBorders>
            <w:tcMar>
              <w:left w:w="113" w:type="dxa"/>
            </w:tcMar>
          </w:tcPr>
          <w:p>
            <w:pPr>
              <w:ind w:left="-57" w:right="57"/>
              <w:jc w:val="left"/>
              <w:rPr>
                <w:kern w:val="28"/>
                <w:sz w:val="20"/>
                <w:szCs w:val="20"/>
              </w:rPr>
            </w:pPr>
            <w:r>
              <w:rPr>
                <w:kern w:val="28"/>
                <w:sz w:val="20"/>
                <w:szCs w:val="20"/>
              </w:rPr>
              <w:t xml:space="preserve">Химически чистый </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9</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Азот газообразный</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9293</w:t>
            </w:r>
          </w:p>
        </w:tc>
        <w:tc>
          <w:tcPr>
            <w:tcW w:w="2278" w:type="pct"/>
            <w:tcBorders>
              <w:top w:val="single" w:sz="6" w:space="0" w:color="auto"/>
              <w:bottom w:val="single" w:sz="6" w:space="0" w:color="auto"/>
            </w:tcBorders>
          </w:tcPr>
          <w:p>
            <w:pPr>
              <w:ind w:left="57" w:right="57"/>
              <w:jc w:val="left"/>
              <w:rPr>
                <w:kern w:val="28"/>
                <w:sz w:val="20"/>
                <w:szCs w:val="20"/>
              </w:rPr>
            </w:pPr>
            <w:r>
              <w:rPr>
                <w:kern w:val="28"/>
                <w:sz w:val="20"/>
                <w:szCs w:val="20"/>
              </w:rPr>
              <w:t>Особо чистый</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10</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 xml:space="preserve">Сероводород газообразный баллонный или получаемый химическим методом </w:t>
            </w:r>
          </w:p>
        </w:tc>
        <w:tc>
          <w:tcPr>
            <w:tcW w:w="1097" w:type="pct"/>
            <w:tcBorders>
              <w:top w:val="single" w:sz="6" w:space="0" w:color="auto"/>
              <w:bottom w:val="single" w:sz="6" w:space="0" w:color="auto"/>
            </w:tcBorders>
          </w:tcPr>
          <w:p>
            <w:pPr>
              <w:jc w:val="left"/>
              <w:rPr>
                <w:sz w:val="20"/>
                <w:szCs w:val="20"/>
              </w:rPr>
            </w:pPr>
            <w:r>
              <w:rPr>
                <w:sz w:val="20"/>
                <w:szCs w:val="20"/>
              </w:rPr>
              <w:t>-</w:t>
            </w:r>
          </w:p>
        </w:tc>
        <w:tc>
          <w:tcPr>
            <w:tcW w:w="2278" w:type="pct"/>
            <w:tcBorders>
              <w:top w:val="single" w:sz="6" w:space="0" w:color="auto"/>
              <w:bottom w:val="single" w:sz="6" w:space="0" w:color="auto"/>
            </w:tcBorders>
            <w:tcMar>
              <w:left w:w="113" w:type="dxa"/>
            </w:tcMar>
          </w:tcPr>
          <w:p>
            <w:pPr>
              <w:ind w:left="-57" w:right="57"/>
              <w:jc w:val="left"/>
              <w:rPr>
                <w:kern w:val="28"/>
                <w:sz w:val="20"/>
                <w:szCs w:val="20"/>
              </w:rPr>
            </w:pPr>
            <w:r>
              <w:rPr>
                <w:kern w:val="28"/>
                <w:sz w:val="20"/>
                <w:szCs w:val="20"/>
              </w:rPr>
              <w:t xml:space="preserve">Сероводород в баллонах чистотой не хуже 99,5%. </w:t>
            </w:r>
          </w:p>
          <w:p>
            <w:pPr>
              <w:ind w:left="-57" w:right="57"/>
              <w:jc w:val="left"/>
              <w:rPr>
                <w:kern w:val="28"/>
                <w:sz w:val="20"/>
                <w:szCs w:val="20"/>
              </w:rPr>
            </w:pP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11</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Вода дистиллированная</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6709</w:t>
            </w:r>
          </w:p>
        </w:tc>
        <w:tc>
          <w:tcPr>
            <w:tcW w:w="2278" w:type="pct"/>
            <w:tcBorders>
              <w:top w:val="single" w:sz="6" w:space="0" w:color="auto"/>
              <w:bottom w:val="single" w:sz="6" w:space="0" w:color="auto"/>
            </w:tcBorders>
            <w:tcMar>
              <w:left w:w="113" w:type="dxa"/>
            </w:tcMar>
          </w:tcPr>
          <w:p>
            <w:pPr>
              <w:ind w:left="-57" w:right="57"/>
              <w:jc w:val="left"/>
              <w:rPr>
                <w:kern w:val="28"/>
                <w:sz w:val="20"/>
                <w:szCs w:val="20"/>
              </w:rPr>
            </w:pPr>
            <w:r>
              <w:rPr>
                <w:kern w:val="28"/>
                <w:sz w:val="20"/>
                <w:szCs w:val="20"/>
              </w:rPr>
              <w:t>Электропроводность не более 5 мкСм/см</w:t>
            </w:r>
          </w:p>
        </w:tc>
      </w:tr>
      <w:tr>
        <w:tc>
          <w:tcPr>
            <w:tcW w:w="223" w:type="pct"/>
            <w:tcBorders>
              <w:top w:val="single" w:sz="6" w:space="0" w:color="auto"/>
              <w:left w:val="single" w:sz="12" w:space="0" w:color="auto"/>
              <w:bottom w:val="single" w:sz="6" w:space="0" w:color="auto"/>
            </w:tcBorders>
          </w:tcPr>
          <w:p>
            <w:pPr>
              <w:ind w:left="57" w:right="57"/>
              <w:rPr>
                <w:kern w:val="28"/>
                <w:sz w:val="20"/>
                <w:szCs w:val="20"/>
              </w:rPr>
            </w:pPr>
            <w:r>
              <w:rPr>
                <w:kern w:val="28"/>
                <w:sz w:val="20"/>
                <w:szCs w:val="20"/>
              </w:rPr>
              <w:t>12</w:t>
            </w:r>
          </w:p>
        </w:tc>
        <w:tc>
          <w:tcPr>
            <w:tcW w:w="1402" w:type="pct"/>
            <w:tcBorders>
              <w:top w:val="single" w:sz="6" w:space="0" w:color="auto"/>
              <w:bottom w:val="single" w:sz="6" w:space="0" w:color="auto"/>
            </w:tcBorders>
          </w:tcPr>
          <w:p>
            <w:pPr>
              <w:ind w:left="57" w:right="57"/>
              <w:jc w:val="left"/>
              <w:rPr>
                <w:kern w:val="28"/>
                <w:sz w:val="20"/>
                <w:szCs w:val="20"/>
              </w:rPr>
            </w:pPr>
            <w:r>
              <w:rPr>
                <w:kern w:val="28"/>
                <w:sz w:val="20"/>
                <w:szCs w:val="20"/>
              </w:rPr>
              <w:t>Натрия гидроокись</w:t>
            </w:r>
          </w:p>
        </w:tc>
        <w:tc>
          <w:tcPr>
            <w:tcW w:w="1097" w:type="pct"/>
            <w:tcBorders>
              <w:top w:val="single" w:sz="6" w:space="0" w:color="auto"/>
              <w:bottom w:val="single" w:sz="6" w:space="0" w:color="auto"/>
            </w:tcBorders>
          </w:tcPr>
          <w:p>
            <w:pPr>
              <w:ind w:left="57" w:right="57"/>
              <w:jc w:val="left"/>
              <w:rPr>
                <w:kern w:val="28"/>
                <w:sz w:val="20"/>
                <w:szCs w:val="20"/>
              </w:rPr>
            </w:pPr>
            <w:r>
              <w:rPr>
                <w:kern w:val="28"/>
                <w:sz w:val="20"/>
                <w:szCs w:val="20"/>
              </w:rPr>
              <w:t>ГОСТ 4328</w:t>
            </w:r>
          </w:p>
        </w:tc>
        <w:tc>
          <w:tcPr>
            <w:tcW w:w="2278" w:type="pct"/>
            <w:tcBorders>
              <w:top w:val="single" w:sz="6" w:space="0" w:color="auto"/>
              <w:bottom w:val="single" w:sz="6" w:space="0" w:color="auto"/>
            </w:tcBorders>
            <w:tcMar>
              <w:left w:w="113" w:type="dxa"/>
            </w:tcMar>
          </w:tcPr>
          <w:p>
            <w:pPr>
              <w:ind w:left="-57" w:right="57"/>
              <w:jc w:val="left"/>
              <w:rPr>
                <w:kern w:val="28"/>
                <w:sz w:val="20"/>
                <w:szCs w:val="20"/>
              </w:rPr>
            </w:pPr>
            <w:r>
              <w:rPr>
                <w:kern w:val="28"/>
                <w:sz w:val="20"/>
                <w:szCs w:val="20"/>
              </w:rPr>
              <w:t>Чистый для анализа</w:t>
            </w:r>
          </w:p>
        </w:tc>
      </w:tr>
      <w:tr>
        <w:tc>
          <w:tcPr>
            <w:tcW w:w="223" w:type="pct"/>
            <w:tcBorders>
              <w:top w:val="single" w:sz="6" w:space="0" w:color="auto"/>
              <w:left w:val="single" w:sz="12" w:space="0" w:color="auto"/>
              <w:bottom w:val="single" w:sz="12" w:space="0" w:color="auto"/>
            </w:tcBorders>
          </w:tcPr>
          <w:p>
            <w:pPr>
              <w:ind w:left="57" w:right="57"/>
              <w:rPr>
                <w:kern w:val="28"/>
                <w:sz w:val="20"/>
                <w:szCs w:val="20"/>
              </w:rPr>
            </w:pPr>
            <w:r>
              <w:rPr>
                <w:kern w:val="28"/>
                <w:sz w:val="20"/>
                <w:szCs w:val="20"/>
              </w:rPr>
              <w:t>13</w:t>
            </w:r>
          </w:p>
        </w:tc>
        <w:tc>
          <w:tcPr>
            <w:tcW w:w="1402" w:type="pct"/>
            <w:tcBorders>
              <w:top w:val="single" w:sz="6" w:space="0" w:color="auto"/>
              <w:bottom w:val="single" w:sz="12" w:space="0" w:color="auto"/>
            </w:tcBorders>
            <w:shd w:val="clear" w:color="auto" w:fill="FFFFFF" w:themeFill="background1"/>
          </w:tcPr>
          <w:p>
            <w:pPr>
              <w:ind w:left="57" w:right="57"/>
              <w:jc w:val="left"/>
              <w:rPr>
                <w:kern w:val="28"/>
                <w:sz w:val="20"/>
                <w:szCs w:val="20"/>
              </w:rPr>
            </w:pPr>
            <w:r>
              <w:rPr>
                <w:kern w:val="28"/>
                <w:sz w:val="20"/>
                <w:szCs w:val="20"/>
              </w:rPr>
              <w:t>Ацетон</w:t>
            </w:r>
          </w:p>
        </w:tc>
        <w:tc>
          <w:tcPr>
            <w:tcW w:w="1097" w:type="pct"/>
            <w:tcBorders>
              <w:top w:val="single" w:sz="6" w:space="0" w:color="auto"/>
              <w:bottom w:val="single" w:sz="12" w:space="0" w:color="auto"/>
            </w:tcBorders>
            <w:shd w:val="clear" w:color="auto" w:fill="FFFFFF" w:themeFill="background1"/>
          </w:tcPr>
          <w:p>
            <w:pPr>
              <w:ind w:left="57" w:right="57"/>
              <w:jc w:val="left"/>
              <w:rPr>
                <w:kern w:val="28"/>
                <w:sz w:val="20"/>
                <w:szCs w:val="20"/>
              </w:rPr>
            </w:pPr>
            <w:r>
              <w:rPr>
                <w:kern w:val="28"/>
                <w:sz w:val="20"/>
                <w:szCs w:val="20"/>
              </w:rPr>
              <w:t>ГОСТ 2768</w:t>
            </w:r>
          </w:p>
        </w:tc>
        <w:tc>
          <w:tcPr>
            <w:tcW w:w="2278" w:type="pct"/>
            <w:tcBorders>
              <w:top w:val="single" w:sz="6" w:space="0" w:color="auto"/>
              <w:bottom w:val="single" w:sz="12" w:space="0" w:color="auto"/>
            </w:tcBorders>
            <w:tcMar>
              <w:left w:w="113" w:type="dxa"/>
            </w:tcMar>
          </w:tcPr>
          <w:p>
            <w:pPr>
              <w:ind w:left="-57" w:right="57"/>
              <w:jc w:val="left"/>
              <w:rPr>
                <w:kern w:val="28"/>
                <w:sz w:val="20"/>
                <w:szCs w:val="20"/>
              </w:rPr>
            </w:pPr>
            <w:r>
              <w:rPr>
                <w:kern w:val="28"/>
                <w:sz w:val="20"/>
                <w:szCs w:val="20"/>
              </w:rPr>
              <w:t>Химически чистый</w:t>
            </w:r>
          </w:p>
        </w:tc>
      </w:tr>
    </w:tbl>
    <w:p>
      <w:pPr>
        <w:widowControl w:val="0"/>
        <w:shd w:val="clear" w:color="auto" w:fill="FFFFFF"/>
        <w:autoSpaceDE w:val="0"/>
        <w:autoSpaceDN w:val="0"/>
        <w:adjustRightInd w:val="0"/>
        <w:rPr>
          <w:rFonts w:eastAsia="Times New Roman"/>
          <w:kern w:val="28"/>
        </w:rPr>
      </w:pPr>
    </w:p>
    <w:p>
      <w:pPr>
        <w:widowControl w:val="0"/>
        <w:shd w:val="clear" w:color="auto" w:fill="FFFFFF"/>
        <w:autoSpaceDE w:val="0"/>
        <w:autoSpaceDN w:val="0"/>
        <w:adjustRightInd w:val="0"/>
        <w:rPr>
          <w:rFonts w:eastAsia="Times New Roman"/>
          <w:kern w:val="28"/>
        </w:rPr>
      </w:pPr>
      <w:r>
        <w:rPr>
          <w:rFonts w:eastAsia="Times New Roman"/>
          <w:kern w:val="28"/>
        </w:rPr>
        <w:t>Допускается применение других средств измерений с улучшенными метрологическими и техническими характеристиками, а также химических реактивов квалификацией не ниже вышеперечисленных.</w:t>
      </w:r>
    </w:p>
    <w:p>
      <w:pPr>
        <w:widowControl w:val="0"/>
        <w:shd w:val="clear" w:color="auto" w:fill="FFFFFF"/>
        <w:autoSpaceDE w:val="0"/>
        <w:autoSpaceDN w:val="0"/>
        <w:adjustRightInd w:val="0"/>
        <w:rPr>
          <w:rFonts w:eastAsia="Times New Roman"/>
          <w:kern w:val="28"/>
        </w:rPr>
      </w:pPr>
    </w:p>
    <w:p>
      <w:pPr>
        <w:widowControl w:val="0"/>
        <w:shd w:val="clear" w:color="auto" w:fill="FFFFFF"/>
        <w:autoSpaceDE w:val="0"/>
        <w:autoSpaceDN w:val="0"/>
        <w:adjustRightInd w:val="0"/>
        <w:rPr>
          <w:rFonts w:eastAsia="Times New Roman"/>
          <w:kern w:val="28"/>
        </w:rPr>
      </w:pPr>
      <w:r>
        <w:rPr>
          <w:rFonts w:eastAsia="Times New Roman"/>
          <w:kern w:val="28"/>
        </w:rPr>
        <w:t xml:space="preserve">При использовании настоящей методики измерений целесообразно проверить действие </w:t>
      </w:r>
      <w:r>
        <w:rPr>
          <w:rFonts w:eastAsia="Times New Roman"/>
          <w:kern w:val="28"/>
        </w:rPr>
        <w:lastRenderedPageBreak/>
        <w:t>нормативно-технической документации РФ. Если НД РФ заменена (изменена), то при использовании настоящей методики измерений следует руководствоваться заменяющей (измененной) НД РФ.</w:t>
      </w:r>
    </w:p>
    <w:p>
      <w:pPr>
        <w:widowControl w:val="0"/>
        <w:shd w:val="clear" w:color="auto" w:fill="FFFFFF"/>
        <w:autoSpaceDE w:val="0"/>
        <w:autoSpaceDN w:val="0"/>
        <w:adjustRightInd w:val="0"/>
        <w:rPr>
          <w:rFonts w:eastAsia="Times New Roman"/>
          <w:kern w:val="28"/>
        </w:rPr>
      </w:pPr>
    </w:p>
    <w:p>
      <w:pPr>
        <w:widowControl w:val="0"/>
        <w:shd w:val="clear" w:color="auto" w:fill="FFFFFF"/>
        <w:autoSpaceDE w:val="0"/>
        <w:autoSpaceDN w:val="0"/>
        <w:adjustRightInd w:val="0"/>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ТРЕБОВАНИЯ К КВАЛИФИКАЦИИ СОТРУДНИКОВ</w:t>
      </w:r>
    </w:p>
    <w:p/>
    <w:p>
      <w:pPr>
        <w:rPr>
          <w:rFonts w:eastAsia="Times New Roman"/>
          <w:kern w:val="28"/>
        </w:rPr>
      </w:pPr>
      <w:r>
        <w:rPr>
          <w:rFonts w:eastAsia="Times New Roman"/>
          <w:kern w:val="28"/>
          <w:szCs w:val="20"/>
        </w:rPr>
        <w:t xml:space="preserve">К выполнению измерений и обработке результатов </w:t>
      </w:r>
      <w:r>
        <w:rPr>
          <w:rFonts w:eastAsia="Times New Roman"/>
          <w:kern w:val="28"/>
        </w:rPr>
        <w:t>допускают сотрудников, имеющих опыт работы в химической лаборатории, прошедших обучение и освоивших данный метод измерений.</w:t>
      </w:r>
    </w:p>
    <w:p>
      <w:pPr>
        <w:rPr>
          <w:rFonts w:eastAsia="Times New Roman"/>
          <w:kern w:val="28"/>
        </w:rPr>
      </w:pPr>
    </w:p>
    <w:p>
      <w:pPr>
        <w:widowControl w:val="0"/>
        <w:shd w:val="clear" w:color="auto" w:fill="FFFFFF"/>
        <w:autoSpaceDE w:val="0"/>
        <w:autoSpaceDN w:val="0"/>
        <w:adjustRightInd w:val="0"/>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ТРЕБОВАНИЯ К ОБОРУДОВАНИЮ</w:t>
      </w:r>
    </w:p>
    <w:p>
      <w:pPr>
        <w:rPr>
          <w:rFonts w:eastAsia="Times New Roman"/>
          <w:b/>
          <w:kern w:val="28"/>
        </w:rPr>
      </w:pPr>
    </w:p>
    <w:p>
      <w:pPr>
        <w:rPr>
          <w:rFonts w:eastAsia="Times New Roman"/>
          <w:b/>
          <w:kern w:val="28"/>
        </w:rPr>
      </w:pPr>
      <w:r>
        <w:rPr>
          <w:rFonts w:eastAsia="Times New Roman"/>
          <w:kern w:val="28"/>
        </w:rPr>
        <w:t>Емкости и другая испытательная аппаратура должны быть стойкими к воздействию коррозионной среды и не влиять на результаты испытаний.</w:t>
      </w:r>
    </w:p>
    <w:p>
      <w:pPr>
        <w:rPr>
          <w:rFonts w:eastAsia="Times New Roman"/>
          <w:kern w:val="28"/>
        </w:rPr>
      </w:pPr>
    </w:p>
    <w:p>
      <w:pPr>
        <w:rPr>
          <w:rFonts w:eastAsia="Times New Roman"/>
          <w:kern w:val="28"/>
        </w:rPr>
      </w:pPr>
      <w:r>
        <w:rPr>
          <w:rFonts w:eastAsia="Times New Roman"/>
          <w:kern w:val="28"/>
        </w:rPr>
        <w:t>При проведении испытаний используют герметично закрывающиеся емкости из стекла, органического стекла или фторопласта. Емкости снабжены штуцерами для подачи, удаления избытка сероводорода, а также штуцерами для отбора проб испытательного раствора.</w:t>
      </w:r>
    </w:p>
    <w:p>
      <w:pPr>
        <w:tabs>
          <w:tab w:val="left" w:pos="709"/>
        </w:tabs>
        <w:rPr>
          <w:rFonts w:eastAsia="Times New Roman"/>
          <w:kern w:val="28"/>
        </w:rPr>
      </w:pPr>
    </w:p>
    <w:p>
      <w:pPr>
        <w:tabs>
          <w:tab w:val="left" w:pos="709"/>
        </w:tabs>
        <w:rPr>
          <w:rFonts w:eastAsia="Times New Roman"/>
          <w:kern w:val="28"/>
        </w:rPr>
      </w:pPr>
      <w:r>
        <w:rPr>
          <w:rFonts w:eastAsia="Times New Roman"/>
          <w:kern w:val="28"/>
        </w:rPr>
        <w:t>Рекомендуемая схема установки для проведения коррозионных испытаний представлена на рисунке 1.</w:t>
      </w:r>
    </w:p>
    <w:p>
      <w:pPr>
        <w:ind w:left="709"/>
        <w:jc w:val="center"/>
        <w:rPr>
          <w:rFonts w:eastAsia="Times New Roman"/>
          <w:b/>
          <w:kern w:val="28"/>
        </w:rPr>
      </w:pPr>
      <w:r>
        <w:rPr>
          <w:rFonts w:eastAsia="Times New Roman"/>
          <w:noProof/>
          <w:kern w:val="28"/>
          <w:sz w:val="28"/>
          <w:szCs w:val="20"/>
        </w:rPr>
        <w:drawing>
          <wp:inline distT="0" distB="0" distL="0" distR="0">
            <wp:extent cx="3723640" cy="22383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23640" cy="2238375"/>
                    </a:xfrm>
                    <a:prstGeom prst="rect">
                      <a:avLst/>
                    </a:prstGeom>
                    <a:noFill/>
                    <a:ln>
                      <a:noFill/>
                    </a:ln>
                  </pic:spPr>
                </pic:pic>
              </a:graphicData>
            </a:graphic>
          </wp:inline>
        </w:drawing>
      </w:r>
    </w:p>
    <w:p>
      <w:pPr>
        <w:jc w:val="center"/>
        <w:rPr>
          <w:color w:val="000000" w:themeColor="text1"/>
          <w:sz w:val="20"/>
          <w:szCs w:val="20"/>
        </w:rPr>
      </w:pPr>
      <w:r>
        <w:rPr>
          <w:color w:val="000000" w:themeColor="text1"/>
          <w:sz w:val="20"/>
          <w:szCs w:val="20"/>
        </w:rPr>
        <w:t xml:space="preserve">1 – баллон с азотом; 2 – источник  сероводорода; 3 – ротаметр; 4 – емкость; 5 – термометр; </w:t>
      </w:r>
      <w:r>
        <w:rPr>
          <w:color w:val="000000" w:themeColor="text1"/>
          <w:sz w:val="20"/>
          <w:szCs w:val="20"/>
        </w:rPr>
        <w:br/>
        <w:t>6 – образцы; 7 – раствор едкого натрия для нейтрализации избытка сероводорода</w:t>
      </w:r>
    </w:p>
    <w:p/>
    <w:p>
      <w:pPr>
        <w:ind w:left="709" w:hanging="709"/>
        <w:jc w:val="center"/>
        <w:rPr>
          <w:rFonts w:ascii="Arial" w:eastAsia="PMingLiU" w:hAnsi="Arial" w:cs="Arial"/>
          <w:b/>
          <w:sz w:val="20"/>
          <w:szCs w:val="20"/>
          <w:lang w:eastAsia="en-US"/>
        </w:rPr>
      </w:pPr>
      <w:r>
        <w:rPr>
          <w:rFonts w:ascii="Arial" w:hAnsi="Arial" w:cs="Arial"/>
          <w:b/>
          <w:sz w:val="20"/>
          <w:szCs w:val="20"/>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1</w:t>
      </w:r>
      <w:r>
        <w:rPr>
          <w:rFonts w:ascii="Arial" w:hAnsi="Arial" w:cs="Arial"/>
          <w:b/>
          <w:sz w:val="20"/>
          <w:szCs w:val="20"/>
        </w:rPr>
        <w:fldChar w:fldCharType="end"/>
      </w:r>
      <w:r>
        <w:rPr>
          <w:rFonts w:ascii="Arial" w:hAnsi="Arial" w:cs="Arial"/>
          <w:b/>
          <w:sz w:val="20"/>
          <w:szCs w:val="20"/>
        </w:rPr>
        <w:t xml:space="preserve"> </w:t>
      </w:r>
      <w:r>
        <w:rPr>
          <w:rFonts w:ascii="Arial" w:eastAsia="PMingLiU" w:hAnsi="Arial" w:cs="Arial"/>
          <w:b/>
          <w:sz w:val="20"/>
          <w:szCs w:val="20"/>
          <w:lang w:eastAsia="en-US"/>
        </w:rPr>
        <w:t xml:space="preserve">Схема установки для проведения коррозионных </w:t>
      </w:r>
      <w:r>
        <w:rPr>
          <w:rFonts w:ascii="Arial" w:eastAsia="PMingLiU" w:hAnsi="Arial" w:cs="Arial"/>
          <w:b/>
          <w:sz w:val="20"/>
          <w:szCs w:val="20"/>
          <w:lang w:eastAsia="en-US"/>
        </w:rPr>
        <w:br/>
        <w:t>испытаний на стойкость к общей коррозии</w:t>
      </w:r>
    </w:p>
    <w:p/>
    <w:p/>
    <w:p>
      <w:pPr>
        <w:pStyle w:val="M"/>
        <w:numPr>
          <w:ilvl w:val="0"/>
          <w:numId w:val="40"/>
        </w:numPr>
        <w:tabs>
          <w:tab w:val="left" w:pos="567"/>
        </w:tabs>
        <w:ind w:left="0" w:firstLine="0"/>
        <w:rPr>
          <w:rFonts w:ascii="Arial" w:hAnsi="Arial" w:cs="Arial"/>
          <w:b/>
        </w:rPr>
      </w:pPr>
      <w:r>
        <w:rPr>
          <w:rFonts w:ascii="Arial" w:hAnsi="Arial" w:cs="Arial"/>
          <w:b/>
        </w:rPr>
        <w:t>ТРЕБОВАНИЯ К ИСПЫТЫВАЕМЫМ ОБРАЗЦАМ</w:t>
      </w:r>
    </w:p>
    <w:p/>
    <w:p/>
    <w:p>
      <w:pPr>
        <w:pStyle w:val="affd"/>
        <w:keepNext/>
        <w:keepLines/>
        <w:numPr>
          <w:ilvl w:val="1"/>
          <w:numId w:val="40"/>
        </w:numPr>
        <w:tabs>
          <w:tab w:val="left" w:pos="567"/>
        </w:tabs>
        <w:spacing w:line="240" w:lineRule="auto"/>
        <w:ind w:left="0" w:firstLine="0"/>
        <w:rPr>
          <w:rFonts w:cs="Arial"/>
          <w:b/>
          <w:i/>
          <w:sz w:val="20"/>
          <w:szCs w:val="20"/>
        </w:rPr>
      </w:pPr>
      <w:r>
        <w:rPr>
          <w:rFonts w:cs="Arial"/>
          <w:b/>
          <w:i/>
          <w:sz w:val="20"/>
          <w:szCs w:val="20"/>
        </w:rPr>
        <w:t>РАЗМЕР ИСПЫТЫВАЕМЫХ ОБРАЗЦОВ</w:t>
      </w:r>
    </w:p>
    <w:p/>
    <w:p>
      <w:pPr>
        <w:keepNext/>
        <w:keepLines/>
        <w:rPr>
          <w:rFonts w:eastAsia="Times New Roman"/>
          <w:kern w:val="28"/>
        </w:rPr>
      </w:pPr>
      <w:r>
        <w:rPr>
          <w:rFonts w:eastAsia="Times New Roman"/>
          <w:kern w:val="28"/>
        </w:rPr>
        <w:t xml:space="preserve">Для проведения испытаний должны использоваться полноразмерные образцы в соответствии с </w:t>
      </w:r>
      <w:r>
        <w:rPr>
          <w:rFonts w:eastAsia="Times New Roman"/>
          <w:bCs/>
          <w:kern w:val="28"/>
        </w:rPr>
        <w:t>рисунком 2</w:t>
      </w:r>
      <w:r>
        <w:rPr>
          <w:rFonts w:eastAsia="Times New Roman"/>
          <w:kern w:val="28"/>
        </w:rPr>
        <w:t>:</w:t>
      </w:r>
    </w:p>
    <w:p/>
    <w:p>
      <w:pPr>
        <w:jc w:val="center"/>
        <w:rPr>
          <w:rFonts w:eastAsia="Times New Roman"/>
          <w:kern w:val="28"/>
          <w:sz w:val="28"/>
          <w:szCs w:val="20"/>
        </w:rPr>
      </w:pPr>
      <w:r>
        <w:rPr>
          <w:rFonts w:eastAsia="Times New Roman"/>
          <w:noProof/>
          <w:kern w:val="28"/>
          <w:sz w:val="28"/>
          <w:szCs w:val="20"/>
        </w:rPr>
        <w:lastRenderedPageBreak/>
        <w:drawing>
          <wp:inline distT="0" distB="0" distL="0" distR="0">
            <wp:extent cx="4291642" cy="126539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300643" cy="1268052"/>
                    </a:xfrm>
                    <a:prstGeom prst="rect">
                      <a:avLst/>
                    </a:prstGeom>
                    <a:noFill/>
                  </pic:spPr>
                </pic:pic>
              </a:graphicData>
            </a:graphic>
          </wp:inline>
        </w:drawing>
      </w:r>
    </w:p>
    <w:p>
      <w:pPr>
        <w:rPr>
          <w:rFonts w:eastAsia="Times New Roman"/>
          <w:kern w:val="28"/>
        </w:rPr>
      </w:pPr>
    </w:p>
    <w:p>
      <w:pPr>
        <w:jc w:val="center"/>
        <w:rPr>
          <w:rFonts w:ascii="Arial" w:hAnsi="Arial" w:cs="Arial"/>
          <w:b/>
          <w:sz w:val="20"/>
          <w:szCs w:val="20"/>
        </w:rPr>
      </w:pPr>
      <w:r>
        <w:rPr>
          <w:rFonts w:ascii="Arial" w:hAnsi="Arial" w:cs="Arial"/>
          <w:b/>
          <w:sz w:val="20"/>
          <w:szCs w:val="20"/>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2</w:t>
      </w:r>
      <w:r>
        <w:rPr>
          <w:rFonts w:ascii="Arial" w:hAnsi="Arial" w:cs="Arial"/>
          <w:b/>
          <w:sz w:val="20"/>
          <w:szCs w:val="20"/>
        </w:rPr>
        <w:fldChar w:fldCharType="end"/>
      </w:r>
      <w:r>
        <w:rPr>
          <w:rFonts w:ascii="Arial" w:hAnsi="Arial" w:cs="Arial"/>
          <w:b/>
          <w:sz w:val="20"/>
          <w:szCs w:val="20"/>
        </w:rPr>
        <w:t xml:space="preserve"> Образец для испытаний на общую коррозию </w:t>
      </w:r>
    </w:p>
    <w:p/>
    <w:p/>
    <w:p>
      <w:pPr>
        <w:pStyle w:val="affd"/>
        <w:keepNext/>
        <w:keepLines/>
        <w:numPr>
          <w:ilvl w:val="1"/>
          <w:numId w:val="40"/>
        </w:numPr>
        <w:tabs>
          <w:tab w:val="left" w:pos="567"/>
        </w:tabs>
        <w:spacing w:line="240" w:lineRule="auto"/>
        <w:ind w:left="0" w:firstLine="0"/>
        <w:rPr>
          <w:rFonts w:cs="Arial"/>
          <w:b/>
          <w:i/>
          <w:sz w:val="20"/>
          <w:szCs w:val="20"/>
        </w:rPr>
      </w:pPr>
      <w:r>
        <w:rPr>
          <w:rFonts w:cs="Arial"/>
          <w:b/>
          <w:i/>
          <w:sz w:val="20"/>
          <w:szCs w:val="20"/>
        </w:rPr>
        <w:t>КОЛИЧЕСТВО, МЕСТОПОЛОЖЕНИЕ И ОРИЕНТАЦИЯ ОБРАЗЦОВ</w:t>
      </w:r>
    </w:p>
    <w:p>
      <w:pPr>
        <w:rPr>
          <w:rFonts w:eastAsia="Times New Roman"/>
          <w:kern w:val="28"/>
        </w:rPr>
      </w:pPr>
    </w:p>
    <w:p>
      <w:pPr>
        <w:rPr>
          <w:rFonts w:eastAsia="Times New Roman"/>
          <w:kern w:val="28"/>
        </w:rPr>
      </w:pPr>
      <w:r>
        <w:rPr>
          <w:rFonts w:eastAsia="Times New Roman"/>
          <w:kern w:val="28"/>
        </w:rPr>
        <w:t>Место вырезки образцов стали определяется целями исследования.</w:t>
      </w:r>
    </w:p>
    <w:p>
      <w:pPr>
        <w:rPr>
          <w:rFonts w:eastAsia="Times New Roman"/>
          <w:kern w:val="28"/>
        </w:rPr>
      </w:pPr>
    </w:p>
    <w:p>
      <w:pPr>
        <w:rPr>
          <w:rFonts w:eastAsia="Times New Roman"/>
          <w:kern w:val="28"/>
        </w:rPr>
      </w:pPr>
    </w:p>
    <w:p>
      <w:pPr>
        <w:pStyle w:val="affd"/>
        <w:keepNext/>
        <w:keepLines/>
        <w:numPr>
          <w:ilvl w:val="1"/>
          <w:numId w:val="40"/>
        </w:numPr>
        <w:tabs>
          <w:tab w:val="left" w:pos="567"/>
        </w:tabs>
        <w:spacing w:line="240" w:lineRule="auto"/>
        <w:ind w:left="0" w:firstLine="0"/>
        <w:rPr>
          <w:rFonts w:cs="Arial"/>
          <w:b/>
          <w:i/>
          <w:sz w:val="20"/>
          <w:szCs w:val="20"/>
        </w:rPr>
      </w:pPr>
      <w:r>
        <w:rPr>
          <w:rFonts w:cs="Arial"/>
          <w:b/>
          <w:i/>
          <w:sz w:val="20"/>
          <w:szCs w:val="20"/>
        </w:rPr>
        <w:t>ТРЕБОВАНИЯ К ОБРАБОТКЕ ПОВЕРХНОСТИ ОБРАЗЦОВ</w:t>
      </w:r>
    </w:p>
    <w:p>
      <w:pPr>
        <w:rPr>
          <w:rFonts w:eastAsia="Times New Roman"/>
          <w:kern w:val="28"/>
        </w:rPr>
      </w:pPr>
    </w:p>
    <w:p>
      <w:pPr>
        <w:rPr>
          <w:rFonts w:eastAsia="Times New Roman"/>
          <w:kern w:val="28"/>
        </w:rPr>
      </w:pPr>
      <w:r>
        <w:rPr>
          <w:rFonts w:eastAsia="Times New Roman"/>
          <w:kern w:val="28"/>
        </w:rPr>
        <w:t>Заготовки для образцов вырезают механическим способом.</w:t>
      </w:r>
    </w:p>
    <w:p>
      <w:pPr>
        <w:rPr>
          <w:rFonts w:eastAsia="Times New Roman"/>
          <w:kern w:val="28"/>
        </w:rPr>
      </w:pPr>
    </w:p>
    <w:p>
      <w:pPr>
        <w:rPr>
          <w:rFonts w:eastAsia="Times New Roman"/>
          <w:kern w:val="28"/>
        </w:rPr>
      </w:pPr>
      <w:r>
        <w:rPr>
          <w:rFonts w:eastAsia="Times New Roman"/>
          <w:kern w:val="28"/>
        </w:rPr>
        <w:t>При обработке образцов не допускают прижоги.</w:t>
      </w:r>
    </w:p>
    <w:p>
      <w:pPr>
        <w:rPr>
          <w:rFonts w:eastAsia="Times New Roman"/>
          <w:kern w:val="28"/>
        </w:rPr>
      </w:pPr>
    </w:p>
    <w:p>
      <w:pPr>
        <w:rPr>
          <w:rFonts w:eastAsia="Times New Roman"/>
          <w:kern w:val="28"/>
        </w:rPr>
      </w:pPr>
      <w:r>
        <w:rPr>
          <w:rFonts w:eastAsia="Times New Roman"/>
          <w:kern w:val="28"/>
        </w:rPr>
        <w:t xml:space="preserve">Предварительно с заготовок образцов удаляют окалину с внутренней и наружной поверхности. Окончательную подготовку четырех поверхностей образца, параллельных его оси, осуществляют методом шлифовки. Последние две стадии шлифовки должны приводить к удалению не более чем 0,05 мм металла. Шероховатость поверхности образца соответствует </w:t>
      </w:r>
      <w:r>
        <w:rPr>
          <w:rFonts w:eastAsia="Times New Roman"/>
          <w:kern w:val="28"/>
          <w:lang w:val="en-US"/>
        </w:rPr>
        <w:t>Ra</w:t>
      </w:r>
      <w:r>
        <w:rPr>
          <w:rFonts w:eastAsia="Times New Roman"/>
          <w:kern w:val="28"/>
        </w:rPr>
        <w:t xml:space="preserve"> 0,32-0,80 по ГОСТ 2789.</w:t>
      </w:r>
      <w:r>
        <w:rPr>
          <w:rFonts w:eastAsia="Times New Roman"/>
          <w:color w:val="3366FF"/>
          <w:kern w:val="28"/>
        </w:rPr>
        <w:t xml:space="preserve"> </w:t>
      </w:r>
    </w:p>
    <w:p>
      <w:pPr>
        <w:rPr>
          <w:rFonts w:eastAsia="Times New Roman"/>
          <w:kern w:val="28"/>
        </w:rPr>
      </w:pPr>
    </w:p>
    <w:p>
      <w:pPr>
        <w:rPr>
          <w:rFonts w:eastAsia="Times New Roman"/>
          <w:kern w:val="28"/>
        </w:rPr>
      </w:pPr>
      <w:r>
        <w:rPr>
          <w:rFonts w:eastAsia="Times New Roman"/>
          <w:kern w:val="28"/>
        </w:rPr>
        <w:t>Кромки образцов не должны иметь заусенцев.</w:t>
      </w:r>
    </w:p>
    <w:p>
      <w:pPr>
        <w:rPr>
          <w:rFonts w:eastAsia="Times New Roman"/>
          <w:kern w:val="28"/>
        </w:rPr>
      </w:pPr>
    </w:p>
    <w:p>
      <w:pPr>
        <w:rPr>
          <w:rFonts w:eastAsia="Times New Roman"/>
          <w:kern w:val="28"/>
        </w:rPr>
      </w:pPr>
      <w:r>
        <w:rPr>
          <w:rFonts w:eastAsia="Times New Roman"/>
          <w:kern w:val="28"/>
        </w:rPr>
        <w:t>Образцы с заметными дефектами поверхности или случайными повреждениями (следами от ударов и т.п.) не испытывают.</w:t>
      </w:r>
    </w:p>
    <w:p>
      <w:pPr>
        <w:rPr>
          <w:rFonts w:eastAsia="Times New Roman"/>
          <w:kern w:val="28"/>
        </w:rPr>
      </w:pPr>
    </w:p>
    <w:p>
      <w:pPr>
        <w:rPr>
          <w:rFonts w:eastAsia="Times New Roman"/>
          <w:kern w:val="28"/>
        </w:rPr>
      </w:pPr>
      <w:r>
        <w:rPr>
          <w:rFonts w:eastAsia="Times New Roman"/>
          <w:kern w:val="28"/>
        </w:rPr>
        <w:t>На каждый образец наносят маркировку электрокарандашом или клеймением на торцевой стороне, с указанием номера образца («1», «2», «3» и т.д.).</w:t>
      </w:r>
    </w:p>
    <w:p>
      <w:pPr>
        <w:rPr>
          <w:rFonts w:eastAsia="Times New Roman"/>
          <w:kern w:val="28"/>
        </w:rPr>
      </w:pPr>
    </w:p>
    <w:p>
      <w:pPr>
        <w:rPr>
          <w:rFonts w:eastAsia="Times New Roman"/>
          <w:kern w:val="28"/>
        </w:rPr>
      </w:pPr>
      <w:r>
        <w:rPr>
          <w:rFonts w:eastAsia="Times New Roman"/>
          <w:kern w:val="28"/>
        </w:rPr>
        <w:t>Все образцы до проведения испытания хранят в эксикаторе, заполненном силикагелем или хлористым кальцием.</w:t>
      </w:r>
    </w:p>
    <w:p>
      <w:pPr>
        <w:rPr>
          <w:rFonts w:eastAsia="Times New Roman"/>
          <w:kern w:val="28"/>
        </w:rPr>
      </w:pPr>
    </w:p>
    <w:p>
      <w:pPr>
        <w:rPr>
          <w:rFonts w:eastAsia="Times New Roman"/>
          <w:kern w:val="28"/>
        </w:rPr>
      </w:pPr>
    </w:p>
    <w:p>
      <w:pPr>
        <w:pStyle w:val="affd"/>
        <w:keepNext/>
        <w:keepLines/>
        <w:numPr>
          <w:ilvl w:val="1"/>
          <w:numId w:val="40"/>
        </w:numPr>
        <w:tabs>
          <w:tab w:val="left" w:pos="567"/>
        </w:tabs>
        <w:spacing w:line="240" w:lineRule="auto"/>
        <w:ind w:left="0" w:firstLine="0"/>
        <w:rPr>
          <w:rFonts w:cs="Arial"/>
          <w:b/>
          <w:i/>
          <w:sz w:val="20"/>
          <w:szCs w:val="20"/>
        </w:rPr>
      </w:pPr>
      <w:r>
        <w:rPr>
          <w:rFonts w:cs="Arial"/>
          <w:b/>
          <w:i/>
          <w:sz w:val="20"/>
          <w:szCs w:val="20"/>
        </w:rPr>
        <w:t>ПОДГОТОВКА ОБРАЗЦОВ К ИСПЫТАНИЯМ</w:t>
      </w:r>
    </w:p>
    <w:p/>
    <w:p>
      <w:pPr>
        <w:rPr>
          <w:rFonts w:eastAsia="Times New Roman"/>
          <w:kern w:val="28"/>
        </w:rPr>
      </w:pPr>
      <w:r>
        <w:rPr>
          <w:rFonts w:eastAsia="Times New Roman"/>
          <w:kern w:val="28"/>
        </w:rPr>
        <w:t>Замер геометрических размеров образцов проводят штангенциркулем. По результатам замеров вычисляют площадь каждого образца в м</w:t>
      </w:r>
      <w:r>
        <w:rPr>
          <w:rFonts w:eastAsia="Times New Roman"/>
          <w:kern w:val="28"/>
          <w:vertAlign w:val="superscript"/>
        </w:rPr>
        <w:t>2</w:t>
      </w:r>
      <w:r>
        <w:rPr>
          <w:rFonts w:eastAsia="Times New Roman"/>
          <w:kern w:val="28"/>
        </w:rPr>
        <w:t xml:space="preserve"> с точностью до четвертого знака после запятой. Результаты измерения площади образцов фиксируют в рабочем журнале испытаний.</w:t>
      </w:r>
      <w:r>
        <w:rPr>
          <w:rFonts w:eastAsia="Times New Roman"/>
          <w:color w:val="3366FF"/>
          <w:kern w:val="28"/>
        </w:rPr>
        <w:t xml:space="preserve"> </w:t>
      </w:r>
    </w:p>
    <w:p>
      <w:pPr>
        <w:rPr>
          <w:rFonts w:eastAsia="Times New Roman"/>
          <w:kern w:val="28"/>
        </w:rPr>
      </w:pPr>
    </w:p>
    <w:p>
      <w:pPr>
        <w:rPr>
          <w:rFonts w:eastAsia="Times New Roman"/>
          <w:kern w:val="28"/>
        </w:rPr>
      </w:pPr>
      <w:r>
        <w:rPr>
          <w:rFonts w:eastAsia="Times New Roman"/>
          <w:kern w:val="28"/>
        </w:rPr>
        <w:t>Перед испытанием каждый образец очищают от загрязнений и обезжиривают. Для этого образцы с помощью хлопчатобумажной ткани (марли) промывают ацетоном последовательно в трех промывных ванночках; растворитель меняют по мере загрязнения. После обезжиривания образцы достают из ванночки пинцетом и высушивают на фильтровальной бумаге.</w:t>
      </w:r>
    </w:p>
    <w:p>
      <w:pPr>
        <w:jc w:val="left"/>
        <w:rPr>
          <w:rFonts w:eastAsia="Times New Roman"/>
          <w:kern w:val="28"/>
        </w:rPr>
      </w:pPr>
    </w:p>
    <w:p>
      <w:pPr>
        <w:rPr>
          <w:rFonts w:eastAsia="Times New Roman"/>
          <w:b/>
          <w:kern w:val="28"/>
        </w:rPr>
      </w:pPr>
      <w:r>
        <w:rPr>
          <w:rFonts w:eastAsia="Times New Roman"/>
          <w:kern w:val="28"/>
        </w:rPr>
        <w:lastRenderedPageBreak/>
        <w:t>Образцы для испытания хранят в эксикаторе с хлористым кальцием</w:t>
      </w:r>
      <w:r>
        <w:rPr>
          <w:rFonts w:eastAsia="Times New Roman"/>
          <w:color w:val="00B050"/>
          <w:kern w:val="28"/>
        </w:rPr>
        <w:t xml:space="preserve"> </w:t>
      </w:r>
      <w:r>
        <w:rPr>
          <w:rFonts w:eastAsia="Times New Roman"/>
          <w:kern w:val="28"/>
        </w:rPr>
        <w:t>или силикагелем не более 24 часов после обезжиривания. Если их хранят дольше, то образцы повторно обезжиривают перед испытанием.</w:t>
      </w:r>
      <w:r>
        <w:rPr>
          <w:rFonts w:eastAsia="Times New Roman"/>
          <w:b/>
          <w:kern w:val="28"/>
        </w:rPr>
        <w:t xml:space="preserve"> </w:t>
      </w:r>
    </w:p>
    <w:p/>
    <w:p/>
    <w:p>
      <w:pPr>
        <w:pStyle w:val="affd"/>
        <w:keepNext/>
        <w:keepLines/>
        <w:numPr>
          <w:ilvl w:val="1"/>
          <w:numId w:val="40"/>
        </w:numPr>
        <w:tabs>
          <w:tab w:val="left" w:pos="567"/>
        </w:tabs>
        <w:spacing w:line="240" w:lineRule="auto"/>
        <w:ind w:left="0" w:firstLine="0"/>
        <w:rPr>
          <w:rFonts w:cs="Arial"/>
          <w:b/>
          <w:i/>
          <w:sz w:val="20"/>
          <w:szCs w:val="20"/>
        </w:rPr>
      </w:pPr>
      <w:r>
        <w:rPr>
          <w:rFonts w:cs="Arial"/>
          <w:b/>
          <w:i/>
          <w:sz w:val="20"/>
          <w:szCs w:val="20"/>
        </w:rPr>
        <w:t>ВЗВЕШИВАНИЕ</w:t>
      </w:r>
    </w:p>
    <w:p>
      <w:pPr>
        <w:rPr>
          <w:rFonts w:eastAsia="Times New Roman"/>
          <w:kern w:val="28"/>
        </w:rPr>
      </w:pPr>
    </w:p>
    <w:p>
      <w:pPr>
        <w:rPr>
          <w:rFonts w:eastAsia="Times New Roman"/>
          <w:kern w:val="28"/>
        </w:rPr>
      </w:pPr>
      <w:r>
        <w:rPr>
          <w:rFonts w:eastAsia="Times New Roman"/>
          <w:kern w:val="28"/>
        </w:rPr>
        <w:t>Обезжиренные и высушенные образцы взвешивают на аналитических весах с точностью</w:t>
      </w:r>
      <w:r>
        <w:rPr>
          <w:rFonts w:eastAsia="Times New Roman"/>
          <w:kern w:val="28"/>
        </w:rPr>
        <w:br/>
        <w:t xml:space="preserve"> ±0,5 мг. </w:t>
      </w:r>
    </w:p>
    <w:p>
      <w:pPr>
        <w:rPr>
          <w:rFonts w:eastAsia="Times New Roman"/>
          <w:kern w:val="28"/>
        </w:rPr>
      </w:pPr>
    </w:p>
    <w:p>
      <w:pPr>
        <w:rPr>
          <w:rFonts w:eastAsia="Times New Roman"/>
          <w:kern w:val="28"/>
        </w:rPr>
      </w:pPr>
      <w:r>
        <w:rPr>
          <w:rFonts w:eastAsia="Times New Roman"/>
          <w:kern w:val="28"/>
        </w:rPr>
        <w:t xml:space="preserve">Результаты измерения массы образцов фиксируют в рабочем журнале испытаний. </w:t>
      </w:r>
    </w:p>
    <w:p>
      <w:pPr>
        <w:rPr>
          <w:rFonts w:eastAsia="Times New Roman"/>
          <w:kern w:val="28"/>
        </w:rPr>
      </w:pPr>
    </w:p>
    <w:p>
      <w:pPr>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МОДЕЛЬНЫЙ РАСТВОР</w:t>
      </w:r>
    </w:p>
    <w:p/>
    <w:p>
      <w:r>
        <w:t xml:space="preserve">Модельный раствор представляет собой </w:t>
      </w:r>
      <w:r>
        <w:rPr>
          <w:rFonts w:eastAsia="Times New Roman"/>
          <w:kern w:val="28"/>
        </w:rPr>
        <w:t>раствор хлористого натрия с массовой долей 5 % в дистиллированной воде.</w:t>
      </w:r>
    </w:p>
    <w:p>
      <w:pPr>
        <w:rPr>
          <w:rFonts w:eastAsia="Times New Roman"/>
          <w:kern w:val="28"/>
        </w:rPr>
      </w:pPr>
    </w:p>
    <w:p>
      <w:pPr>
        <w:rPr>
          <w:rFonts w:eastAsia="Times New Roman"/>
          <w:kern w:val="28"/>
        </w:rPr>
      </w:pPr>
      <w:r>
        <w:rPr>
          <w:rFonts w:eastAsia="Times New Roman"/>
          <w:kern w:val="28"/>
        </w:rPr>
        <w:t>Раствор готовят непосредственно перед испытанием.</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ТРЕБОВАНИЯ К СОСТАВУ И ОБЪЕМУ МОДЕЛЬНОГО РАСТВОРА</w:t>
      </w:r>
    </w:p>
    <w:p>
      <w:pPr>
        <w:rPr>
          <w:rFonts w:eastAsia="Times New Roman"/>
          <w:kern w:val="28"/>
        </w:rPr>
      </w:pPr>
    </w:p>
    <w:p>
      <w:pPr>
        <w:rPr>
          <w:rFonts w:eastAsia="Times New Roman"/>
          <w:kern w:val="28"/>
        </w:rPr>
      </w:pPr>
      <w:r>
        <w:rPr>
          <w:rFonts w:eastAsia="Times New Roman"/>
          <w:kern w:val="28"/>
        </w:rPr>
        <w:t xml:space="preserve">Объем модельного раствора зависит от количества испытываемых образцов металла в емкости и количества отбираемых проб для контроля рН и концентрации сероводорода. Отношение объема раствора к площади поверхности образцов должно быть не менее </w:t>
      </w:r>
      <w:r>
        <w:rPr>
          <w:rFonts w:eastAsia="Times New Roman"/>
          <w:kern w:val="28"/>
        </w:rPr>
        <w:br/>
        <w:t>10 см</w:t>
      </w:r>
      <w:r>
        <w:rPr>
          <w:rFonts w:eastAsia="Times New Roman"/>
          <w:kern w:val="28"/>
          <w:vertAlign w:val="superscript"/>
        </w:rPr>
        <w:t>3</w:t>
      </w:r>
      <w:r>
        <w:rPr>
          <w:rFonts w:eastAsia="Times New Roman"/>
          <w:kern w:val="28"/>
        </w:rPr>
        <w:t>/см</w:t>
      </w:r>
      <w:r>
        <w:rPr>
          <w:rFonts w:eastAsia="Times New Roman"/>
          <w:kern w:val="28"/>
          <w:vertAlign w:val="superscript"/>
        </w:rPr>
        <w:t>2</w:t>
      </w:r>
      <w:r>
        <w:rPr>
          <w:rFonts w:eastAsia="Times New Roman"/>
          <w:kern w:val="28"/>
        </w:rPr>
        <w:t>.</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ПРОДУВКА РАСТВОРА</w:t>
      </w:r>
    </w:p>
    <w:p/>
    <w:p>
      <w:pPr>
        <w:rPr>
          <w:rFonts w:eastAsia="Times New Roman"/>
          <w:kern w:val="28"/>
        </w:rPr>
      </w:pPr>
      <w:r>
        <w:rPr>
          <w:rFonts w:eastAsia="Times New Roman"/>
          <w:kern w:val="28"/>
        </w:rPr>
        <w:t>Из приготовленного модельного раствора перед испытанием удаляют воздух. Удаление воздуха проводят в отдельной герметичной емкости (например, склянке с тубусом), соединенной с поглотительной склянкой. Инертный газ (азот) пропускают через раствор со скоростью подачи не менее 0,1 дм</w:t>
      </w:r>
      <w:r>
        <w:rPr>
          <w:rFonts w:eastAsia="Times New Roman"/>
          <w:kern w:val="28"/>
          <w:vertAlign w:val="superscript"/>
        </w:rPr>
        <w:t>3</w:t>
      </w:r>
      <w:r>
        <w:rPr>
          <w:rFonts w:eastAsia="Times New Roman"/>
          <w:kern w:val="28"/>
        </w:rPr>
        <w:t>/мин на 1 дм</w:t>
      </w:r>
      <w:r>
        <w:rPr>
          <w:rFonts w:eastAsia="Times New Roman"/>
          <w:kern w:val="28"/>
          <w:vertAlign w:val="superscript"/>
        </w:rPr>
        <w:t>3</w:t>
      </w:r>
      <w:r>
        <w:rPr>
          <w:rFonts w:eastAsia="Times New Roman"/>
          <w:kern w:val="28"/>
        </w:rPr>
        <w:t xml:space="preserve"> раствора в течение 1-2 часов. Газ для продувки вводят около дна используемого сосуда.</w:t>
      </w:r>
    </w:p>
    <w:p>
      <w:pPr>
        <w:rPr>
          <w:rFonts w:eastAsia="Times New Roman"/>
          <w:kern w:val="28"/>
        </w:rPr>
      </w:pPr>
    </w:p>
    <w:p>
      <w:r>
        <w:t>Контроль содержания кислорода в испытательном растворе после продувки азотом проводят родаминовым методом, с использованием набора тест-комплекта для определения кислорода в воде.</w:t>
      </w:r>
    </w:p>
    <w:p/>
    <w:p>
      <w:pPr>
        <w:tabs>
          <w:tab w:val="left" w:pos="0"/>
        </w:tabs>
        <w:rPr>
          <w:rFonts w:eastAsia="Times New Roman"/>
          <w:kern w:val="28"/>
        </w:rPr>
      </w:pPr>
      <w:r>
        <w:rPr>
          <w:rFonts w:eastAsia="Times New Roman"/>
          <w:kern w:val="28"/>
        </w:rPr>
        <w:t>Наличие кислорода в растворе проявляется в его помутнении и потемнении в начале введения в него сероводорода. В этом случае испытание считают недействительным, образцы извлекают, очищают, а раствор готовят заново.</w:t>
      </w:r>
    </w:p>
    <w:p>
      <w:pPr>
        <w:rPr>
          <w:rFonts w:eastAsia="Times New Roman"/>
          <w:kern w:val="28"/>
        </w:rPr>
      </w:pPr>
    </w:p>
    <w:p>
      <w:pPr>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ПРОВЕДЕНИЕ КОРРОЗИОННЫХ ИСПЫТАНИЙ</w:t>
      </w:r>
    </w:p>
    <w:p/>
    <w:p/>
    <w:p>
      <w:pPr>
        <w:pStyle w:val="affd"/>
        <w:numPr>
          <w:ilvl w:val="1"/>
          <w:numId w:val="40"/>
        </w:numPr>
        <w:tabs>
          <w:tab w:val="left" w:pos="567"/>
        </w:tabs>
        <w:spacing w:line="240" w:lineRule="auto"/>
        <w:ind w:left="0" w:firstLine="0"/>
        <w:rPr>
          <w:rFonts w:cs="Arial"/>
          <w:b/>
          <w:i/>
          <w:sz w:val="20"/>
        </w:rPr>
      </w:pPr>
      <w:r>
        <w:rPr>
          <w:rFonts w:cs="Arial"/>
          <w:b/>
          <w:i/>
          <w:sz w:val="20"/>
        </w:rPr>
        <w:t>РАЗМЕЩЕНИЕ ОБРАЗЦОВ</w:t>
      </w:r>
    </w:p>
    <w:p>
      <w:pPr>
        <w:rPr>
          <w:rFonts w:eastAsia="Times New Roman"/>
          <w:kern w:val="28"/>
        </w:rPr>
      </w:pPr>
    </w:p>
    <w:p>
      <w:pPr>
        <w:rPr>
          <w:rFonts w:eastAsia="Times New Roman"/>
          <w:kern w:val="28"/>
        </w:rPr>
      </w:pPr>
      <w:r>
        <w:rPr>
          <w:rFonts w:eastAsia="Times New Roman"/>
          <w:kern w:val="28"/>
        </w:rPr>
        <w:lastRenderedPageBreak/>
        <w:t>Образцы размещают в испытательной емкости таким образом, чтобы широкие поверхности были в вертикальном положении и не</w:t>
      </w:r>
      <w:r>
        <w:rPr>
          <w:rFonts w:eastAsia="Times New Roman"/>
          <w:color w:val="0000FF"/>
          <w:kern w:val="28"/>
        </w:rPr>
        <w:t xml:space="preserve"> </w:t>
      </w:r>
      <w:r>
        <w:rPr>
          <w:rFonts w:eastAsia="Times New Roman"/>
          <w:kern w:val="28"/>
        </w:rPr>
        <w:t>касались стенок сосуда</w:t>
      </w:r>
      <w:r>
        <w:rPr>
          <w:rFonts w:eastAsia="Times New Roman"/>
          <w:color w:val="0000FF"/>
          <w:kern w:val="28"/>
        </w:rPr>
        <w:t>,</w:t>
      </w:r>
      <w:r>
        <w:rPr>
          <w:rFonts w:eastAsia="Times New Roman"/>
          <w:kern w:val="28"/>
        </w:rPr>
        <w:t xml:space="preserve"> образцы располагают на стержнях из стекла или другого неметаллического материала диаметром не менее 6 мм.</w:t>
      </w:r>
    </w:p>
    <w:p>
      <w:pPr>
        <w:rPr>
          <w:rFonts w:eastAsia="Times New Roman"/>
          <w:kern w:val="28"/>
        </w:rPr>
      </w:pPr>
    </w:p>
    <w:p>
      <w:pPr>
        <w:rPr>
          <w:rFonts w:eastAsia="Times New Roman"/>
          <w:kern w:val="28"/>
        </w:rPr>
      </w:pPr>
      <w:r>
        <w:rPr>
          <w:rFonts w:eastAsia="Times New Roman"/>
          <w:kern w:val="28"/>
        </w:rPr>
        <w:t>Образцы для испытаний в одной емкости должны быть близкого химического состава.</w:t>
      </w:r>
    </w:p>
    <w:p>
      <w:pPr>
        <w:rPr>
          <w:rFonts w:eastAsia="Times New Roman"/>
          <w:kern w:val="28"/>
        </w:rPr>
      </w:pPr>
    </w:p>
    <w:p>
      <w:pPr>
        <w:rPr>
          <w:rFonts w:eastAsia="Times New Roman"/>
          <w:kern w:val="28"/>
        </w:rPr>
      </w:pPr>
      <w:r>
        <w:rPr>
          <w:rFonts w:eastAsia="Times New Roman"/>
          <w:kern w:val="28"/>
        </w:rPr>
        <w:t>При размещении образцов в емкости необходимо учитывать, что образцы из сварного шва не ставят в одну емкость с образцами из основного металла. Это необходимо в целях исключения возможности возникновения гальванических пар между сварным швом и основным металлом.</w:t>
      </w:r>
    </w:p>
    <w:p>
      <w:pPr>
        <w:rPr>
          <w:rFonts w:eastAsia="Times New Roman"/>
          <w:kern w:val="28"/>
        </w:rPr>
      </w:pPr>
    </w:p>
    <w:p>
      <w:pPr>
        <w:rPr>
          <w:rFonts w:eastAsia="Times New Roman"/>
          <w:kern w:val="28"/>
        </w:rPr>
      </w:pPr>
      <w:r>
        <w:rPr>
          <w:rFonts w:eastAsia="Times New Roman"/>
          <w:kern w:val="28"/>
        </w:rPr>
        <w:t>Подготовленные образцы помещают в емкость для испытаний, емкость герметизируют.</w:t>
      </w:r>
    </w:p>
    <w:p>
      <w:pPr>
        <w:rPr>
          <w:rFonts w:eastAsia="Times New Roman"/>
          <w:kern w:val="28"/>
        </w:rPr>
      </w:pPr>
    </w:p>
    <w:p>
      <w:pPr>
        <w:rPr>
          <w:rFonts w:eastAsia="Times New Roman"/>
          <w:kern w:val="28"/>
        </w:rPr>
      </w:pPr>
      <w:r>
        <w:rPr>
          <w:rFonts w:eastAsia="Times New Roman"/>
          <w:kern w:val="28"/>
        </w:rPr>
        <w:t xml:space="preserve">Герметичную емкость с образцами продувают азотом для удаления воздуха в течение </w:t>
      </w:r>
      <w:r>
        <w:rPr>
          <w:rFonts w:eastAsia="Times New Roman"/>
          <w:kern w:val="28"/>
        </w:rPr>
        <w:br/>
        <w:t>1-2 часа при расходе газа 0,1 дм</w:t>
      </w:r>
      <w:r>
        <w:rPr>
          <w:rFonts w:eastAsia="Times New Roman"/>
          <w:kern w:val="28"/>
          <w:vertAlign w:val="superscript"/>
        </w:rPr>
        <w:t>3</w:t>
      </w:r>
      <w:r>
        <w:rPr>
          <w:rFonts w:eastAsia="Times New Roman"/>
          <w:kern w:val="28"/>
        </w:rPr>
        <w:t>/мин на 1 дм</w:t>
      </w:r>
      <w:r>
        <w:rPr>
          <w:rFonts w:eastAsia="Times New Roman"/>
          <w:kern w:val="28"/>
          <w:vertAlign w:val="superscript"/>
        </w:rPr>
        <w:t>3</w:t>
      </w:r>
      <w:r>
        <w:rPr>
          <w:rFonts w:eastAsia="Times New Roman"/>
          <w:kern w:val="28"/>
        </w:rPr>
        <w:t xml:space="preserve"> емкости.</w:t>
      </w:r>
    </w:p>
    <w:p>
      <w:pPr>
        <w:rPr>
          <w:rFonts w:eastAsia="Times New Roman"/>
          <w:kern w:val="28"/>
        </w:rPr>
      </w:pPr>
    </w:p>
    <w:p>
      <w:pPr>
        <w:rPr>
          <w:rFonts w:eastAsia="Times New Roman"/>
          <w:kern w:val="28"/>
        </w:rPr>
      </w:pPr>
      <w:r>
        <w:rPr>
          <w:rFonts w:eastAsia="Times New Roman"/>
          <w:kern w:val="28"/>
        </w:rPr>
        <w:t>После продувки модельный раствор герметически передавливают с помощью азота в испытательную емкость с образцами до требуемого</w:t>
      </w:r>
      <w:r>
        <w:rPr>
          <w:rFonts w:eastAsia="Times New Roman"/>
          <w:color w:val="FF0000"/>
          <w:kern w:val="28"/>
        </w:rPr>
        <w:t xml:space="preserve"> </w:t>
      </w:r>
      <w:r>
        <w:rPr>
          <w:rFonts w:eastAsia="Times New Roman"/>
          <w:kern w:val="28"/>
        </w:rPr>
        <w:t>объема, затем емкость продувают азотом еще в течение 1 часа при расходе газа 0,1 дм</w:t>
      </w:r>
      <w:r>
        <w:rPr>
          <w:rFonts w:eastAsia="Times New Roman"/>
          <w:kern w:val="28"/>
          <w:vertAlign w:val="superscript"/>
        </w:rPr>
        <w:t>3</w:t>
      </w:r>
      <w:r>
        <w:rPr>
          <w:rFonts w:eastAsia="Times New Roman"/>
          <w:kern w:val="28"/>
        </w:rPr>
        <w:t xml:space="preserve"> /мин на 1 дм</w:t>
      </w:r>
      <w:r>
        <w:rPr>
          <w:rFonts w:eastAsia="Times New Roman"/>
          <w:kern w:val="28"/>
          <w:vertAlign w:val="superscript"/>
        </w:rPr>
        <w:t>3</w:t>
      </w:r>
      <w:r>
        <w:rPr>
          <w:rFonts w:eastAsia="Times New Roman"/>
          <w:kern w:val="28"/>
        </w:rPr>
        <w:t xml:space="preserve"> емкости.</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НАСЫЩЕНИЕ МОДЕЛЬНЫХ РАСТВОРОВ СЕРОВОДОРОДОМ</w:t>
      </w:r>
    </w:p>
    <w:p>
      <w:pPr>
        <w:rPr>
          <w:rFonts w:eastAsia="Times New Roman"/>
          <w:kern w:val="28"/>
        </w:rPr>
      </w:pPr>
    </w:p>
    <w:p>
      <w:pPr>
        <w:rPr>
          <w:rFonts w:eastAsia="Times New Roman"/>
          <w:kern w:val="28"/>
        </w:rPr>
      </w:pPr>
      <w:r>
        <w:rPr>
          <w:rFonts w:eastAsia="Times New Roman"/>
          <w:kern w:val="28"/>
        </w:rPr>
        <w:t>Для насыщения модельного раствора используют сероводород из баллона, либо сероводород, получаемый лабораторным способом.</w:t>
      </w:r>
    </w:p>
    <w:p>
      <w:pPr>
        <w:rPr>
          <w:rFonts w:eastAsia="Times New Roman"/>
          <w:kern w:val="28"/>
        </w:rPr>
      </w:pPr>
    </w:p>
    <w:p>
      <w:pPr>
        <w:rPr>
          <w:rFonts w:eastAsia="Times New Roman"/>
          <w:kern w:val="28"/>
        </w:rPr>
      </w:pPr>
      <w:r>
        <w:rPr>
          <w:rFonts w:eastAsia="Times New Roman"/>
          <w:kern w:val="28"/>
        </w:rPr>
        <w:t>В емкость с модельным раствором, освобожденным от кислорода, подают сероводород.</w:t>
      </w:r>
    </w:p>
    <w:p>
      <w:pPr>
        <w:rPr>
          <w:rFonts w:eastAsia="Times New Roman"/>
          <w:kern w:val="28"/>
        </w:rPr>
      </w:pPr>
    </w:p>
    <w:p>
      <w:pPr>
        <w:rPr>
          <w:rFonts w:eastAsia="Times New Roman"/>
          <w:kern w:val="28"/>
        </w:rPr>
      </w:pPr>
      <w:r>
        <w:rPr>
          <w:rFonts w:eastAsia="Times New Roman"/>
          <w:kern w:val="28"/>
        </w:rPr>
        <w:t>Насыщают раствор сероводородом до достижения концентрации 600±200 мг/дм</w:t>
      </w:r>
      <w:r>
        <w:rPr>
          <w:rFonts w:eastAsia="Times New Roman"/>
          <w:kern w:val="28"/>
          <w:vertAlign w:val="superscript"/>
        </w:rPr>
        <w:t>3</w:t>
      </w:r>
      <w:r>
        <w:rPr>
          <w:rFonts w:eastAsia="Times New Roman"/>
          <w:kern w:val="28"/>
        </w:rPr>
        <w:t xml:space="preserve">. </w:t>
      </w:r>
    </w:p>
    <w:p>
      <w:pPr>
        <w:rPr>
          <w:rFonts w:eastAsia="Times New Roman"/>
          <w:kern w:val="28"/>
        </w:rPr>
      </w:pPr>
    </w:p>
    <w:p>
      <w:pPr>
        <w:rPr>
          <w:rFonts w:eastAsia="Times New Roman"/>
          <w:kern w:val="28"/>
        </w:rPr>
      </w:pPr>
      <w:r>
        <w:rPr>
          <w:rFonts w:eastAsia="Times New Roman"/>
          <w:kern w:val="28"/>
        </w:rPr>
        <w:t xml:space="preserve">Насыщенный раствор передавливают азотом в испытательную емкость с образцами. </w:t>
      </w:r>
    </w:p>
    <w:p>
      <w:pPr>
        <w:rPr>
          <w:rFonts w:eastAsia="Times New Roman"/>
          <w:kern w:val="28"/>
        </w:rPr>
      </w:pPr>
    </w:p>
    <w:p>
      <w:pPr>
        <w:rPr>
          <w:rFonts w:eastAsia="Times New Roman"/>
          <w:kern w:val="28"/>
        </w:rPr>
      </w:pPr>
      <w:r>
        <w:rPr>
          <w:rFonts w:eastAsia="Times New Roman"/>
          <w:kern w:val="28"/>
        </w:rPr>
        <w:t>Источник сероводорода перекрывают, в емкости поддерживают положительное давление.</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КОНТРОЛЬ ПАРАМЕТРОВ ИСПЫТАТЕЛЬНОЙ СРЕДЫ</w:t>
      </w:r>
    </w:p>
    <w:p>
      <w:pPr>
        <w:rPr>
          <w:rFonts w:eastAsia="Times New Roman"/>
          <w:kern w:val="28"/>
        </w:rPr>
      </w:pPr>
    </w:p>
    <w:p>
      <w:pPr>
        <w:widowControl w:val="0"/>
        <w:rPr>
          <w:rFonts w:ascii="Arial" w:eastAsia="Times New Roman" w:hAnsi="Arial" w:cs="Arial"/>
          <w:i/>
          <w:color w:val="000000" w:themeColor="text1"/>
          <w:kern w:val="28"/>
          <w:sz w:val="20"/>
          <w:szCs w:val="20"/>
        </w:rPr>
      </w:pPr>
      <w:r>
        <w:rPr>
          <w:rFonts w:eastAsia="Times New Roman"/>
          <w:color w:val="000000" w:themeColor="text1"/>
          <w:kern w:val="28"/>
        </w:rPr>
        <w:t>Отбор проб растворов проводят через специальный отборник (штуцер). Для исключения попадания воздуха в раствор при отборе пробы, в испытательной емкости поддерживают положительное давление.</w:t>
      </w:r>
    </w:p>
    <w:p/>
    <w:p/>
    <w:p>
      <w:pPr>
        <w:widowControl w:val="0"/>
        <w:jc w:val="left"/>
        <w:rPr>
          <w:rFonts w:ascii="Arial" w:eastAsia="Times New Roman" w:hAnsi="Arial" w:cs="Arial"/>
          <w:i/>
          <w:kern w:val="28"/>
          <w:sz w:val="20"/>
          <w:szCs w:val="20"/>
        </w:rPr>
      </w:pPr>
      <w:r>
        <w:rPr>
          <w:rFonts w:ascii="Arial" w:eastAsia="Times New Roman" w:hAnsi="Arial" w:cs="Arial"/>
          <w:i/>
          <w:kern w:val="28"/>
          <w:sz w:val="20"/>
          <w:szCs w:val="20"/>
        </w:rPr>
        <w:t>КОНТРОЛЬ КОНЦЕНТРАЦИИ СЕРОВОДОРОДА</w:t>
      </w:r>
    </w:p>
    <w:p/>
    <w:p>
      <w:pPr>
        <w:rPr>
          <w:rFonts w:eastAsia="Times New Roman"/>
          <w:kern w:val="28"/>
        </w:rPr>
      </w:pPr>
      <w:r>
        <w:rPr>
          <w:rFonts w:eastAsia="Times New Roman"/>
          <w:kern w:val="28"/>
        </w:rPr>
        <w:t>Концентрацию сероводорода определяют методом йодометрического титрования не менее 1 раза в сутки. Концентрация должна поддерживаться на протяжении всего периода испытаний 600±200 мг/дм</w:t>
      </w:r>
      <w:r>
        <w:rPr>
          <w:rFonts w:eastAsia="Times New Roman"/>
          <w:kern w:val="28"/>
          <w:vertAlign w:val="superscript"/>
        </w:rPr>
        <w:t>3</w:t>
      </w:r>
      <w:r>
        <w:rPr>
          <w:rFonts w:eastAsia="Times New Roman"/>
          <w:kern w:val="28"/>
        </w:rPr>
        <w:t>.</w:t>
      </w:r>
    </w:p>
    <w:p/>
    <w:p/>
    <w:p>
      <w:pPr>
        <w:widowControl w:val="0"/>
        <w:jc w:val="left"/>
        <w:rPr>
          <w:rFonts w:ascii="Arial" w:eastAsia="Times New Roman" w:hAnsi="Arial" w:cs="Arial"/>
          <w:i/>
          <w:kern w:val="28"/>
          <w:sz w:val="20"/>
          <w:szCs w:val="20"/>
        </w:rPr>
      </w:pPr>
      <w:r>
        <w:rPr>
          <w:rFonts w:ascii="Arial" w:eastAsia="Times New Roman" w:hAnsi="Arial" w:cs="Arial"/>
          <w:i/>
          <w:kern w:val="28"/>
          <w:sz w:val="20"/>
          <w:szCs w:val="20"/>
        </w:rPr>
        <w:t xml:space="preserve">КОНТРОЛЬ РН </w:t>
      </w:r>
    </w:p>
    <w:p>
      <w:pPr>
        <w:rPr>
          <w:rFonts w:eastAsia="Times New Roman"/>
          <w:kern w:val="28"/>
        </w:rPr>
      </w:pPr>
    </w:p>
    <w:p>
      <w:pPr>
        <w:rPr>
          <w:rFonts w:eastAsia="Times New Roman"/>
          <w:kern w:val="28"/>
        </w:rPr>
      </w:pPr>
      <w:r>
        <w:rPr>
          <w:rFonts w:eastAsia="Times New Roman"/>
          <w:kern w:val="28"/>
        </w:rPr>
        <w:t>Значение рН измеряют не реже, чем один раз в сутки.</w:t>
      </w:r>
    </w:p>
    <w:p>
      <w:pPr>
        <w:rPr>
          <w:rFonts w:eastAsia="Times New Roman"/>
          <w:kern w:val="28"/>
        </w:rPr>
      </w:pPr>
    </w:p>
    <w:p>
      <w:pPr>
        <w:rPr>
          <w:rFonts w:eastAsia="Times New Roman"/>
          <w:kern w:val="28"/>
        </w:rPr>
      </w:pPr>
      <w:r>
        <w:rPr>
          <w:rFonts w:eastAsia="Times New Roman"/>
          <w:kern w:val="28"/>
        </w:rPr>
        <w:t>Допускается измерять рН в пробе, отобранной для определения концентрации сероводорода.</w:t>
      </w:r>
    </w:p>
    <w:p/>
    <w:p/>
    <w:p>
      <w:pPr>
        <w:widowControl w:val="0"/>
        <w:jc w:val="left"/>
        <w:rPr>
          <w:rFonts w:ascii="Arial" w:eastAsia="Times New Roman" w:hAnsi="Arial" w:cs="Arial"/>
          <w:i/>
          <w:kern w:val="28"/>
          <w:sz w:val="20"/>
          <w:szCs w:val="20"/>
        </w:rPr>
      </w:pPr>
      <w:r>
        <w:rPr>
          <w:rFonts w:ascii="Arial" w:eastAsia="Times New Roman" w:hAnsi="Arial" w:cs="Arial"/>
          <w:i/>
          <w:kern w:val="28"/>
          <w:sz w:val="20"/>
          <w:szCs w:val="20"/>
        </w:rPr>
        <w:t>ТЕМПЕРАТУРА ИСПЫТАНИЙ</w:t>
      </w:r>
    </w:p>
    <w:p>
      <w:pPr>
        <w:rPr>
          <w:rFonts w:eastAsia="Times New Roman"/>
          <w:kern w:val="28"/>
        </w:rPr>
      </w:pPr>
    </w:p>
    <w:p>
      <w:pPr>
        <w:rPr>
          <w:rFonts w:eastAsia="Times New Roman"/>
          <w:kern w:val="28"/>
        </w:rPr>
      </w:pPr>
      <w:r>
        <w:rPr>
          <w:rFonts w:eastAsia="Times New Roman"/>
          <w:kern w:val="28"/>
        </w:rPr>
        <w:t xml:space="preserve">Температура испытательного раствора на протяжении всего испытания должна составлять (24 </w:t>
      </w:r>
      <w:r>
        <w:rPr>
          <w:rFonts w:eastAsia="Times New Roman"/>
          <w:kern w:val="28"/>
        </w:rPr>
        <w:sym w:font="Symbol" w:char="F0B1"/>
      </w:r>
      <w:r>
        <w:rPr>
          <w:rFonts w:eastAsia="Times New Roman"/>
          <w:kern w:val="28"/>
        </w:rPr>
        <w:t xml:space="preserve"> 3) С.</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ПРОДОЛЖИТЕЛЬНОСТЬ ИСПЫТАНИЙ</w:t>
      </w:r>
    </w:p>
    <w:p>
      <w:pPr>
        <w:rPr>
          <w:rFonts w:eastAsia="Times New Roman"/>
          <w:kern w:val="28"/>
        </w:rPr>
      </w:pPr>
    </w:p>
    <w:p>
      <w:pPr>
        <w:rPr>
          <w:rFonts w:eastAsia="Times New Roman"/>
          <w:kern w:val="28"/>
        </w:rPr>
      </w:pPr>
      <w:r>
        <w:rPr>
          <w:rFonts w:eastAsia="Times New Roman"/>
          <w:kern w:val="28"/>
        </w:rPr>
        <w:t>Длительность испытаний составляет 96 часов. Время отсчета начинается с конца первоначального периода насыщения сероводородом.</w:t>
      </w:r>
    </w:p>
    <w:p>
      <w:pPr>
        <w:rPr>
          <w:rFonts w:eastAsia="Times New Roman"/>
          <w:kern w:val="28"/>
        </w:rPr>
      </w:pPr>
    </w:p>
    <w:p>
      <w:pPr>
        <w:rPr>
          <w:rFonts w:eastAsia="Times New Roman"/>
          <w:kern w:val="28"/>
        </w:rPr>
      </w:pPr>
    </w:p>
    <w:p>
      <w:pPr>
        <w:pStyle w:val="affd"/>
        <w:numPr>
          <w:ilvl w:val="1"/>
          <w:numId w:val="40"/>
        </w:numPr>
        <w:tabs>
          <w:tab w:val="left" w:pos="567"/>
        </w:tabs>
        <w:spacing w:line="240" w:lineRule="auto"/>
        <w:ind w:left="0" w:firstLine="0"/>
        <w:rPr>
          <w:rFonts w:cs="Arial"/>
          <w:b/>
          <w:i/>
          <w:sz w:val="20"/>
        </w:rPr>
      </w:pPr>
      <w:r>
        <w:rPr>
          <w:rFonts w:cs="Arial"/>
          <w:b/>
          <w:i/>
          <w:sz w:val="20"/>
        </w:rPr>
        <w:t>ОКОНЧАНИЕ ИСПЫТАНИЙ</w:t>
      </w:r>
    </w:p>
    <w:p>
      <w:pPr>
        <w:rPr>
          <w:rFonts w:eastAsia="Times New Roman"/>
          <w:kern w:val="28"/>
        </w:rPr>
      </w:pPr>
    </w:p>
    <w:p>
      <w:pPr>
        <w:rPr>
          <w:rFonts w:eastAsia="Times New Roman"/>
          <w:kern w:val="28"/>
        </w:rPr>
      </w:pPr>
      <w:r>
        <w:rPr>
          <w:rFonts w:eastAsia="Times New Roman"/>
          <w:kern w:val="28"/>
        </w:rPr>
        <w:t>По окончании испытаний образцы извлекают из коррозионного раствора, промывают водой от продуктов коррозии, высушивают. Продукты коррозии удаляют с поверхности образцов в соответствии с требованиями ГОСТ Р 9.907, например, с помощью ластика.</w:t>
      </w:r>
    </w:p>
    <w:p>
      <w:pPr>
        <w:rPr>
          <w:rFonts w:eastAsia="Times New Roman"/>
          <w:kern w:val="28"/>
        </w:rPr>
      </w:pPr>
    </w:p>
    <w:p>
      <w:pPr>
        <w:rPr>
          <w:rFonts w:eastAsia="Times New Roman"/>
          <w:kern w:val="28"/>
        </w:rPr>
      </w:pPr>
      <w:r>
        <w:rPr>
          <w:rFonts w:eastAsia="Times New Roman"/>
          <w:kern w:val="28"/>
        </w:rPr>
        <w:t>После снятия продуктов коррозии образцы обезжиривают ацетоном, высушивают на фильтровальной бумаге и взвешивают. О наличии или отсутствии блистеров (приповерхностных вздутий) на поверхности испытанных образцов, о размерах блистеров делают соответствующую запись.</w:t>
      </w:r>
    </w:p>
    <w:p>
      <w:pPr>
        <w:rPr>
          <w:rFonts w:eastAsia="Times New Roman"/>
          <w:kern w:val="28"/>
        </w:rPr>
      </w:pPr>
    </w:p>
    <w:p>
      <w:pPr>
        <w:rPr>
          <w:rFonts w:eastAsia="Times New Roman"/>
          <w:kern w:val="28"/>
        </w:rPr>
      </w:pPr>
      <w:r>
        <w:rPr>
          <w:rFonts w:eastAsia="Times New Roman"/>
          <w:kern w:val="28"/>
        </w:rPr>
        <w:t>Испытательный раствор нейтрализуют 20% раствором едкого натрия.</w:t>
      </w:r>
    </w:p>
    <w:p>
      <w:pPr>
        <w:rPr>
          <w:rFonts w:eastAsia="Times New Roman"/>
          <w:kern w:val="28"/>
        </w:rPr>
      </w:pPr>
    </w:p>
    <w:p>
      <w:pPr>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ОБРАБОТКА РЕЗУЛЬТАТОВ ИСПЫТАНИЙ</w:t>
      </w:r>
    </w:p>
    <w:p>
      <w:pPr>
        <w:rPr>
          <w:rFonts w:eastAsia="Times New Roman"/>
          <w:kern w:val="28"/>
        </w:rPr>
      </w:pPr>
    </w:p>
    <w:p>
      <w:pPr>
        <w:rPr>
          <w:rFonts w:eastAsia="Times New Roman"/>
          <w:kern w:val="28"/>
        </w:rPr>
      </w:pPr>
      <w:r>
        <w:rPr>
          <w:rFonts w:eastAsia="Times New Roman"/>
          <w:kern w:val="28"/>
        </w:rPr>
        <w:t xml:space="preserve">Скорость коррозии </w:t>
      </w:r>
      <w:r>
        <w:rPr>
          <w:rFonts w:eastAsia="Times New Roman"/>
          <w:kern w:val="28"/>
          <w:lang w:val="en-US"/>
        </w:rPr>
        <w:t>V</w:t>
      </w:r>
      <w:r>
        <w:rPr>
          <w:rFonts w:eastAsia="Times New Roman"/>
          <w:kern w:val="28"/>
        </w:rPr>
        <w:t xml:space="preserve"> (г/м</w:t>
      </w:r>
      <w:r>
        <w:rPr>
          <w:rFonts w:eastAsia="Times New Roman"/>
          <w:kern w:val="28"/>
          <w:vertAlign w:val="superscript"/>
        </w:rPr>
        <w:t>2</w:t>
      </w:r>
      <w:r>
        <w:rPr>
          <w:rFonts w:eastAsia="Times New Roman"/>
          <w:kern w:val="28"/>
        </w:rPr>
        <w:t>*час) для каждого образца рассчитывают по формуле:</w:t>
      </w:r>
    </w:p>
    <w:p>
      <w:pPr>
        <w:tabs>
          <w:tab w:val="left" w:pos="2552"/>
          <w:tab w:val="right" w:pos="8222"/>
        </w:tabs>
        <w:ind w:left="-11"/>
        <w:rPr>
          <w:rFonts w:eastAsia="Times New Roman"/>
          <w:kern w:val="28"/>
        </w:rPr>
      </w:pPr>
      <w:r>
        <w:rPr>
          <w:rFonts w:eastAsia="Times New Roman"/>
          <w:kern w:val="28"/>
        </w:rPr>
        <w:tab/>
      </w:r>
    </w:p>
    <w:p>
      <w:pPr>
        <w:tabs>
          <w:tab w:val="left" w:pos="2552"/>
          <w:tab w:val="right" w:pos="8222"/>
        </w:tabs>
        <w:ind w:left="-11"/>
        <w:jc w:val="center"/>
        <w:rPr>
          <w:rFonts w:eastAsia="Times New Roman"/>
          <w:kern w:val="28"/>
        </w:rPr>
      </w:pPr>
      <w:r>
        <w:rPr>
          <w:rFonts w:eastAsia="Times New Roman"/>
          <w:kern w:val="28"/>
        </w:rPr>
        <w:tab/>
      </w:r>
      <w:r>
        <w:rPr>
          <w:rFonts w:eastAsia="Times New Roman"/>
          <w:kern w:val="28"/>
          <w:position w:val="-12"/>
          <w:lang w:val="en-US"/>
        </w:rPr>
        <w:object w:dxaOrig="1980" w:dyaOrig="360">
          <v:shape id="_x0000_i1029" type="#_x0000_t75" style="width:98.3pt;height:18.8pt" o:ole="" fillcolor="window">
            <v:imagedata r:id="rId75" o:title=""/>
          </v:shape>
          <o:OLEObject Type="Embed" ProgID="Equation.3" ShapeID="_x0000_i1029" DrawAspect="Content" ObjectID="_1601706642" r:id="rId76"/>
        </w:object>
      </w:r>
      <w:r>
        <w:rPr>
          <w:rFonts w:eastAsia="Times New Roman"/>
          <w:kern w:val="28"/>
        </w:rPr>
        <w:tab/>
      </w:r>
      <w:r>
        <w:rPr>
          <w:rFonts w:eastAsia="Times New Roman"/>
          <w:kern w:val="28"/>
        </w:rPr>
        <w:tab/>
        <w:t xml:space="preserve"> (6)</w:t>
      </w:r>
    </w:p>
    <w:p>
      <w:pPr>
        <w:ind w:left="567"/>
        <w:rPr>
          <w:rFonts w:eastAsia="Times New Roman"/>
          <w:kern w:val="28"/>
        </w:rPr>
      </w:pPr>
      <w:r>
        <w:rPr>
          <w:rFonts w:eastAsia="Times New Roman"/>
          <w:kern w:val="28"/>
        </w:rPr>
        <w:t>где:</w:t>
      </w:r>
    </w:p>
    <w:p>
      <w:pPr>
        <w:ind w:left="567"/>
        <w:rPr>
          <w:rFonts w:eastAsia="Times New Roman"/>
          <w:kern w:val="28"/>
        </w:rPr>
      </w:pPr>
      <w:r>
        <w:rPr>
          <w:rFonts w:eastAsia="Times New Roman"/>
          <w:kern w:val="28"/>
          <w:lang w:val="en-US"/>
        </w:rPr>
        <w:t>V</w:t>
      </w:r>
      <w:r>
        <w:rPr>
          <w:rFonts w:eastAsia="Times New Roman"/>
          <w:kern w:val="28"/>
        </w:rPr>
        <w:t xml:space="preserve"> –скорость коррозии, г/м</w:t>
      </w:r>
      <w:r>
        <w:rPr>
          <w:rFonts w:eastAsia="Times New Roman"/>
          <w:kern w:val="28"/>
          <w:vertAlign w:val="superscript"/>
        </w:rPr>
        <w:t>2</w:t>
      </w:r>
      <w:r>
        <w:rPr>
          <w:rFonts w:eastAsia="Times New Roman"/>
          <w:kern w:val="28"/>
        </w:rPr>
        <w:t>·час;</w:t>
      </w:r>
    </w:p>
    <w:p>
      <w:pPr>
        <w:ind w:left="567"/>
        <w:rPr>
          <w:rFonts w:eastAsia="Times New Roman"/>
          <w:kern w:val="28"/>
        </w:rPr>
      </w:pPr>
      <w:r>
        <w:rPr>
          <w:rFonts w:eastAsia="Times New Roman"/>
          <w:kern w:val="28"/>
          <w:lang w:val="en-US"/>
        </w:rPr>
        <w:t>m</w:t>
      </w:r>
      <w:r>
        <w:rPr>
          <w:rFonts w:eastAsia="Times New Roman"/>
          <w:kern w:val="28"/>
          <w:vertAlign w:val="subscript"/>
        </w:rPr>
        <w:t>1</w:t>
      </w:r>
      <w:r>
        <w:rPr>
          <w:rFonts w:eastAsia="Times New Roman"/>
          <w:kern w:val="28"/>
        </w:rPr>
        <w:t xml:space="preserve"> – масса образца до проведения испытаний, г;</w:t>
      </w:r>
    </w:p>
    <w:p>
      <w:pPr>
        <w:ind w:left="567"/>
        <w:rPr>
          <w:rFonts w:eastAsia="Times New Roman"/>
          <w:kern w:val="28"/>
        </w:rPr>
      </w:pPr>
      <w:r>
        <w:rPr>
          <w:rFonts w:eastAsia="Times New Roman"/>
          <w:kern w:val="28"/>
          <w:lang w:val="en-US"/>
        </w:rPr>
        <w:t>m</w:t>
      </w:r>
      <w:r>
        <w:rPr>
          <w:rFonts w:eastAsia="Times New Roman"/>
          <w:kern w:val="28"/>
          <w:vertAlign w:val="subscript"/>
        </w:rPr>
        <w:t>2</w:t>
      </w:r>
      <w:r>
        <w:rPr>
          <w:rFonts w:eastAsia="Times New Roman"/>
          <w:kern w:val="28"/>
        </w:rPr>
        <w:t xml:space="preserve"> – масса образца после удаления продуктов коррозии, г;</w:t>
      </w:r>
    </w:p>
    <w:p>
      <w:pPr>
        <w:ind w:left="567"/>
        <w:rPr>
          <w:rFonts w:eastAsia="Times New Roman"/>
          <w:kern w:val="28"/>
        </w:rPr>
      </w:pPr>
      <w:r>
        <w:rPr>
          <w:rFonts w:eastAsia="Times New Roman"/>
          <w:kern w:val="28"/>
          <w:lang w:val="en-US"/>
        </w:rPr>
        <w:t>S</w:t>
      </w:r>
      <w:r>
        <w:rPr>
          <w:rFonts w:eastAsia="Times New Roman"/>
          <w:kern w:val="28"/>
        </w:rPr>
        <w:t xml:space="preserve"> – площадь поверхности образца, м</w:t>
      </w:r>
      <w:r>
        <w:rPr>
          <w:rFonts w:eastAsia="Times New Roman"/>
          <w:kern w:val="28"/>
          <w:vertAlign w:val="superscript"/>
        </w:rPr>
        <w:t>2</w:t>
      </w:r>
      <w:r>
        <w:rPr>
          <w:rFonts w:eastAsia="Times New Roman"/>
          <w:kern w:val="28"/>
        </w:rPr>
        <w:t>.</w:t>
      </w:r>
    </w:p>
    <w:p>
      <w:pPr>
        <w:ind w:left="567"/>
        <w:rPr>
          <w:rFonts w:eastAsia="Times New Roman"/>
          <w:color w:val="000000"/>
        </w:rPr>
      </w:pPr>
      <w:r>
        <w:rPr>
          <w:rFonts w:eastAsia="Times New Roman"/>
          <w:lang w:val="en-US"/>
        </w:rPr>
        <w:t>t</w:t>
      </w:r>
      <w:r>
        <w:rPr>
          <w:rFonts w:eastAsia="Times New Roman"/>
        </w:rPr>
        <w:t xml:space="preserve"> – время испытаний, час.</w:t>
      </w:r>
      <w:r>
        <w:rPr>
          <w:rFonts w:eastAsia="Times New Roman"/>
          <w:color w:val="000000"/>
        </w:rPr>
        <w:t xml:space="preserve"> </w:t>
      </w:r>
    </w:p>
    <w:p>
      <w:pPr>
        <w:rPr>
          <w:rFonts w:eastAsia="Times New Roman"/>
          <w:color w:val="000000"/>
        </w:rPr>
      </w:pPr>
    </w:p>
    <w:p>
      <w:pPr>
        <w:rPr>
          <w:rFonts w:eastAsia="Times New Roman"/>
          <w:color w:val="000000"/>
        </w:rPr>
      </w:pPr>
      <w:r>
        <w:rPr>
          <w:rFonts w:eastAsia="Times New Roman"/>
          <w:color w:val="000000"/>
        </w:rPr>
        <w:t>Результат округляют до второго знака после запятой.</w:t>
      </w:r>
    </w:p>
    <w:p>
      <w:pPr>
        <w:rPr>
          <w:rFonts w:eastAsia="Times New Roman"/>
          <w:kern w:val="28"/>
        </w:rPr>
      </w:pPr>
    </w:p>
    <w:p>
      <w:pPr>
        <w:rPr>
          <w:rFonts w:eastAsia="Times New Roman"/>
          <w:kern w:val="28"/>
        </w:rPr>
      </w:pPr>
      <w:r>
        <w:rPr>
          <w:rFonts w:eastAsia="Times New Roman"/>
          <w:kern w:val="28"/>
        </w:rPr>
        <w:t>Скорость коррозии, при необходимости, пересчитывают в мм/год по формуле:</w:t>
      </w:r>
    </w:p>
    <w:p>
      <w:pPr>
        <w:tabs>
          <w:tab w:val="left" w:pos="2552"/>
          <w:tab w:val="right" w:pos="8222"/>
        </w:tabs>
        <w:rPr>
          <w:rFonts w:eastAsia="Times New Roman"/>
          <w:kern w:val="28"/>
        </w:rPr>
      </w:pPr>
    </w:p>
    <w:p>
      <w:pPr>
        <w:tabs>
          <w:tab w:val="left" w:pos="2552"/>
        </w:tabs>
        <w:ind w:firstLine="2552"/>
        <w:jc w:val="center"/>
        <w:rPr>
          <w:rFonts w:eastAsia="Times New Roman"/>
          <w:kern w:val="28"/>
        </w:rPr>
      </w:pPr>
      <m:oMath>
        <m:sSub>
          <m:sSubPr>
            <m:ctrlPr>
              <w:rPr>
                <w:rFonts w:ascii="Cambria Math" w:eastAsia="Times New Roman" w:hAnsi="Cambria Math"/>
                <w:i/>
                <w:kern w:val="28"/>
                <w:lang w:val="en-US"/>
              </w:rPr>
            </m:ctrlPr>
          </m:sSubPr>
          <m:e>
            <m:r>
              <w:rPr>
                <w:rFonts w:ascii="Cambria Math" w:eastAsia="Times New Roman" w:hAnsi="Cambria Math"/>
                <w:kern w:val="28"/>
                <w:lang w:val="en-US"/>
              </w:rPr>
              <m:t>V</m:t>
            </m:r>
          </m:e>
          <m:sub>
            <m:r>
              <w:rPr>
                <w:rFonts w:ascii="Cambria Math" w:eastAsia="Times New Roman" w:hAnsi="Cambria Math"/>
                <w:kern w:val="28"/>
              </w:rPr>
              <m:t>(мм/год)</m:t>
            </m:r>
          </m:sub>
        </m:sSub>
        <m:r>
          <w:rPr>
            <w:rFonts w:ascii="Cambria Math" w:eastAsia="Times New Roman" w:hAnsi="Cambria Math"/>
            <w:kern w:val="28"/>
          </w:rPr>
          <m:t>=</m:t>
        </m:r>
        <m:sSub>
          <m:sSubPr>
            <m:ctrlPr>
              <w:rPr>
                <w:rFonts w:ascii="Cambria Math" w:eastAsia="Times New Roman" w:hAnsi="Cambria Math"/>
                <w:i/>
                <w:kern w:val="28"/>
                <w:lang w:val="en-US"/>
              </w:rPr>
            </m:ctrlPr>
          </m:sSubPr>
          <m:e>
            <m:r>
              <w:rPr>
                <w:rFonts w:ascii="Cambria Math" w:eastAsia="Times New Roman" w:hAnsi="Cambria Math"/>
                <w:kern w:val="28"/>
                <w:lang w:val="en-US"/>
              </w:rPr>
              <m:t>V</m:t>
            </m:r>
          </m:e>
          <m:sub>
            <m:r>
              <w:rPr>
                <w:rFonts w:ascii="Cambria Math" w:eastAsia="Times New Roman" w:hAnsi="Cambria Math"/>
                <w:kern w:val="28"/>
              </w:rPr>
              <m:t>(</m:t>
            </m:r>
            <m:f>
              <m:fPr>
                <m:ctrlPr>
                  <w:rPr>
                    <w:rFonts w:ascii="Cambria Math" w:eastAsia="Times New Roman" w:hAnsi="Cambria Math"/>
                    <w:i/>
                    <w:kern w:val="28"/>
                  </w:rPr>
                </m:ctrlPr>
              </m:fPr>
              <m:num>
                <m:r>
                  <w:rPr>
                    <w:rFonts w:ascii="Cambria Math" w:eastAsia="Times New Roman" w:hAnsi="Cambria Math"/>
                    <w:kern w:val="28"/>
                  </w:rPr>
                  <m:t>г</m:t>
                </m:r>
              </m:num>
              <m:den>
                <m:r>
                  <w:rPr>
                    <w:rFonts w:ascii="Cambria Math" w:eastAsia="Times New Roman" w:hAnsi="Cambria Math"/>
                    <w:kern w:val="28"/>
                  </w:rPr>
                  <m:t>м2</m:t>
                </m:r>
              </m:den>
            </m:f>
            <m:r>
              <w:rPr>
                <w:rFonts w:ascii="Cambria Math" w:eastAsia="Times New Roman" w:hAnsi="Cambria Math"/>
                <w:kern w:val="28"/>
              </w:rPr>
              <m:t>∙час)</m:t>
            </m:r>
          </m:sub>
        </m:sSub>
        <m:r>
          <w:rPr>
            <w:rFonts w:ascii="Cambria Math" w:eastAsia="Times New Roman" w:hAnsi="Cambria Math"/>
            <w:kern w:val="28"/>
          </w:rPr>
          <m:t>∙</m:t>
        </m:r>
        <m:r>
          <w:rPr>
            <w:rFonts w:ascii="Cambria Math" w:eastAsia="Times New Roman" w:hAnsi="Cambria Math"/>
            <w:kern w:val="28"/>
            <w:lang w:val="en-US"/>
          </w:rPr>
          <m:t>r</m:t>
        </m:r>
      </m:oMath>
      <w:r>
        <w:rPr>
          <w:rFonts w:eastAsia="Times New Roman"/>
          <w:kern w:val="28"/>
        </w:rPr>
        <w:tab/>
      </w:r>
      <w:r>
        <w:rPr>
          <w:rFonts w:eastAsia="Times New Roman"/>
          <w:kern w:val="28"/>
        </w:rPr>
        <w:tab/>
      </w:r>
      <w:r>
        <w:rPr>
          <w:rFonts w:eastAsia="Times New Roman"/>
          <w:kern w:val="28"/>
        </w:rPr>
        <w:tab/>
      </w:r>
      <w:r>
        <w:rPr>
          <w:rFonts w:eastAsia="Times New Roman"/>
          <w:kern w:val="28"/>
        </w:rPr>
        <w:tab/>
      </w:r>
      <w:r>
        <w:rPr>
          <w:rFonts w:eastAsia="Times New Roman"/>
          <w:kern w:val="28"/>
        </w:rPr>
        <w:tab/>
      </w:r>
      <w:r>
        <w:rPr>
          <w:rFonts w:eastAsia="Times New Roman"/>
          <w:kern w:val="28"/>
        </w:rPr>
        <w:tab/>
      </w:r>
      <w:r>
        <w:rPr>
          <w:rFonts w:eastAsia="Times New Roman"/>
          <w:kern w:val="28"/>
        </w:rPr>
        <w:tab/>
        <w:t>(7)</w:t>
      </w:r>
    </w:p>
    <w:p>
      <w:pPr>
        <w:ind w:left="567"/>
        <w:rPr>
          <w:rFonts w:eastAsia="Times New Roman"/>
          <w:kern w:val="28"/>
        </w:rPr>
      </w:pPr>
      <w:r>
        <w:rPr>
          <w:rFonts w:eastAsia="Times New Roman"/>
          <w:kern w:val="28"/>
        </w:rPr>
        <w:t>где:</w:t>
      </w:r>
    </w:p>
    <w:p>
      <w:pPr>
        <w:ind w:left="567"/>
        <w:rPr>
          <w:rFonts w:eastAsia="Times New Roman"/>
          <w:kern w:val="28"/>
        </w:rPr>
      </w:pPr>
      <w:r>
        <w:rPr>
          <w:rFonts w:eastAsia="Times New Roman"/>
          <w:kern w:val="28"/>
          <w:lang w:val="en-US"/>
        </w:rPr>
        <w:t>r</w:t>
      </w:r>
      <w:r>
        <w:rPr>
          <w:rFonts w:eastAsia="Times New Roman"/>
          <w:kern w:val="28"/>
        </w:rPr>
        <w:t xml:space="preserve"> – коэффициент для пересчета скорости коррозии в соответствии с Таблицей 40.</w:t>
      </w:r>
    </w:p>
    <w:p>
      <w:pPr>
        <w:rPr>
          <w:rFonts w:eastAsia="Times New Roman"/>
          <w:kern w:val="28"/>
        </w:rPr>
      </w:pPr>
    </w:p>
    <w:p>
      <w:pPr>
        <w:rPr>
          <w:rFonts w:eastAsia="Times New Roman"/>
          <w:kern w:val="28"/>
        </w:rPr>
      </w:pPr>
    </w:p>
    <w:p>
      <w:pPr>
        <w:rPr>
          <w:rFonts w:eastAsia="Times New Roman"/>
          <w:kern w:val="28"/>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40</w:t>
      </w:r>
      <w:r>
        <w:rPr>
          <w:rFonts w:ascii="Arial" w:eastAsia="Times New Roman" w:hAnsi="Arial"/>
          <w:b/>
          <w:sz w:val="20"/>
        </w:rPr>
        <w:fldChar w:fldCharType="end"/>
      </w:r>
    </w:p>
    <w:p>
      <w:pPr>
        <w:pStyle w:val="Sd"/>
        <w:spacing w:after="60"/>
      </w:pPr>
      <w:r>
        <w:rPr>
          <w:kern w:val="28"/>
        </w:rPr>
        <w:t>Значение коэффициента r для пересчета скорости коррозии в мм/год</w:t>
      </w:r>
    </w:p>
    <w:tbl>
      <w:tblPr>
        <w:tblW w:w="0" w:type="auto"/>
        <w:jc w:val="center"/>
        <w:tblInd w:w="-2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695"/>
        <w:gridCol w:w="5401"/>
        <w:gridCol w:w="3543"/>
      </w:tblGrid>
      <w:tr>
        <w:trPr>
          <w:tblHeader/>
          <w:jc w:val="center"/>
        </w:trPr>
        <w:tc>
          <w:tcPr>
            <w:tcW w:w="695" w:type="dxa"/>
            <w:tcBorders>
              <w:bottom w:val="single" w:sz="12" w:space="0" w:color="auto"/>
            </w:tcBorders>
            <w:shd w:val="clear" w:color="auto" w:fill="FFD200"/>
          </w:tcPr>
          <w:p>
            <w:pPr>
              <w:jc w:val="center"/>
              <w:rPr>
                <w:rFonts w:ascii="Arial" w:eastAsia="Times New Roman" w:hAnsi="Arial" w:cs="Arial"/>
                <w:b/>
                <w:kern w:val="28"/>
                <w:sz w:val="16"/>
                <w:szCs w:val="20"/>
              </w:rPr>
            </w:pPr>
            <w:r>
              <w:rPr>
                <w:rFonts w:ascii="Arial" w:eastAsia="Times New Roman" w:hAnsi="Arial" w:cs="Arial"/>
                <w:b/>
                <w:kern w:val="28"/>
                <w:sz w:val="16"/>
                <w:szCs w:val="20"/>
              </w:rPr>
              <w:t>№</w:t>
            </w:r>
          </w:p>
          <w:p>
            <w:pPr>
              <w:jc w:val="center"/>
              <w:rPr>
                <w:rFonts w:ascii="Arial" w:eastAsia="Times New Roman" w:hAnsi="Arial" w:cs="Arial"/>
                <w:b/>
                <w:kern w:val="28"/>
                <w:sz w:val="16"/>
                <w:szCs w:val="20"/>
              </w:rPr>
            </w:pPr>
            <w:r>
              <w:rPr>
                <w:rFonts w:ascii="Arial" w:eastAsia="Times New Roman" w:hAnsi="Arial" w:cs="Arial"/>
                <w:b/>
                <w:kern w:val="28"/>
                <w:sz w:val="16"/>
                <w:szCs w:val="20"/>
              </w:rPr>
              <w:t>П/П</w:t>
            </w:r>
          </w:p>
        </w:tc>
        <w:tc>
          <w:tcPr>
            <w:tcW w:w="5401" w:type="dxa"/>
            <w:tcBorders>
              <w:bottom w:val="single" w:sz="12" w:space="0" w:color="auto"/>
            </w:tcBorders>
            <w:shd w:val="clear" w:color="auto" w:fill="FFD200"/>
            <w:vAlign w:val="center"/>
          </w:tcPr>
          <w:p>
            <w:pPr>
              <w:jc w:val="center"/>
              <w:rPr>
                <w:rFonts w:ascii="Arial" w:eastAsia="Times New Roman" w:hAnsi="Arial" w:cs="Arial"/>
                <w:b/>
                <w:kern w:val="28"/>
                <w:sz w:val="16"/>
                <w:szCs w:val="20"/>
              </w:rPr>
            </w:pPr>
            <w:r>
              <w:rPr>
                <w:rFonts w:ascii="Arial" w:eastAsia="Times New Roman" w:hAnsi="Arial" w:cs="Arial"/>
                <w:b/>
                <w:kern w:val="28"/>
                <w:sz w:val="16"/>
                <w:szCs w:val="20"/>
              </w:rPr>
              <w:t>ВИД МАТЕРИАЛА</w:t>
            </w:r>
          </w:p>
        </w:tc>
        <w:tc>
          <w:tcPr>
            <w:tcW w:w="3543" w:type="dxa"/>
            <w:tcBorders>
              <w:bottom w:val="single" w:sz="12" w:space="0" w:color="auto"/>
            </w:tcBorders>
            <w:shd w:val="clear" w:color="auto" w:fill="FFD200"/>
            <w:vAlign w:val="center"/>
          </w:tcPr>
          <w:p>
            <w:pPr>
              <w:jc w:val="center"/>
              <w:rPr>
                <w:rFonts w:ascii="Arial" w:eastAsia="Times New Roman" w:hAnsi="Arial" w:cs="Arial"/>
                <w:b/>
                <w:kern w:val="28"/>
                <w:sz w:val="16"/>
                <w:szCs w:val="20"/>
                <w:lang w:val="en-US"/>
              </w:rPr>
            </w:pPr>
            <w:r>
              <w:rPr>
                <w:rFonts w:ascii="Arial" w:eastAsia="Times New Roman" w:hAnsi="Arial" w:cs="Arial"/>
                <w:b/>
                <w:kern w:val="28"/>
                <w:sz w:val="16"/>
                <w:szCs w:val="20"/>
              </w:rPr>
              <w:t xml:space="preserve">КОЭФФИЦИЕНТ ДЛЯ ПЕРЕСЧЕТА, </w:t>
            </w:r>
            <w:r>
              <w:rPr>
                <w:rFonts w:ascii="Arial" w:eastAsia="Times New Roman" w:hAnsi="Arial" w:cs="Arial"/>
                <w:b/>
                <w:kern w:val="28"/>
                <w:sz w:val="16"/>
                <w:szCs w:val="20"/>
                <w:lang w:val="en-US"/>
              </w:rPr>
              <w:t>r</w:t>
            </w:r>
          </w:p>
        </w:tc>
      </w:tr>
      <w:tr>
        <w:trPr>
          <w:tblHeader/>
          <w:jc w:val="center"/>
        </w:trPr>
        <w:tc>
          <w:tcPr>
            <w:tcW w:w="695" w:type="dxa"/>
            <w:tcBorders>
              <w:top w:val="single" w:sz="12" w:space="0" w:color="auto"/>
              <w:bottom w:val="single" w:sz="12" w:space="0" w:color="auto"/>
            </w:tcBorders>
            <w:shd w:val="clear" w:color="auto" w:fill="FFD200"/>
          </w:tcPr>
          <w:p>
            <w:pPr>
              <w:jc w:val="center"/>
              <w:rPr>
                <w:rFonts w:ascii="Arial" w:eastAsia="Times New Roman" w:hAnsi="Arial" w:cs="Arial"/>
                <w:b/>
                <w:kern w:val="28"/>
                <w:sz w:val="16"/>
                <w:szCs w:val="16"/>
              </w:rPr>
            </w:pPr>
            <w:r>
              <w:rPr>
                <w:rFonts w:ascii="Arial" w:eastAsia="Times New Roman" w:hAnsi="Arial" w:cs="Arial"/>
                <w:b/>
                <w:kern w:val="28"/>
                <w:sz w:val="16"/>
                <w:szCs w:val="16"/>
              </w:rPr>
              <w:t>1</w:t>
            </w:r>
          </w:p>
        </w:tc>
        <w:tc>
          <w:tcPr>
            <w:tcW w:w="5401" w:type="dxa"/>
            <w:tcBorders>
              <w:top w:val="single" w:sz="12" w:space="0" w:color="auto"/>
              <w:bottom w:val="single" w:sz="12" w:space="0" w:color="auto"/>
            </w:tcBorders>
            <w:shd w:val="clear" w:color="auto" w:fill="FFD200"/>
          </w:tcPr>
          <w:p>
            <w:pPr>
              <w:jc w:val="center"/>
              <w:rPr>
                <w:rFonts w:ascii="Arial" w:eastAsia="Times New Roman" w:hAnsi="Arial" w:cs="Arial"/>
                <w:b/>
                <w:kern w:val="28"/>
                <w:sz w:val="16"/>
                <w:szCs w:val="16"/>
              </w:rPr>
            </w:pPr>
            <w:r>
              <w:rPr>
                <w:rFonts w:ascii="Arial" w:eastAsia="Times New Roman" w:hAnsi="Arial" w:cs="Arial"/>
                <w:b/>
                <w:kern w:val="28"/>
                <w:sz w:val="16"/>
                <w:szCs w:val="16"/>
              </w:rPr>
              <w:t>2</w:t>
            </w:r>
          </w:p>
        </w:tc>
        <w:tc>
          <w:tcPr>
            <w:tcW w:w="3543" w:type="dxa"/>
            <w:tcBorders>
              <w:top w:val="single" w:sz="12" w:space="0" w:color="auto"/>
              <w:bottom w:val="single" w:sz="12" w:space="0" w:color="auto"/>
            </w:tcBorders>
            <w:shd w:val="clear" w:color="auto" w:fill="FFD200"/>
          </w:tcPr>
          <w:p>
            <w:pPr>
              <w:jc w:val="center"/>
              <w:rPr>
                <w:rFonts w:ascii="Arial" w:eastAsia="Times New Roman" w:hAnsi="Arial" w:cs="Arial"/>
                <w:b/>
                <w:kern w:val="28"/>
                <w:sz w:val="16"/>
                <w:szCs w:val="16"/>
              </w:rPr>
            </w:pPr>
            <w:r>
              <w:rPr>
                <w:rFonts w:ascii="Arial" w:eastAsia="Times New Roman" w:hAnsi="Arial" w:cs="Arial"/>
                <w:b/>
                <w:kern w:val="28"/>
                <w:sz w:val="16"/>
                <w:szCs w:val="16"/>
              </w:rPr>
              <w:t>3</w:t>
            </w:r>
          </w:p>
        </w:tc>
      </w:tr>
      <w:tr>
        <w:trPr>
          <w:jc w:val="center"/>
        </w:trPr>
        <w:tc>
          <w:tcPr>
            <w:tcW w:w="695" w:type="dxa"/>
            <w:tcBorders>
              <w:top w:val="single" w:sz="12" w:space="0" w:color="auto"/>
            </w:tcBorders>
            <w:shd w:val="clear" w:color="auto" w:fill="auto"/>
          </w:tcPr>
          <w:p>
            <w:pPr>
              <w:jc w:val="center"/>
              <w:rPr>
                <w:rFonts w:eastAsia="Times New Roman"/>
                <w:kern w:val="28"/>
                <w:sz w:val="20"/>
                <w:lang w:val="en-US"/>
              </w:rPr>
            </w:pPr>
            <w:r>
              <w:rPr>
                <w:rFonts w:eastAsia="Times New Roman"/>
                <w:kern w:val="28"/>
                <w:sz w:val="20"/>
                <w:lang w:val="en-US"/>
              </w:rPr>
              <w:t>1</w:t>
            </w:r>
          </w:p>
        </w:tc>
        <w:tc>
          <w:tcPr>
            <w:tcW w:w="5401" w:type="dxa"/>
            <w:tcBorders>
              <w:top w:val="single" w:sz="12" w:space="0" w:color="auto"/>
            </w:tcBorders>
            <w:shd w:val="clear" w:color="auto" w:fill="auto"/>
            <w:vAlign w:val="center"/>
          </w:tcPr>
          <w:p>
            <w:pPr>
              <w:jc w:val="left"/>
              <w:rPr>
                <w:rFonts w:eastAsia="Times New Roman"/>
                <w:kern w:val="28"/>
                <w:sz w:val="20"/>
              </w:rPr>
            </w:pPr>
            <w:r>
              <w:rPr>
                <w:rFonts w:eastAsia="Times New Roman"/>
                <w:kern w:val="28"/>
                <w:sz w:val="20"/>
              </w:rPr>
              <w:t>Сталь углеродистая</w:t>
            </w:r>
          </w:p>
        </w:tc>
        <w:tc>
          <w:tcPr>
            <w:tcW w:w="3543" w:type="dxa"/>
            <w:tcBorders>
              <w:top w:val="single" w:sz="12" w:space="0" w:color="auto"/>
            </w:tcBorders>
            <w:shd w:val="clear" w:color="auto" w:fill="auto"/>
          </w:tcPr>
          <w:p>
            <w:pPr>
              <w:jc w:val="center"/>
              <w:rPr>
                <w:rFonts w:eastAsia="Times New Roman"/>
                <w:kern w:val="28"/>
                <w:sz w:val="20"/>
              </w:rPr>
            </w:pPr>
            <w:r>
              <w:rPr>
                <w:rFonts w:eastAsia="Times New Roman"/>
                <w:kern w:val="28"/>
                <w:sz w:val="20"/>
              </w:rPr>
              <w:t>1,11</w:t>
            </w:r>
          </w:p>
        </w:tc>
      </w:tr>
      <w:tr>
        <w:trPr>
          <w:jc w:val="center"/>
        </w:trPr>
        <w:tc>
          <w:tcPr>
            <w:tcW w:w="695" w:type="dxa"/>
            <w:shd w:val="clear" w:color="auto" w:fill="auto"/>
          </w:tcPr>
          <w:p>
            <w:pPr>
              <w:jc w:val="center"/>
              <w:rPr>
                <w:rFonts w:eastAsia="Times New Roman"/>
                <w:kern w:val="28"/>
                <w:sz w:val="20"/>
              </w:rPr>
            </w:pPr>
            <w:r>
              <w:rPr>
                <w:rFonts w:eastAsia="Times New Roman"/>
                <w:kern w:val="28"/>
                <w:sz w:val="20"/>
              </w:rPr>
              <w:t>2</w:t>
            </w:r>
          </w:p>
        </w:tc>
        <w:tc>
          <w:tcPr>
            <w:tcW w:w="5401" w:type="dxa"/>
            <w:shd w:val="clear" w:color="auto" w:fill="auto"/>
            <w:vAlign w:val="center"/>
          </w:tcPr>
          <w:p>
            <w:pPr>
              <w:jc w:val="left"/>
              <w:rPr>
                <w:rFonts w:eastAsia="Times New Roman"/>
                <w:kern w:val="28"/>
                <w:sz w:val="20"/>
              </w:rPr>
            </w:pPr>
            <w:r>
              <w:rPr>
                <w:rFonts w:eastAsia="Times New Roman"/>
                <w:kern w:val="28"/>
                <w:sz w:val="20"/>
              </w:rPr>
              <w:t>Сталь низколегированная</w:t>
            </w:r>
          </w:p>
        </w:tc>
        <w:tc>
          <w:tcPr>
            <w:tcW w:w="3543" w:type="dxa"/>
            <w:shd w:val="clear" w:color="auto" w:fill="auto"/>
          </w:tcPr>
          <w:p>
            <w:pPr>
              <w:jc w:val="center"/>
              <w:rPr>
                <w:rFonts w:eastAsia="Times New Roman"/>
                <w:kern w:val="28"/>
                <w:sz w:val="20"/>
              </w:rPr>
            </w:pPr>
            <w:r>
              <w:rPr>
                <w:rFonts w:eastAsia="Times New Roman"/>
                <w:kern w:val="28"/>
                <w:sz w:val="20"/>
              </w:rPr>
              <w:t>1,12</w:t>
            </w:r>
          </w:p>
        </w:tc>
      </w:tr>
      <w:tr>
        <w:trPr>
          <w:jc w:val="center"/>
        </w:trPr>
        <w:tc>
          <w:tcPr>
            <w:tcW w:w="695" w:type="dxa"/>
            <w:shd w:val="clear" w:color="auto" w:fill="auto"/>
          </w:tcPr>
          <w:p>
            <w:pPr>
              <w:jc w:val="center"/>
              <w:rPr>
                <w:rFonts w:eastAsia="Times New Roman"/>
                <w:kern w:val="28"/>
                <w:sz w:val="20"/>
              </w:rPr>
            </w:pPr>
            <w:r>
              <w:rPr>
                <w:rFonts w:eastAsia="Times New Roman"/>
                <w:kern w:val="28"/>
                <w:sz w:val="20"/>
              </w:rPr>
              <w:t>3</w:t>
            </w:r>
          </w:p>
        </w:tc>
        <w:tc>
          <w:tcPr>
            <w:tcW w:w="5401" w:type="dxa"/>
            <w:shd w:val="clear" w:color="auto" w:fill="auto"/>
            <w:vAlign w:val="center"/>
          </w:tcPr>
          <w:p>
            <w:pPr>
              <w:jc w:val="left"/>
              <w:rPr>
                <w:rFonts w:eastAsia="Times New Roman"/>
                <w:kern w:val="28"/>
                <w:sz w:val="20"/>
              </w:rPr>
            </w:pPr>
            <w:r>
              <w:rPr>
                <w:rFonts w:eastAsia="Times New Roman"/>
                <w:kern w:val="28"/>
                <w:sz w:val="20"/>
              </w:rPr>
              <w:t>Сталь хромистая</w:t>
            </w:r>
          </w:p>
        </w:tc>
        <w:tc>
          <w:tcPr>
            <w:tcW w:w="3543" w:type="dxa"/>
            <w:shd w:val="clear" w:color="auto" w:fill="auto"/>
          </w:tcPr>
          <w:p>
            <w:pPr>
              <w:jc w:val="center"/>
              <w:rPr>
                <w:rFonts w:eastAsia="Times New Roman"/>
                <w:kern w:val="28"/>
                <w:sz w:val="20"/>
              </w:rPr>
            </w:pPr>
            <w:r>
              <w:rPr>
                <w:rFonts w:eastAsia="Times New Roman"/>
                <w:kern w:val="28"/>
                <w:sz w:val="20"/>
              </w:rPr>
              <w:t>1,14</w:t>
            </w:r>
          </w:p>
        </w:tc>
      </w:tr>
      <w:tr>
        <w:trPr>
          <w:jc w:val="center"/>
        </w:trPr>
        <w:tc>
          <w:tcPr>
            <w:tcW w:w="695" w:type="dxa"/>
            <w:shd w:val="clear" w:color="auto" w:fill="auto"/>
          </w:tcPr>
          <w:p>
            <w:pPr>
              <w:jc w:val="center"/>
              <w:rPr>
                <w:rFonts w:eastAsia="Times New Roman"/>
                <w:kern w:val="28"/>
                <w:sz w:val="20"/>
              </w:rPr>
            </w:pPr>
            <w:r>
              <w:rPr>
                <w:rFonts w:eastAsia="Times New Roman"/>
                <w:kern w:val="28"/>
                <w:sz w:val="20"/>
              </w:rPr>
              <w:t>4</w:t>
            </w:r>
          </w:p>
        </w:tc>
        <w:tc>
          <w:tcPr>
            <w:tcW w:w="5401" w:type="dxa"/>
            <w:shd w:val="clear" w:color="auto" w:fill="auto"/>
            <w:vAlign w:val="center"/>
          </w:tcPr>
          <w:p>
            <w:pPr>
              <w:jc w:val="left"/>
              <w:rPr>
                <w:rFonts w:eastAsia="Times New Roman"/>
                <w:kern w:val="28"/>
                <w:sz w:val="20"/>
              </w:rPr>
            </w:pPr>
            <w:r>
              <w:rPr>
                <w:rFonts w:eastAsia="Times New Roman"/>
                <w:kern w:val="28"/>
                <w:sz w:val="20"/>
              </w:rPr>
              <w:t>Сталь аустенитная</w:t>
            </w:r>
          </w:p>
        </w:tc>
        <w:tc>
          <w:tcPr>
            <w:tcW w:w="3543" w:type="dxa"/>
            <w:shd w:val="clear" w:color="auto" w:fill="auto"/>
          </w:tcPr>
          <w:p>
            <w:pPr>
              <w:jc w:val="center"/>
              <w:rPr>
                <w:rFonts w:eastAsia="Times New Roman"/>
                <w:kern w:val="28"/>
                <w:sz w:val="20"/>
              </w:rPr>
            </w:pPr>
            <w:r>
              <w:rPr>
                <w:rFonts w:eastAsia="Times New Roman"/>
                <w:kern w:val="28"/>
                <w:sz w:val="20"/>
              </w:rPr>
              <w:t>1,09</w:t>
            </w:r>
          </w:p>
        </w:tc>
      </w:tr>
      <w:tr>
        <w:trPr>
          <w:jc w:val="center"/>
        </w:trPr>
        <w:tc>
          <w:tcPr>
            <w:tcW w:w="695" w:type="dxa"/>
            <w:shd w:val="clear" w:color="auto" w:fill="auto"/>
          </w:tcPr>
          <w:p>
            <w:pPr>
              <w:jc w:val="center"/>
              <w:rPr>
                <w:rFonts w:eastAsia="Times New Roman"/>
                <w:kern w:val="28"/>
                <w:sz w:val="20"/>
              </w:rPr>
            </w:pPr>
            <w:r>
              <w:rPr>
                <w:rFonts w:eastAsia="Times New Roman"/>
                <w:kern w:val="28"/>
                <w:sz w:val="20"/>
              </w:rPr>
              <w:t>5</w:t>
            </w:r>
          </w:p>
        </w:tc>
        <w:tc>
          <w:tcPr>
            <w:tcW w:w="5401" w:type="dxa"/>
            <w:shd w:val="clear" w:color="auto" w:fill="auto"/>
            <w:vAlign w:val="center"/>
          </w:tcPr>
          <w:p>
            <w:pPr>
              <w:jc w:val="left"/>
              <w:rPr>
                <w:rFonts w:eastAsia="Times New Roman"/>
                <w:kern w:val="28"/>
                <w:sz w:val="20"/>
              </w:rPr>
            </w:pPr>
            <w:r>
              <w:rPr>
                <w:rFonts w:eastAsia="Times New Roman"/>
                <w:kern w:val="28"/>
                <w:sz w:val="20"/>
              </w:rPr>
              <w:t>Чугун</w:t>
            </w:r>
          </w:p>
        </w:tc>
        <w:tc>
          <w:tcPr>
            <w:tcW w:w="3543" w:type="dxa"/>
            <w:shd w:val="clear" w:color="auto" w:fill="auto"/>
          </w:tcPr>
          <w:p>
            <w:pPr>
              <w:jc w:val="center"/>
              <w:rPr>
                <w:rFonts w:eastAsia="Times New Roman"/>
                <w:kern w:val="28"/>
                <w:sz w:val="20"/>
              </w:rPr>
            </w:pPr>
            <w:r>
              <w:rPr>
                <w:rFonts w:eastAsia="Times New Roman"/>
                <w:kern w:val="28"/>
                <w:sz w:val="20"/>
              </w:rPr>
              <w:t>1,21</w:t>
            </w:r>
          </w:p>
        </w:tc>
      </w:tr>
    </w:tbl>
    <w:p>
      <w:pPr>
        <w:rPr>
          <w:rFonts w:eastAsia="Times New Roman"/>
          <w:color w:val="000000"/>
        </w:rPr>
      </w:pPr>
    </w:p>
    <w:p>
      <w:pPr>
        <w:rPr>
          <w:rFonts w:eastAsia="Times New Roman"/>
          <w:kern w:val="28"/>
        </w:rPr>
      </w:pPr>
      <w:r>
        <w:rPr>
          <w:rFonts w:eastAsia="Times New Roman"/>
        </w:rPr>
        <w:t>За результат измерения принимают среднее арифметическое результатов трёх параллельных определений.</w:t>
      </w:r>
    </w:p>
    <w:p>
      <w:pPr>
        <w:rPr>
          <w:rFonts w:eastAsia="Times New Roman"/>
          <w:kern w:val="28"/>
        </w:rPr>
      </w:pPr>
    </w:p>
    <w:p>
      <w:pPr>
        <w:rPr>
          <w:rFonts w:eastAsia="Times New Roman"/>
          <w:kern w:val="28"/>
        </w:rPr>
      </w:pPr>
    </w:p>
    <w:p>
      <w:pPr>
        <w:pStyle w:val="M"/>
        <w:numPr>
          <w:ilvl w:val="0"/>
          <w:numId w:val="40"/>
        </w:numPr>
        <w:tabs>
          <w:tab w:val="left" w:pos="567"/>
        </w:tabs>
        <w:ind w:left="0" w:firstLine="0"/>
        <w:rPr>
          <w:rFonts w:ascii="Arial" w:hAnsi="Arial" w:cs="Arial"/>
          <w:b/>
        </w:rPr>
      </w:pPr>
      <w:r>
        <w:rPr>
          <w:rFonts w:ascii="Arial" w:hAnsi="Arial" w:cs="Arial"/>
          <w:b/>
        </w:rPr>
        <w:t>ОФОРМЛЕНИЕ РЕЗУЛЬТАТОВ ИСПЫТАНИЙ</w:t>
      </w:r>
    </w:p>
    <w:p>
      <w:pPr>
        <w:rPr>
          <w:rFonts w:eastAsia="Times New Roman"/>
          <w:kern w:val="28"/>
        </w:rPr>
      </w:pPr>
    </w:p>
    <w:p>
      <w:pPr>
        <w:rPr>
          <w:color w:val="000000" w:themeColor="text1"/>
          <w:kern w:val="28"/>
        </w:rPr>
      </w:pPr>
      <w:r>
        <w:rPr>
          <w:color w:val="000000" w:themeColor="text1"/>
          <w:kern w:val="28"/>
        </w:rPr>
        <w:t xml:space="preserve">Результаты оформляют в виде протокола. В протоколе должна быть указана следующая информация: </w:t>
      </w:r>
    </w:p>
    <w:p>
      <w:pPr>
        <w:rPr>
          <w:color w:val="000000" w:themeColor="text1"/>
          <w:kern w:val="28"/>
        </w:rPr>
      </w:pPr>
    </w:p>
    <w:p>
      <w:pPr>
        <w:rPr>
          <w:color w:val="000000" w:themeColor="text1"/>
          <w:kern w:val="28"/>
        </w:rPr>
      </w:pPr>
      <w:r>
        <w:rPr>
          <w:color w:val="000000" w:themeColor="text1"/>
          <w:kern w:val="28"/>
        </w:rPr>
        <w:t>В протоколе указывают:</w:t>
      </w:r>
    </w:p>
    <w:p>
      <w:pPr>
        <w:numPr>
          <w:ilvl w:val="0"/>
          <w:numId w:val="54"/>
        </w:numPr>
        <w:spacing w:before="120"/>
        <w:ind w:left="541"/>
        <w:rPr>
          <w:color w:val="000000" w:themeColor="text1"/>
          <w:kern w:val="28"/>
        </w:rPr>
      </w:pPr>
      <w:r>
        <w:rPr>
          <w:color w:val="000000" w:themeColor="text1"/>
          <w:kern w:val="28"/>
        </w:rPr>
        <w:t>номер протокола;</w:t>
      </w:r>
    </w:p>
    <w:p>
      <w:pPr>
        <w:numPr>
          <w:ilvl w:val="0"/>
          <w:numId w:val="54"/>
        </w:numPr>
        <w:spacing w:before="120"/>
        <w:ind w:left="541"/>
        <w:rPr>
          <w:color w:val="000000" w:themeColor="text1"/>
          <w:kern w:val="28"/>
        </w:rPr>
      </w:pPr>
      <w:r>
        <w:rPr>
          <w:color w:val="000000" w:themeColor="text1"/>
          <w:kern w:val="28"/>
        </w:rPr>
        <w:t>дата начала и окончания испытаний;</w:t>
      </w:r>
    </w:p>
    <w:p>
      <w:pPr>
        <w:numPr>
          <w:ilvl w:val="0"/>
          <w:numId w:val="54"/>
        </w:numPr>
        <w:spacing w:before="120"/>
        <w:ind w:left="541"/>
        <w:rPr>
          <w:color w:val="000000" w:themeColor="text1"/>
          <w:kern w:val="28"/>
        </w:rPr>
      </w:pPr>
      <w:r>
        <w:rPr>
          <w:color w:val="000000" w:themeColor="text1"/>
          <w:kern w:val="28"/>
        </w:rPr>
        <w:t>солевой состав испытательного раствора;</w:t>
      </w:r>
    </w:p>
    <w:p>
      <w:pPr>
        <w:numPr>
          <w:ilvl w:val="0"/>
          <w:numId w:val="54"/>
        </w:numPr>
        <w:spacing w:before="120"/>
        <w:ind w:left="541"/>
        <w:rPr>
          <w:color w:val="000000" w:themeColor="text1"/>
          <w:kern w:val="28"/>
        </w:rPr>
      </w:pPr>
      <w:r>
        <w:rPr>
          <w:color w:val="000000" w:themeColor="text1"/>
          <w:kern w:val="28"/>
        </w:rPr>
        <w:t>концентрация сероводорода;</w:t>
      </w:r>
    </w:p>
    <w:p>
      <w:pPr>
        <w:numPr>
          <w:ilvl w:val="0"/>
          <w:numId w:val="54"/>
        </w:numPr>
        <w:spacing w:before="120"/>
        <w:ind w:left="541"/>
        <w:rPr>
          <w:color w:val="000000" w:themeColor="text1"/>
          <w:kern w:val="28"/>
        </w:rPr>
      </w:pPr>
      <w:r>
        <w:rPr>
          <w:color w:val="000000" w:themeColor="text1"/>
          <w:kern w:val="28"/>
        </w:rPr>
        <w:t xml:space="preserve">начальное значение </w:t>
      </w:r>
      <w:r>
        <w:rPr>
          <w:color w:val="000000" w:themeColor="text1"/>
          <w:kern w:val="28"/>
          <w:lang w:val="en-US"/>
        </w:rPr>
        <w:t>pH</w:t>
      </w:r>
      <w:r>
        <w:rPr>
          <w:color w:val="000000" w:themeColor="text1"/>
          <w:kern w:val="28"/>
        </w:rPr>
        <w:t xml:space="preserve">, конечное значение </w:t>
      </w:r>
      <w:r>
        <w:rPr>
          <w:color w:val="000000" w:themeColor="text1"/>
          <w:kern w:val="28"/>
          <w:lang w:val="en-US"/>
        </w:rPr>
        <w:t>pH</w:t>
      </w:r>
      <w:r>
        <w:rPr>
          <w:color w:val="000000" w:themeColor="text1"/>
          <w:kern w:val="28"/>
        </w:rPr>
        <w:t>;</w:t>
      </w:r>
    </w:p>
    <w:p>
      <w:pPr>
        <w:numPr>
          <w:ilvl w:val="0"/>
          <w:numId w:val="54"/>
        </w:numPr>
        <w:spacing w:before="120"/>
        <w:ind w:left="541"/>
        <w:rPr>
          <w:color w:val="000000" w:themeColor="text1"/>
          <w:kern w:val="28"/>
        </w:rPr>
      </w:pPr>
      <w:r>
        <w:rPr>
          <w:color w:val="000000" w:themeColor="text1"/>
          <w:kern w:val="28"/>
        </w:rPr>
        <w:t>температура испытаний;</w:t>
      </w:r>
    </w:p>
    <w:p>
      <w:pPr>
        <w:numPr>
          <w:ilvl w:val="0"/>
          <w:numId w:val="54"/>
        </w:numPr>
        <w:spacing w:before="120"/>
        <w:ind w:left="541"/>
        <w:rPr>
          <w:color w:val="000000" w:themeColor="text1"/>
          <w:kern w:val="28"/>
        </w:rPr>
      </w:pPr>
      <w:r>
        <w:rPr>
          <w:color w:val="000000" w:themeColor="text1"/>
          <w:kern w:val="28"/>
        </w:rPr>
        <w:t>продолжительность испытаний;</w:t>
      </w:r>
    </w:p>
    <w:p>
      <w:pPr>
        <w:numPr>
          <w:ilvl w:val="0"/>
          <w:numId w:val="54"/>
        </w:numPr>
        <w:spacing w:before="120"/>
        <w:ind w:left="541"/>
        <w:rPr>
          <w:color w:val="000000" w:themeColor="text1"/>
          <w:kern w:val="28"/>
        </w:rPr>
      </w:pPr>
      <w:r>
        <w:rPr>
          <w:color w:val="000000" w:themeColor="text1"/>
          <w:kern w:val="28"/>
        </w:rPr>
        <w:t>марка стали;</w:t>
      </w:r>
    </w:p>
    <w:p>
      <w:pPr>
        <w:numPr>
          <w:ilvl w:val="0"/>
          <w:numId w:val="54"/>
        </w:numPr>
        <w:spacing w:before="120"/>
        <w:ind w:left="541"/>
        <w:rPr>
          <w:color w:val="000000" w:themeColor="text1"/>
          <w:kern w:val="28"/>
        </w:rPr>
      </w:pPr>
      <w:r>
        <w:rPr>
          <w:color w:val="000000" w:themeColor="text1"/>
          <w:kern w:val="28"/>
        </w:rPr>
        <w:t>завод-изготовитель;</w:t>
      </w:r>
    </w:p>
    <w:p>
      <w:pPr>
        <w:numPr>
          <w:ilvl w:val="0"/>
          <w:numId w:val="54"/>
        </w:numPr>
        <w:spacing w:before="120"/>
        <w:ind w:left="541"/>
        <w:rPr>
          <w:color w:val="000000" w:themeColor="text1"/>
          <w:kern w:val="28"/>
        </w:rPr>
      </w:pPr>
      <w:r>
        <w:rPr>
          <w:color w:val="000000" w:themeColor="text1"/>
          <w:kern w:val="28"/>
        </w:rPr>
        <w:t>скорость коррозии для каждого из образцов;</w:t>
      </w:r>
    </w:p>
    <w:p>
      <w:pPr>
        <w:numPr>
          <w:ilvl w:val="0"/>
          <w:numId w:val="54"/>
        </w:numPr>
        <w:spacing w:before="120"/>
        <w:ind w:left="541"/>
        <w:rPr>
          <w:color w:val="000000" w:themeColor="text1"/>
          <w:kern w:val="28"/>
        </w:rPr>
      </w:pPr>
      <w:r>
        <w:rPr>
          <w:color w:val="000000" w:themeColor="text1"/>
          <w:kern w:val="28"/>
        </w:rPr>
        <w:t>средняя скорость коррозии;</w:t>
      </w:r>
    </w:p>
    <w:p>
      <w:pPr>
        <w:numPr>
          <w:ilvl w:val="0"/>
          <w:numId w:val="54"/>
        </w:numPr>
        <w:spacing w:before="120"/>
        <w:ind w:left="541"/>
        <w:rPr>
          <w:color w:val="000000" w:themeColor="text1"/>
          <w:kern w:val="28"/>
        </w:rPr>
      </w:pPr>
      <w:r>
        <w:rPr>
          <w:color w:val="000000" w:themeColor="text1"/>
          <w:kern w:val="28"/>
        </w:rPr>
        <w:t>примечание, содержащее краткое описание внешнего вида образцов после испытаний (наличие блистеров (вздутий) и т.п.).</w:t>
      </w:r>
    </w:p>
    <w:p>
      <w:pPr>
        <w:spacing w:before="120"/>
        <w:ind w:left="181"/>
        <w:rPr>
          <w:rFonts w:eastAsia="Times New Roman"/>
          <w:kern w:val="28"/>
        </w:rPr>
      </w:pPr>
    </w:p>
    <w:p>
      <w:pPr>
        <w:pStyle w:val="5"/>
        <w:spacing w:before="0" w:after="0"/>
        <w:rPr>
          <w:rFonts w:ascii="Arial" w:eastAsia="Times New Roman" w:hAnsi="Arial"/>
          <w:i w:val="0"/>
          <w:sz w:val="32"/>
          <w:szCs w:val="32"/>
          <w:lang w:eastAsia="en-US"/>
        </w:rPr>
        <w:sectPr>
          <w:headerReference w:type="default" r:id="rId77"/>
          <w:footerReference w:type="default" r:id="rId78"/>
          <w:pgSz w:w="11906" w:h="16838"/>
          <w:pgMar w:top="510" w:right="1021" w:bottom="567" w:left="1247" w:header="737" w:footer="680" w:gutter="0"/>
          <w:cols w:space="708"/>
          <w:docGrid w:linePitch="360"/>
        </w:sectPr>
      </w:pPr>
    </w:p>
    <w:p>
      <w:pPr>
        <w:pStyle w:val="22"/>
        <w:rPr>
          <w:rFonts w:eastAsia="Times New Roman" w:cs="Arial"/>
        </w:rPr>
      </w:pPr>
      <w:bookmarkStart w:id="325" w:name="_ПРИЛОЖЕНИЕ_5._ПЕРЕЧЕНЬ"/>
      <w:bookmarkStart w:id="326" w:name="_ПРИЛОЖЕНИЕ_4._ПЕРЕЧЕНЬ"/>
      <w:bookmarkStart w:id="327" w:name="_Toc511400336"/>
      <w:bookmarkStart w:id="328" w:name="_Toc514169551"/>
      <w:bookmarkEnd w:id="325"/>
      <w:bookmarkEnd w:id="326"/>
      <w:r>
        <w:rPr>
          <w:rFonts w:eastAsia="Times New Roman" w:cs="Arial"/>
        </w:rPr>
        <w:lastRenderedPageBreak/>
        <w:t>ПРИЛОЖЕНИЕ 4. ПЕРЕЧЕНЬ ИСПЫТАНИЙ МАТЕРИАЛОВ ОСНОВНЫХ СБОРОЧНЫХ ЕДИНИЦ И ДЕТАЛЕЙ ШАРОВЫХ КРАНОВ</w:t>
      </w:r>
      <w:bookmarkEnd w:id="327"/>
      <w:bookmarkEnd w:id="328"/>
    </w:p>
    <w:p/>
    <w:p/>
    <w:p>
      <w:pPr>
        <w:pStyle w:val="M"/>
        <w:numPr>
          <w:ilvl w:val="0"/>
          <w:numId w:val="69"/>
        </w:numPr>
        <w:tabs>
          <w:tab w:val="left" w:pos="567"/>
        </w:tabs>
        <w:ind w:left="0" w:firstLine="0"/>
        <w:rPr>
          <w:rFonts w:ascii="Arial" w:hAnsi="Arial" w:cs="Arial"/>
          <w:b/>
        </w:rPr>
      </w:pPr>
      <w:r>
        <w:rPr>
          <w:rFonts w:ascii="Arial" w:hAnsi="Arial" w:cs="Arial"/>
          <w:b/>
        </w:rPr>
        <w:t>ТРЕБОВАНИЯ К СМО, ПРОВОДЯЩЕЙ ИСПЫТАНИЯ</w:t>
      </w:r>
    </w:p>
    <w:p>
      <w:pPr>
        <w:tabs>
          <w:tab w:val="left" w:pos="567"/>
        </w:tabs>
        <w:rPr>
          <w:rFonts w:eastAsia="Times New Roman"/>
          <w:szCs w:val="20"/>
        </w:rPr>
      </w:pPr>
    </w:p>
    <w:p>
      <w:pPr>
        <w:pStyle w:val="affd"/>
        <w:tabs>
          <w:tab w:val="left" w:pos="567"/>
        </w:tabs>
        <w:spacing w:line="240" w:lineRule="auto"/>
        <w:ind w:left="0" w:firstLine="0"/>
        <w:contextualSpacing w:val="0"/>
        <w:rPr>
          <w:rFonts w:ascii="Times New Roman" w:eastAsia="Times New Roman" w:hAnsi="Times New Roman"/>
          <w:sz w:val="24"/>
        </w:rPr>
      </w:pPr>
      <w:r>
        <w:rPr>
          <w:rFonts w:ascii="Times New Roman" w:eastAsia="Times New Roman" w:hAnsi="Times New Roman"/>
          <w:sz w:val="24"/>
        </w:rPr>
        <w:t xml:space="preserve">Испытания материалов основных сборочных единиц и деталей шаровых кранов должны проводиться в </w:t>
      </w:r>
      <w:r>
        <w:t>СМО</w:t>
      </w:r>
      <w:r>
        <w:rPr>
          <w:rFonts w:ascii="Times New Roman" w:eastAsia="Times New Roman" w:hAnsi="Times New Roman"/>
          <w:sz w:val="24"/>
        </w:rPr>
        <w:t xml:space="preserve">, лаборатория которой аккредитована и соответствует требованиям приказа Минэкономразвития России от 30.05.2014 № 326 «Об утверждении Критериев аккредитации, перечня документов, подтверждающих соответствие заявителя, аккредитованного лица критериям аккредитации, и перечня документов в области стандартизации, соблюдение требований которых заявителями, аккредитованными лицами обеспечивает их соответствие критериям аккредитации», ГОСТ ИСО/МЭК 17025. </w:t>
      </w:r>
    </w:p>
    <w:p>
      <w:pPr>
        <w:tabs>
          <w:tab w:val="left" w:pos="567"/>
        </w:tabs>
        <w:rPr>
          <w:rFonts w:eastAsia="Times New Roman"/>
        </w:rPr>
      </w:pPr>
    </w:p>
    <w:p>
      <w:pPr>
        <w:pStyle w:val="affd"/>
        <w:tabs>
          <w:tab w:val="left" w:pos="567"/>
        </w:tabs>
        <w:spacing w:line="240" w:lineRule="auto"/>
        <w:ind w:left="0" w:firstLine="0"/>
        <w:contextualSpacing w:val="0"/>
        <w:rPr>
          <w:rFonts w:ascii="Times New Roman" w:eastAsia="Times New Roman" w:hAnsi="Times New Roman"/>
          <w:sz w:val="24"/>
        </w:rPr>
      </w:pPr>
      <w:r>
        <w:rPr>
          <w:rFonts w:ascii="Times New Roman" w:eastAsia="Times New Roman" w:hAnsi="Times New Roman"/>
          <w:sz w:val="24"/>
        </w:rPr>
        <w:t xml:space="preserve">Область аккредитации лаборатории должна включать в себя методы испытания материалов основных сборочных единиц и деталей шаровых кранов и анализа, приведенные в </w:t>
      </w:r>
      <w:r>
        <w:rPr>
          <w:rFonts w:ascii="Times New Roman" w:eastAsia="Times New Roman" w:hAnsi="Times New Roman"/>
          <w:sz w:val="24"/>
        </w:rPr>
        <w:br/>
        <w:t>Таблице 41.</w:t>
      </w:r>
    </w:p>
    <w:p>
      <w:pPr>
        <w:tabs>
          <w:tab w:val="left" w:pos="567"/>
        </w:tabs>
        <w:rPr>
          <w:rFonts w:eastAsia="PMingLiU"/>
        </w:rPr>
      </w:pPr>
    </w:p>
    <w:p>
      <w:pPr>
        <w:keepNext/>
        <w:widowControl w:val="0"/>
        <w:jc w:val="right"/>
        <w:rPr>
          <w:rFonts w:ascii="Arial" w:hAnsi="Arial" w:cs="Arial"/>
          <w:b/>
          <w:sz w:val="20"/>
          <w:szCs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41</w:t>
      </w:r>
      <w:r>
        <w:rPr>
          <w:rFonts w:ascii="Arial" w:eastAsia="Times New Roman" w:hAnsi="Arial"/>
          <w:b/>
          <w:sz w:val="20"/>
        </w:rPr>
        <w:fldChar w:fldCharType="end"/>
      </w:r>
    </w:p>
    <w:p>
      <w:pPr>
        <w:spacing w:after="60"/>
        <w:ind w:left="709"/>
        <w:jc w:val="right"/>
        <w:rPr>
          <w:rFonts w:ascii="Arial" w:hAnsi="Arial" w:cs="Arial"/>
          <w:b/>
          <w:sz w:val="20"/>
          <w:szCs w:val="20"/>
        </w:rPr>
      </w:pPr>
      <w:r>
        <w:rPr>
          <w:rFonts w:ascii="Arial" w:hAnsi="Arial" w:cs="Arial"/>
          <w:b/>
          <w:sz w:val="20"/>
          <w:szCs w:val="20"/>
        </w:rPr>
        <w:t>Методы испытания и анализа включающие в область аккредитации лаборатории</w:t>
      </w:r>
    </w:p>
    <w:tbl>
      <w:tblPr>
        <w:tblW w:w="974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67"/>
        <w:gridCol w:w="2835"/>
        <w:gridCol w:w="6345"/>
      </w:tblGrid>
      <w:tr>
        <w:trPr>
          <w:trHeight w:val="531"/>
          <w:tblHeader/>
        </w:trPr>
        <w:tc>
          <w:tcPr>
            <w:tcW w:w="567" w:type="dxa"/>
            <w:tcBorders>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 П/П</w:t>
            </w:r>
          </w:p>
        </w:tc>
        <w:tc>
          <w:tcPr>
            <w:tcW w:w="2835" w:type="dxa"/>
            <w:tcBorders>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МЕТОД ИСПЫТАНИЯ/АНАЛИЗА</w:t>
            </w:r>
          </w:p>
        </w:tc>
        <w:tc>
          <w:tcPr>
            <w:tcW w:w="6345" w:type="dxa"/>
            <w:tcBorders>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СТАНДАРТ НА ИСПЫТАНИЯ</w:t>
            </w:r>
          </w:p>
        </w:tc>
      </w:tr>
      <w:tr>
        <w:trPr>
          <w:tblHeader/>
        </w:trPr>
        <w:tc>
          <w:tcPr>
            <w:tcW w:w="567" w:type="dxa"/>
            <w:tcBorders>
              <w:top w:val="single" w:sz="12" w:space="0" w:color="auto"/>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1</w:t>
            </w:r>
          </w:p>
        </w:tc>
        <w:tc>
          <w:tcPr>
            <w:tcW w:w="2835" w:type="dxa"/>
            <w:tcBorders>
              <w:top w:val="single" w:sz="12" w:space="0" w:color="auto"/>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2</w:t>
            </w:r>
          </w:p>
        </w:tc>
        <w:tc>
          <w:tcPr>
            <w:tcW w:w="6345" w:type="dxa"/>
            <w:tcBorders>
              <w:top w:val="single" w:sz="12" w:space="0" w:color="auto"/>
              <w:bottom w:val="single" w:sz="12" w:space="0" w:color="auto"/>
            </w:tcBorders>
            <w:shd w:val="clear" w:color="auto" w:fill="FFD200"/>
            <w:vAlign w:val="center"/>
          </w:tcPr>
          <w:p>
            <w:pPr>
              <w:tabs>
                <w:tab w:val="left" w:pos="1222"/>
              </w:tabs>
              <w:jc w:val="center"/>
              <w:rPr>
                <w:rFonts w:ascii="Arial" w:hAnsi="Arial" w:cs="Arial"/>
                <w:b/>
                <w:sz w:val="16"/>
                <w:szCs w:val="16"/>
              </w:rPr>
            </w:pPr>
            <w:r>
              <w:rPr>
                <w:rFonts w:ascii="Arial" w:hAnsi="Arial" w:cs="Arial"/>
                <w:b/>
                <w:sz w:val="16"/>
                <w:szCs w:val="16"/>
              </w:rPr>
              <w:t>3</w:t>
            </w:r>
          </w:p>
        </w:tc>
      </w:tr>
      <w:tr>
        <w:trPr>
          <w:trHeight w:val="484"/>
        </w:trPr>
        <w:tc>
          <w:tcPr>
            <w:tcW w:w="567" w:type="dxa"/>
            <w:tcBorders>
              <w:top w:val="single" w:sz="12" w:space="0" w:color="auto"/>
            </w:tcBorders>
          </w:tcPr>
          <w:p>
            <w:pPr>
              <w:tabs>
                <w:tab w:val="left" w:pos="1222"/>
              </w:tabs>
              <w:rPr>
                <w:sz w:val="20"/>
                <w:szCs w:val="20"/>
              </w:rPr>
            </w:pPr>
            <w:r>
              <w:rPr>
                <w:sz w:val="20"/>
                <w:szCs w:val="20"/>
              </w:rPr>
              <w:t>1</w:t>
            </w:r>
          </w:p>
        </w:tc>
        <w:tc>
          <w:tcPr>
            <w:tcW w:w="2835" w:type="dxa"/>
            <w:tcBorders>
              <w:top w:val="single" w:sz="12" w:space="0" w:color="auto"/>
            </w:tcBorders>
            <w:shd w:val="clear" w:color="auto" w:fill="auto"/>
          </w:tcPr>
          <w:p>
            <w:pPr>
              <w:tabs>
                <w:tab w:val="left" w:pos="1222"/>
              </w:tabs>
              <w:rPr>
                <w:sz w:val="20"/>
                <w:szCs w:val="20"/>
              </w:rPr>
            </w:pPr>
            <w:r>
              <w:rPr>
                <w:sz w:val="20"/>
                <w:szCs w:val="20"/>
              </w:rPr>
              <w:t>Металлографический анализ</w:t>
            </w:r>
          </w:p>
        </w:tc>
        <w:tc>
          <w:tcPr>
            <w:tcW w:w="6345" w:type="dxa"/>
            <w:tcBorders>
              <w:top w:val="single" w:sz="12" w:space="0" w:color="auto"/>
            </w:tcBorders>
            <w:shd w:val="clear" w:color="auto" w:fill="auto"/>
          </w:tcPr>
          <w:p>
            <w:pPr>
              <w:suppressLineNumbers/>
              <w:jc w:val="left"/>
              <w:rPr>
                <w:sz w:val="20"/>
                <w:szCs w:val="20"/>
                <w:lang w:eastAsia="ar-SA"/>
              </w:rPr>
            </w:pPr>
            <w:r>
              <w:rPr>
                <w:rFonts w:eastAsia="Times New Roman"/>
                <w:sz w:val="20"/>
                <w:szCs w:val="20"/>
                <w:lang w:eastAsia="ar-SA"/>
              </w:rPr>
              <w:t xml:space="preserve">ГОСТ 1778, </w:t>
            </w:r>
            <w:r>
              <w:rPr>
                <w:sz w:val="20"/>
                <w:szCs w:val="20"/>
                <w:lang w:eastAsia="ar-SA"/>
              </w:rPr>
              <w:t>ГОСТ 5639, ГОСТ 10243, ГОСТ 1763</w:t>
            </w:r>
          </w:p>
        </w:tc>
      </w:tr>
      <w:tr>
        <w:trPr>
          <w:trHeight w:val="279"/>
        </w:trPr>
        <w:tc>
          <w:tcPr>
            <w:tcW w:w="567" w:type="dxa"/>
          </w:tcPr>
          <w:p>
            <w:pPr>
              <w:tabs>
                <w:tab w:val="left" w:pos="1222"/>
              </w:tabs>
              <w:rPr>
                <w:sz w:val="20"/>
                <w:szCs w:val="20"/>
                <w:lang w:eastAsia="ar-SA"/>
              </w:rPr>
            </w:pPr>
            <w:r>
              <w:rPr>
                <w:sz w:val="20"/>
                <w:szCs w:val="20"/>
                <w:lang w:eastAsia="ar-SA"/>
              </w:rPr>
              <w:t>2</w:t>
            </w:r>
          </w:p>
        </w:tc>
        <w:tc>
          <w:tcPr>
            <w:tcW w:w="2835" w:type="dxa"/>
            <w:shd w:val="clear" w:color="auto" w:fill="auto"/>
          </w:tcPr>
          <w:p>
            <w:pPr>
              <w:tabs>
                <w:tab w:val="left" w:pos="1222"/>
              </w:tabs>
              <w:rPr>
                <w:sz w:val="20"/>
                <w:szCs w:val="20"/>
              </w:rPr>
            </w:pPr>
            <w:r>
              <w:rPr>
                <w:sz w:val="20"/>
                <w:szCs w:val="20"/>
                <w:lang w:eastAsia="ar-SA"/>
              </w:rPr>
              <w:t>Механические испытания</w:t>
            </w:r>
          </w:p>
        </w:tc>
        <w:tc>
          <w:tcPr>
            <w:tcW w:w="6345" w:type="dxa"/>
            <w:shd w:val="clear" w:color="auto" w:fill="auto"/>
          </w:tcPr>
          <w:p>
            <w:pPr>
              <w:jc w:val="left"/>
              <w:rPr>
                <w:sz w:val="20"/>
                <w:szCs w:val="20"/>
                <w:lang w:eastAsia="ar-SA"/>
              </w:rPr>
            </w:pPr>
            <w:r>
              <w:rPr>
                <w:sz w:val="20"/>
                <w:szCs w:val="20"/>
                <w:lang w:eastAsia="ar-SA"/>
              </w:rPr>
              <w:t>ГОСТ 1497, ГОСТ 9454, ГОСТ 6996, ГОСТ 9013, ГОСТ 9450</w:t>
            </w:r>
          </w:p>
        </w:tc>
      </w:tr>
      <w:tr>
        <w:trPr>
          <w:trHeight w:val="229"/>
        </w:trPr>
        <w:tc>
          <w:tcPr>
            <w:tcW w:w="567" w:type="dxa"/>
          </w:tcPr>
          <w:p>
            <w:pPr>
              <w:tabs>
                <w:tab w:val="left" w:pos="1222"/>
              </w:tabs>
              <w:rPr>
                <w:sz w:val="20"/>
                <w:szCs w:val="20"/>
                <w:lang w:eastAsia="ar-SA"/>
              </w:rPr>
            </w:pPr>
            <w:r>
              <w:rPr>
                <w:sz w:val="20"/>
                <w:szCs w:val="20"/>
                <w:lang w:eastAsia="ar-SA"/>
              </w:rPr>
              <w:t>3</w:t>
            </w:r>
          </w:p>
        </w:tc>
        <w:tc>
          <w:tcPr>
            <w:tcW w:w="2835" w:type="dxa"/>
            <w:shd w:val="clear" w:color="auto" w:fill="auto"/>
          </w:tcPr>
          <w:p>
            <w:pPr>
              <w:tabs>
                <w:tab w:val="left" w:pos="1222"/>
              </w:tabs>
              <w:rPr>
                <w:sz w:val="20"/>
                <w:szCs w:val="20"/>
              </w:rPr>
            </w:pPr>
            <w:r>
              <w:rPr>
                <w:sz w:val="20"/>
                <w:szCs w:val="20"/>
                <w:lang w:eastAsia="ar-SA"/>
              </w:rPr>
              <w:t>Химический анализ</w:t>
            </w:r>
          </w:p>
        </w:tc>
        <w:tc>
          <w:tcPr>
            <w:tcW w:w="6345" w:type="dxa"/>
            <w:shd w:val="clear" w:color="auto" w:fill="auto"/>
          </w:tcPr>
          <w:p>
            <w:pPr>
              <w:rPr>
                <w:sz w:val="20"/>
                <w:szCs w:val="20"/>
              </w:rPr>
            </w:pPr>
            <w:r>
              <w:rPr>
                <w:sz w:val="20"/>
                <w:szCs w:val="20"/>
              </w:rPr>
              <w:t>ГОСТ 18895</w:t>
            </w:r>
          </w:p>
        </w:tc>
      </w:tr>
      <w:tr>
        <w:tc>
          <w:tcPr>
            <w:tcW w:w="567" w:type="dxa"/>
          </w:tcPr>
          <w:p>
            <w:pPr>
              <w:tabs>
                <w:tab w:val="left" w:pos="1222"/>
              </w:tabs>
              <w:rPr>
                <w:kern w:val="36"/>
                <w:sz w:val="20"/>
                <w:szCs w:val="20"/>
              </w:rPr>
            </w:pPr>
            <w:r>
              <w:rPr>
                <w:kern w:val="36"/>
                <w:sz w:val="20"/>
                <w:szCs w:val="20"/>
              </w:rPr>
              <w:t>4</w:t>
            </w:r>
          </w:p>
        </w:tc>
        <w:tc>
          <w:tcPr>
            <w:tcW w:w="2835" w:type="dxa"/>
            <w:shd w:val="clear" w:color="auto" w:fill="auto"/>
          </w:tcPr>
          <w:p>
            <w:pPr>
              <w:tabs>
                <w:tab w:val="left" w:pos="1222"/>
              </w:tabs>
              <w:rPr>
                <w:sz w:val="20"/>
                <w:szCs w:val="20"/>
              </w:rPr>
            </w:pPr>
            <w:r>
              <w:rPr>
                <w:kern w:val="36"/>
                <w:sz w:val="20"/>
                <w:szCs w:val="20"/>
              </w:rPr>
              <w:t>Коррозионные испытания</w:t>
            </w:r>
          </w:p>
        </w:tc>
        <w:tc>
          <w:tcPr>
            <w:tcW w:w="6345" w:type="dxa"/>
            <w:shd w:val="clear" w:color="auto" w:fill="auto"/>
          </w:tcPr>
          <w:p>
            <w:pPr>
              <w:rPr>
                <w:color w:val="000000"/>
                <w:sz w:val="20"/>
                <w:szCs w:val="20"/>
              </w:rPr>
            </w:pPr>
            <w:r>
              <w:rPr>
                <w:bCs/>
                <w:sz w:val="20"/>
                <w:szCs w:val="20"/>
              </w:rPr>
              <w:t xml:space="preserve">ГОСТ Р 9.905, ГОСТ 6032, СТ </w:t>
            </w:r>
            <w:r>
              <w:rPr>
                <w:sz w:val="20"/>
                <w:szCs w:val="20"/>
              </w:rPr>
              <w:t>ЦКБА 052</w:t>
            </w:r>
          </w:p>
        </w:tc>
      </w:tr>
    </w:tbl>
    <w:p>
      <w:pPr>
        <w:pStyle w:val="M"/>
      </w:pPr>
    </w:p>
    <w:p>
      <w:pPr>
        <w:pStyle w:val="M"/>
      </w:pPr>
    </w:p>
    <w:p>
      <w:pPr>
        <w:pStyle w:val="M"/>
        <w:numPr>
          <w:ilvl w:val="0"/>
          <w:numId w:val="69"/>
        </w:numPr>
        <w:tabs>
          <w:tab w:val="left" w:pos="567"/>
        </w:tabs>
        <w:ind w:left="0" w:firstLine="0"/>
        <w:rPr>
          <w:rFonts w:ascii="Arial" w:hAnsi="Arial" w:cs="Arial"/>
          <w:b/>
        </w:rPr>
      </w:pPr>
      <w:r>
        <w:rPr>
          <w:rFonts w:ascii="Arial" w:hAnsi="Arial" w:cs="Arial"/>
          <w:b/>
        </w:rPr>
        <w:t>ПЕРЕЧЕНЬ ОСНОВНЫХ ДЕТАЛЕЙ ШАРОВЫХ КРАНОВ, ПОДВЕРГАЕМЫХ ИСПЫТАНИЯМ</w:t>
      </w:r>
    </w:p>
    <w:p>
      <w:pPr>
        <w:widowControl w:val="0"/>
        <w:rPr>
          <w:rFonts w:eastAsia="Times New Roman"/>
          <w:kern w:val="28"/>
          <w:szCs w:val="20"/>
        </w:rPr>
      </w:pPr>
    </w:p>
    <w:p>
      <w:pPr>
        <w:widowControl w:val="0"/>
        <w:tabs>
          <w:tab w:val="left" w:pos="567"/>
        </w:tabs>
        <w:rPr>
          <w:rFonts w:eastAsia="Times New Roman"/>
          <w:kern w:val="28"/>
          <w:szCs w:val="20"/>
        </w:rPr>
      </w:pPr>
      <w:r>
        <w:rPr>
          <w:rFonts w:eastAsia="Times New Roman"/>
          <w:kern w:val="28"/>
          <w:szCs w:val="20"/>
        </w:rPr>
        <w:t xml:space="preserve">Для изготовления основных деталей </w:t>
      </w:r>
      <w:r>
        <w:rPr>
          <w:rFonts w:eastAsia="Times New Roman"/>
        </w:rPr>
        <w:t xml:space="preserve">шаровых кранов </w:t>
      </w:r>
      <w:r>
        <w:rPr>
          <w:rFonts w:eastAsia="Times New Roman"/>
          <w:kern w:val="28"/>
          <w:szCs w:val="20"/>
        </w:rPr>
        <w:t>должны использоваться материалы, обеспечивающие их надежную работу в течение нормативного срока службы, с учетом заданных условий эксплуатации.</w:t>
      </w:r>
    </w:p>
    <w:p>
      <w:pPr>
        <w:widowControl w:val="0"/>
        <w:rPr>
          <w:rFonts w:eastAsia="Times New Roman"/>
          <w:kern w:val="28"/>
          <w:szCs w:val="20"/>
        </w:rPr>
      </w:pPr>
    </w:p>
    <w:p>
      <w:pPr>
        <w:widowControl w:val="0"/>
        <w:tabs>
          <w:tab w:val="left" w:pos="567"/>
        </w:tabs>
        <w:rPr>
          <w:rFonts w:eastAsia="Times New Roman"/>
          <w:kern w:val="28"/>
          <w:szCs w:val="20"/>
        </w:rPr>
      </w:pPr>
      <w:r>
        <w:rPr>
          <w:rFonts w:eastAsia="Times New Roman"/>
          <w:kern w:val="28"/>
          <w:szCs w:val="20"/>
        </w:rPr>
        <w:t xml:space="preserve">Перечень основных сборочных единиц и деталей </w:t>
      </w:r>
      <w:r>
        <w:rPr>
          <w:rFonts w:eastAsia="Times New Roman"/>
        </w:rPr>
        <w:t xml:space="preserve">шаровых кранов </w:t>
      </w:r>
      <w:r>
        <w:rPr>
          <w:rFonts w:eastAsia="Times New Roman"/>
          <w:kern w:val="28"/>
          <w:szCs w:val="20"/>
        </w:rPr>
        <w:t>стандартного исполнения (без специальных требований к стойкости против СКРН), а также объем необходимых испытаний приведен в Таблице 42.</w:t>
      </w:r>
    </w:p>
    <w:p>
      <w:pPr>
        <w:widowControl w:val="0"/>
        <w:tabs>
          <w:tab w:val="left" w:pos="567"/>
        </w:tabs>
        <w:rPr>
          <w:rFonts w:eastAsia="Times New Roman"/>
          <w:kern w:val="28"/>
          <w:szCs w:val="20"/>
        </w:rPr>
      </w:pPr>
    </w:p>
    <w:p>
      <w:pPr>
        <w:keepNext/>
        <w:jc w:val="right"/>
        <w:rPr>
          <w:rFonts w:ascii="Arial" w:eastAsia="Times New Roman" w:hAnsi="Arial" w:cs="Arial"/>
          <w:b/>
          <w:sz w:val="20"/>
          <w:szCs w:val="28"/>
        </w:rPr>
      </w:pPr>
      <w:r>
        <w:rPr>
          <w:rFonts w:ascii="Arial" w:eastAsia="Times New Roman" w:hAnsi="Arial"/>
          <w:b/>
          <w:sz w:val="20"/>
        </w:rPr>
        <w:lastRenderedPageBreak/>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42</w:t>
      </w:r>
      <w:r>
        <w:rPr>
          <w:rFonts w:ascii="Arial" w:eastAsia="Times New Roman" w:hAnsi="Arial"/>
          <w:b/>
          <w:sz w:val="20"/>
        </w:rPr>
        <w:fldChar w:fldCharType="end"/>
      </w:r>
    </w:p>
    <w:p>
      <w:pPr>
        <w:keepNext/>
        <w:shd w:val="clear" w:color="auto" w:fill="FFFFFF"/>
        <w:tabs>
          <w:tab w:val="left" w:pos="7515"/>
        </w:tabs>
        <w:jc w:val="right"/>
        <w:rPr>
          <w:rFonts w:ascii="Arial" w:eastAsia="Times New Roman" w:hAnsi="Arial" w:cs="Arial"/>
          <w:b/>
          <w:sz w:val="20"/>
          <w:szCs w:val="28"/>
        </w:rPr>
      </w:pPr>
      <w:r>
        <w:rPr>
          <w:rFonts w:ascii="Arial" w:eastAsia="Times New Roman" w:hAnsi="Arial" w:cs="Arial"/>
          <w:b/>
          <w:sz w:val="20"/>
          <w:szCs w:val="28"/>
        </w:rPr>
        <w:t>Объем необходимых испытаний для шаровых кранов стандартного исполнения (без</w:t>
      </w:r>
    </w:p>
    <w:p>
      <w:pPr>
        <w:keepNext/>
        <w:shd w:val="clear" w:color="auto" w:fill="FFFFFF"/>
        <w:tabs>
          <w:tab w:val="left" w:pos="7515"/>
        </w:tabs>
        <w:spacing w:after="60"/>
        <w:jc w:val="right"/>
        <w:rPr>
          <w:rFonts w:ascii="Arial" w:eastAsia="Times New Roman" w:hAnsi="Arial" w:cs="Arial"/>
          <w:b/>
          <w:sz w:val="20"/>
          <w:szCs w:val="28"/>
        </w:rPr>
      </w:pPr>
      <w:r>
        <w:rPr>
          <w:rFonts w:ascii="Arial" w:eastAsia="Times New Roman" w:hAnsi="Arial" w:cs="Arial"/>
          <w:b/>
          <w:sz w:val="20"/>
          <w:szCs w:val="28"/>
        </w:rPr>
        <w:t>специальных требований к стойкости против СКРН)</w:t>
      </w:r>
    </w:p>
    <w:tbl>
      <w:tblPr>
        <w:tblStyle w:val="1b"/>
        <w:tblW w:w="4891"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17"/>
        <w:gridCol w:w="810"/>
        <w:gridCol w:w="671"/>
        <w:gridCol w:w="952"/>
        <w:gridCol w:w="952"/>
        <w:gridCol w:w="1089"/>
        <w:gridCol w:w="1396"/>
        <w:gridCol w:w="964"/>
        <w:gridCol w:w="1288"/>
      </w:tblGrid>
      <w:tr>
        <w:trPr>
          <w:trHeight w:val="496"/>
          <w:tblHeader/>
        </w:trPr>
        <w:tc>
          <w:tcPr>
            <w:tcW w:w="787" w:type="pct"/>
            <w:vMerge w:val="restart"/>
            <w:tcBorders>
              <w:top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6"/>
                <w:szCs w:val="20"/>
              </w:rPr>
              <w:t>НАИМЕНОВАНИЕ СБОРОЧНЫХ ЕДИНИЦ И ДЕТАЛЕЙ</w:t>
            </w:r>
          </w:p>
        </w:tc>
        <w:tc>
          <w:tcPr>
            <w:tcW w:w="420" w:type="pct"/>
            <w:vMerge w:val="restart"/>
            <w:tcBorders>
              <w:top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6"/>
                <w:szCs w:val="20"/>
              </w:rPr>
              <w:t>ОПРЕДЕЛЕНИЕ ХИМИЧЕСКОГО СОСТАВА</w:t>
            </w:r>
          </w:p>
        </w:tc>
        <w:tc>
          <w:tcPr>
            <w:tcW w:w="348" w:type="pct"/>
            <w:vMerge w:val="restart"/>
            <w:tcBorders>
              <w:top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6"/>
                <w:szCs w:val="20"/>
              </w:rPr>
              <w:t>ИЗМЕРЕНИЕ ТВЕРДОСТИ</w:t>
            </w:r>
          </w:p>
        </w:tc>
        <w:tc>
          <w:tcPr>
            <w:tcW w:w="494" w:type="pct"/>
            <w:vMerge w:val="restart"/>
            <w:tcBorders>
              <w:top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6"/>
                <w:szCs w:val="20"/>
              </w:rPr>
              <w:t>МИКРОСТРУКТУРНЫЕ ИССЛЕДОВАНИЯ</w:t>
            </w:r>
          </w:p>
        </w:tc>
        <w:tc>
          <w:tcPr>
            <w:tcW w:w="1059" w:type="pct"/>
            <w:gridSpan w:val="2"/>
            <w:tcBorders>
              <w:top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r>
              <w:rPr>
                <w:rFonts w:ascii="Arial" w:eastAsia="Times New Roman" w:hAnsi="Arial" w:cs="Arial"/>
                <w:b/>
                <w:sz w:val="16"/>
                <w:szCs w:val="20"/>
              </w:rPr>
              <w:t>ИСПЫТАНИЕ</w:t>
            </w:r>
          </w:p>
        </w:tc>
        <w:tc>
          <w:tcPr>
            <w:tcW w:w="1892" w:type="pct"/>
            <w:gridSpan w:val="3"/>
            <w:tcBorders>
              <w:top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r>
              <w:rPr>
                <w:rFonts w:ascii="Arial" w:eastAsia="Times New Roman" w:hAnsi="Arial" w:cs="Arial"/>
                <w:b/>
                <w:sz w:val="16"/>
                <w:szCs w:val="20"/>
              </w:rPr>
              <w:t>ИСПЫТАНИЯ НА СТОЙКОСТЬ</w:t>
            </w:r>
          </w:p>
        </w:tc>
      </w:tr>
      <w:tr>
        <w:trPr>
          <w:cantSplit/>
          <w:trHeight w:val="1339"/>
          <w:tblHeader/>
        </w:trPr>
        <w:tc>
          <w:tcPr>
            <w:tcW w:w="787" w:type="pct"/>
            <w:vMerge/>
            <w:tcBorders>
              <w:bottom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p>
        </w:tc>
        <w:tc>
          <w:tcPr>
            <w:tcW w:w="420" w:type="pct"/>
            <w:vMerge/>
            <w:tcBorders>
              <w:bottom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p>
        </w:tc>
        <w:tc>
          <w:tcPr>
            <w:tcW w:w="348" w:type="pct"/>
            <w:vMerge/>
            <w:tcBorders>
              <w:bottom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p>
        </w:tc>
        <w:tc>
          <w:tcPr>
            <w:tcW w:w="494" w:type="pct"/>
            <w:vMerge/>
            <w:tcBorders>
              <w:bottom w:val="single" w:sz="12" w:space="0" w:color="auto"/>
            </w:tcBorders>
            <w:shd w:val="clear" w:color="auto" w:fill="FFD200"/>
            <w:vAlign w:val="center"/>
          </w:tcPr>
          <w:p>
            <w:pPr>
              <w:keepNext/>
              <w:tabs>
                <w:tab w:val="left" w:pos="7515"/>
              </w:tabs>
              <w:jc w:val="center"/>
              <w:rPr>
                <w:rFonts w:ascii="Arial" w:eastAsia="Times New Roman" w:hAnsi="Arial" w:cs="Arial"/>
                <w:b/>
                <w:sz w:val="20"/>
                <w:szCs w:val="28"/>
              </w:rPr>
            </w:pPr>
          </w:p>
        </w:tc>
        <w:tc>
          <w:tcPr>
            <w:tcW w:w="494" w:type="pct"/>
            <w:tcBorders>
              <w:bottom w:val="single" w:sz="12" w:space="0" w:color="auto"/>
            </w:tcBorders>
            <w:shd w:val="clear" w:color="auto" w:fill="FFD200"/>
            <w:textDirection w:val="btLr"/>
            <w:vAlign w:val="center"/>
          </w:tcPr>
          <w:p>
            <w:pPr>
              <w:keepNext/>
              <w:ind w:left="113" w:right="113"/>
              <w:jc w:val="center"/>
              <w:rPr>
                <w:rFonts w:ascii="Arial" w:eastAsia="Times New Roman" w:hAnsi="Arial" w:cs="Arial"/>
                <w:b/>
                <w:sz w:val="14"/>
                <w:szCs w:val="20"/>
              </w:rPr>
            </w:pPr>
            <w:r>
              <w:rPr>
                <w:rFonts w:ascii="Arial" w:eastAsia="Times New Roman" w:hAnsi="Arial" w:cs="Arial"/>
                <w:b/>
                <w:sz w:val="14"/>
                <w:szCs w:val="20"/>
              </w:rPr>
              <w:t>НА РАСТЯЖЕНИЕ</w:t>
            </w:r>
          </w:p>
        </w:tc>
        <w:tc>
          <w:tcPr>
            <w:tcW w:w="565" w:type="pct"/>
            <w:tcBorders>
              <w:bottom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4"/>
                <w:szCs w:val="20"/>
              </w:rPr>
              <w:t>НА УДАРНЫЙ ИЗГИБ ПРИ КОМНАТНОЙ И ПОНИЖЕННОЙ ТЕМПЕРАТУРАХ</w:t>
            </w:r>
          </w:p>
        </w:tc>
        <w:tc>
          <w:tcPr>
            <w:tcW w:w="724" w:type="pct"/>
            <w:tcBorders>
              <w:bottom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4"/>
                <w:szCs w:val="20"/>
              </w:rPr>
              <w:t>К ОБЩЕЙ КОРРОЗИИ</w:t>
            </w:r>
          </w:p>
        </w:tc>
        <w:tc>
          <w:tcPr>
            <w:tcW w:w="500" w:type="pct"/>
            <w:tcBorders>
              <w:bottom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4"/>
                <w:szCs w:val="20"/>
              </w:rPr>
              <w:t>К ВР</w:t>
            </w:r>
          </w:p>
        </w:tc>
        <w:tc>
          <w:tcPr>
            <w:tcW w:w="668" w:type="pct"/>
            <w:tcBorders>
              <w:bottom w:val="single" w:sz="12" w:space="0" w:color="auto"/>
            </w:tcBorders>
            <w:shd w:val="clear" w:color="auto" w:fill="FFD200"/>
            <w:textDirection w:val="btLr"/>
            <w:vAlign w:val="center"/>
          </w:tcPr>
          <w:p>
            <w:pPr>
              <w:keepNext/>
              <w:tabs>
                <w:tab w:val="left" w:pos="7515"/>
              </w:tabs>
              <w:ind w:left="113" w:right="113"/>
              <w:jc w:val="center"/>
              <w:rPr>
                <w:rFonts w:ascii="Arial" w:eastAsia="Times New Roman" w:hAnsi="Arial" w:cs="Arial"/>
                <w:b/>
                <w:sz w:val="20"/>
                <w:szCs w:val="28"/>
              </w:rPr>
            </w:pPr>
            <w:r>
              <w:rPr>
                <w:rFonts w:ascii="Arial" w:eastAsia="Times New Roman" w:hAnsi="Arial" w:cs="Arial"/>
                <w:b/>
                <w:sz w:val="14"/>
                <w:szCs w:val="20"/>
              </w:rPr>
              <w:t>К СКРН</w:t>
            </w:r>
          </w:p>
        </w:tc>
      </w:tr>
      <w:tr>
        <w:trPr>
          <w:tblHeader/>
        </w:trPr>
        <w:tc>
          <w:tcPr>
            <w:tcW w:w="787"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1</w:t>
            </w:r>
          </w:p>
        </w:tc>
        <w:tc>
          <w:tcPr>
            <w:tcW w:w="420"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2</w:t>
            </w:r>
          </w:p>
        </w:tc>
        <w:tc>
          <w:tcPr>
            <w:tcW w:w="348"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3</w:t>
            </w:r>
          </w:p>
        </w:tc>
        <w:tc>
          <w:tcPr>
            <w:tcW w:w="494"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4</w:t>
            </w:r>
          </w:p>
        </w:tc>
        <w:tc>
          <w:tcPr>
            <w:tcW w:w="494"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5</w:t>
            </w:r>
          </w:p>
        </w:tc>
        <w:tc>
          <w:tcPr>
            <w:tcW w:w="565"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6</w:t>
            </w:r>
          </w:p>
        </w:tc>
        <w:tc>
          <w:tcPr>
            <w:tcW w:w="724"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7</w:t>
            </w:r>
          </w:p>
        </w:tc>
        <w:tc>
          <w:tcPr>
            <w:tcW w:w="500"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8</w:t>
            </w:r>
          </w:p>
        </w:tc>
        <w:tc>
          <w:tcPr>
            <w:tcW w:w="668" w:type="pct"/>
            <w:tcBorders>
              <w:top w:val="single" w:sz="12" w:space="0" w:color="auto"/>
              <w:bottom w:val="single" w:sz="12" w:space="0" w:color="auto"/>
            </w:tcBorders>
            <w:shd w:val="clear" w:color="auto" w:fill="FFD200"/>
            <w:vAlign w:val="center"/>
          </w:tcPr>
          <w:p>
            <w:pPr>
              <w:keepNext/>
              <w:tabs>
                <w:tab w:val="left" w:pos="7515"/>
              </w:tabs>
              <w:jc w:val="center"/>
              <w:rPr>
                <w:rFonts w:ascii="Arial" w:eastAsia="Times New Roman" w:hAnsi="Arial" w:cs="Arial"/>
                <w:b/>
                <w:sz w:val="16"/>
                <w:szCs w:val="28"/>
              </w:rPr>
            </w:pPr>
            <w:r>
              <w:rPr>
                <w:rFonts w:ascii="Arial" w:eastAsia="Times New Roman" w:hAnsi="Arial" w:cs="Arial"/>
                <w:b/>
                <w:sz w:val="16"/>
                <w:szCs w:val="28"/>
              </w:rPr>
              <w:t>9</w:t>
            </w:r>
          </w:p>
        </w:tc>
      </w:tr>
      <w:tr>
        <w:tc>
          <w:tcPr>
            <w:tcW w:w="787" w:type="pct"/>
            <w:tcBorders>
              <w:top w:val="single" w:sz="12" w:space="0" w:color="auto"/>
            </w:tcBorders>
          </w:tcPr>
          <w:p>
            <w:pPr>
              <w:widowControl w:val="0"/>
              <w:rPr>
                <w:rFonts w:eastAsia="Times New Roman"/>
                <w:sz w:val="20"/>
              </w:rPr>
            </w:pPr>
            <w:r>
              <w:rPr>
                <w:rFonts w:eastAsia="Times New Roman"/>
                <w:sz w:val="20"/>
              </w:rPr>
              <w:t>Корпус</w:t>
            </w:r>
          </w:p>
        </w:tc>
        <w:tc>
          <w:tcPr>
            <w:tcW w:w="420" w:type="pct"/>
            <w:tcBorders>
              <w:top w:val="single" w:sz="12" w:space="0" w:color="auto"/>
            </w:tcBorders>
          </w:tcPr>
          <w:p>
            <w:pPr>
              <w:widowControl w:val="0"/>
              <w:jc w:val="center"/>
              <w:rPr>
                <w:rFonts w:eastAsia="Times New Roman"/>
                <w:sz w:val="20"/>
              </w:rPr>
            </w:pPr>
            <w:r>
              <w:rPr>
                <w:rFonts w:eastAsia="Times New Roman"/>
                <w:sz w:val="20"/>
              </w:rPr>
              <w:t>+</w:t>
            </w:r>
          </w:p>
        </w:tc>
        <w:tc>
          <w:tcPr>
            <w:tcW w:w="348" w:type="pct"/>
            <w:tcBorders>
              <w:top w:val="single" w:sz="12" w:space="0" w:color="auto"/>
            </w:tcBorders>
          </w:tcPr>
          <w:p>
            <w:pPr>
              <w:widowControl w:val="0"/>
              <w:jc w:val="center"/>
              <w:rPr>
                <w:rFonts w:eastAsia="Times New Roman"/>
                <w:sz w:val="20"/>
              </w:rPr>
            </w:pPr>
            <w:r>
              <w:rPr>
                <w:rFonts w:eastAsia="Times New Roman"/>
                <w:sz w:val="20"/>
              </w:rPr>
              <w:t>+</w:t>
            </w:r>
          </w:p>
        </w:tc>
        <w:tc>
          <w:tcPr>
            <w:tcW w:w="494" w:type="pct"/>
            <w:tcBorders>
              <w:top w:val="single" w:sz="12" w:space="0" w:color="auto"/>
            </w:tcBorders>
          </w:tcPr>
          <w:p>
            <w:pPr>
              <w:widowControl w:val="0"/>
              <w:jc w:val="center"/>
              <w:rPr>
                <w:rFonts w:eastAsia="Times New Roman"/>
                <w:sz w:val="20"/>
              </w:rPr>
            </w:pPr>
            <w:r>
              <w:rPr>
                <w:rFonts w:eastAsia="Times New Roman"/>
                <w:sz w:val="20"/>
              </w:rPr>
              <w:t>+</w:t>
            </w:r>
          </w:p>
        </w:tc>
        <w:tc>
          <w:tcPr>
            <w:tcW w:w="494" w:type="pct"/>
            <w:tcBorders>
              <w:top w:val="single" w:sz="12" w:space="0" w:color="auto"/>
            </w:tcBorders>
          </w:tcPr>
          <w:p>
            <w:pPr>
              <w:widowControl w:val="0"/>
              <w:jc w:val="center"/>
              <w:rPr>
                <w:rFonts w:eastAsia="Times New Roman"/>
                <w:sz w:val="20"/>
              </w:rPr>
            </w:pPr>
            <w:r>
              <w:rPr>
                <w:rFonts w:eastAsia="Times New Roman"/>
                <w:sz w:val="20"/>
              </w:rPr>
              <w:t>+</w:t>
            </w:r>
          </w:p>
        </w:tc>
        <w:tc>
          <w:tcPr>
            <w:tcW w:w="565" w:type="pct"/>
            <w:tcBorders>
              <w:top w:val="single" w:sz="12" w:space="0" w:color="auto"/>
            </w:tcBorders>
          </w:tcPr>
          <w:p>
            <w:pPr>
              <w:widowControl w:val="0"/>
              <w:jc w:val="center"/>
              <w:rPr>
                <w:rFonts w:eastAsia="Times New Roman"/>
                <w:sz w:val="20"/>
              </w:rPr>
            </w:pPr>
            <w:r>
              <w:rPr>
                <w:rFonts w:eastAsia="Times New Roman"/>
                <w:sz w:val="20"/>
              </w:rPr>
              <w:t>+</w:t>
            </w:r>
          </w:p>
        </w:tc>
        <w:tc>
          <w:tcPr>
            <w:tcW w:w="724" w:type="pct"/>
            <w:tcBorders>
              <w:top w:val="single" w:sz="12" w:space="0" w:color="auto"/>
            </w:tcBorders>
          </w:tcPr>
          <w:p>
            <w:pPr>
              <w:widowControl w:val="0"/>
              <w:jc w:val="center"/>
              <w:rPr>
                <w:rFonts w:eastAsia="Times New Roman"/>
                <w:sz w:val="20"/>
              </w:rPr>
            </w:pPr>
            <w:r>
              <w:rPr>
                <w:rFonts w:eastAsia="Times New Roman"/>
                <w:sz w:val="20"/>
              </w:rPr>
              <w:t>+</w:t>
            </w:r>
          </w:p>
        </w:tc>
        <w:tc>
          <w:tcPr>
            <w:tcW w:w="500" w:type="pct"/>
            <w:tcBorders>
              <w:top w:val="single" w:sz="12" w:space="0" w:color="auto"/>
            </w:tcBorders>
          </w:tcPr>
          <w:p>
            <w:pPr>
              <w:widowControl w:val="0"/>
              <w:jc w:val="center"/>
              <w:rPr>
                <w:rFonts w:eastAsia="Times New Roman"/>
                <w:sz w:val="20"/>
              </w:rPr>
            </w:pPr>
            <w:r>
              <w:rPr>
                <w:rFonts w:eastAsia="Times New Roman"/>
                <w:sz w:val="20"/>
              </w:rPr>
              <w:t>-</w:t>
            </w:r>
          </w:p>
        </w:tc>
        <w:tc>
          <w:tcPr>
            <w:tcW w:w="668" w:type="pct"/>
            <w:tcBorders>
              <w:top w:val="single" w:sz="12" w:space="0" w:color="auto"/>
            </w:tcBorders>
          </w:tcPr>
          <w:p>
            <w:pPr>
              <w:widowControl w:val="0"/>
              <w:jc w:val="center"/>
              <w:rPr>
                <w:rFonts w:eastAsia="Times New Roman"/>
                <w:sz w:val="20"/>
              </w:rPr>
            </w:pPr>
            <w:r>
              <w:rPr>
                <w:rFonts w:eastAsia="Times New Roman"/>
                <w:sz w:val="20"/>
              </w:rPr>
              <w:t>-</w:t>
            </w:r>
          </w:p>
        </w:tc>
      </w:tr>
      <w:tr>
        <w:tc>
          <w:tcPr>
            <w:tcW w:w="787" w:type="pct"/>
          </w:tcPr>
          <w:p>
            <w:pPr>
              <w:widowControl w:val="0"/>
              <w:rPr>
                <w:rFonts w:eastAsia="Times New Roman"/>
                <w:sz w:val="20"/>
              </w:rPr>
            </w:pPr>
            <w:r>
              <w:rPr>
                <w:rFonts w:eastAsia="Times New Roman"/>
                <w:sz w:val="20"/>
              </w:rPr>
              <w:t>Крышка</w:t>
            </w:r>
          </w:p>
        </w:tc>
        <w:tc>
          <w:tcPr>
            <w:tcW w:w="420" w:type="pct"/>
          </w:tcPr>
          <w:p>
            <w:pPr>
              <w:widowControl w:val="0"/>
              <w:jc w:val="center"/>
              <w:rPr>
                <w:rFonts w:eastAsia="Times New Roman"/>
                <w:sz w:val="20"/>
              </w:rPr>
            </w:pPr>
            <w:r>
              <w:rPr>
                <w:rFonts w:eastAsia="Times New Roman"/>
                <w:sz w:val="20"/>
              </w:rPr>
              <w:t>+</w:t>
            </w:r>
          </w:p>
        </w:tc>
        <w:tc>
          <w:tcPr>
            <w:tcW w:w="348" w:type="pct"/>
          </w:tcPr>
          <w:p>
            <w:pPr>
              <w:widowControl w:val="0"/>
              <w:jc w:val="center"/>
              <w:rPr>
                <w:rFonts w:eastAsia="Times New Roman"/>
                <w:sz w:val="20"/>
              </w:rPr>
            </w:pPr>
            <w:r>
              <w:rPr>
                <w:rFonts w:eastAsia="Times New Roman"/>
                <w:sz w:val="20"/>
              </w:rPr>
              <w:t>+</w:t>
            </w:r>
          </w:p>
        </w:tc>
        <w:tc>
          <w:tcPr>
            <w:tcW w:w="494" w:type="pct"/>
          </w:tcPr>
          <w:p>
            <w:pPr>
              <w:widowControl w:val="0"/>
              <w:jc w:val="center"/>
              <w:rPr>
                <w:rFonts w:eastAsia="Times New Roman"/>
                <w:sz w:val="20"/>
              </w:rPr>
            </w:pPr>
            <w:r>
              <w:rPr>
                <w:rFonts w:eastAsia="Times New Roman"/>
                <w:sz w:val="20"/>
              </w:rPr>
              <w:t>+</w:t>
            </w:r>
          </w:p>
        </w:tc>
        <w:tc>
          <w:tcPr>
            <w:tcW w:w="494" w:type="pct"/>
          </w:tcPr>
          <w:p>
            <w:pPr>
              <w:widowControl w:val="0"/>
              <w:jc w:val="center"/>
              <w:rPr>
                <w:rFonts w:eastAsia="Times New Roman"/>
                <w:sz w:val="20"/>
              </w:rPr>
            </w:pPr>
            <w:r>
              <w:rPr>
                <w:rFonts w:eastAsia="Times New Roman"/>
                <w:sz w:val="20"/>
              </w:rPr>
              <w:t>+</w:t>
            </w:r>
          </w:p>
        </w:tc>
        <w:tc>
          <w:tcPr>
            <w:tcW w:w="565" w:type="pct"/>
          </w:tcPr>
          <w:p>
            <w:pPr>
              <w:widowControl w:val="0"/>
              <w:jc w:val="center"/>
              <w:rPr>
                <w:rFonts w:eastAsia="Times New Roman"/>
                <w:sz w:val="20"/>
              </w:rPr>
            </w:pPr>
            <w:r>
              <w:rPr>
                <w:rFonts w:eastAsia="Times New Roman"/>
                <w:sz w:val="20"/>
              </w:rPr>
              <w:t>+</w:t>
            </w:r>
          </w:p>
        </w:tc>
        <w:tc>
          <w:tcPr>
            <w:tcW w:w="724" w:type="pct"/>
          </w:tcPr>
          <w:p>
            <w:pPr>
              <w:widowControl w:val="0"/>
              <w:jc w:val="center"/>
              <w:rPr>
                <w:rFonts w:eastAsia="Times New Roman"/>
                <w:sz w:val="20"/>
              </w:rPr>
            </w:pPr>
            <w:r>
              <w:rPr>
                <w:rFonts w:eastAsia="Times New Roman"/>
                <w:sz w:val="20"/>
              </w:rPr>
              <w:t>+</w:t>
            </w:r>
          </w:p>
        </w:tc>
        <w:tc>
          <w:tcPr>
            <w:tcW w:w="500" w:type="pct"/>
          </w:tcPr>
          <w:p>
            <w:pPr>
              <w:widowControl w:val="0"/>
              <w:jc w:val="center"/>
              <w:rPr>
                <w:rFonts w:eastAsia="Times New Roman"/>
                <w:sz w:val="20"/>
              </w:rPr>
            </w:pPr>
            <w:r>
              <w:rPr>
                <w:rFonts w:eastAsia="Times New Roman"/>
                <w:sz w:val="20"/>
              </w:rPr>
              <w:t>-</w:t>
            </w:r>
          </w:p>
        </w:tc>
        <w:tc>
          <w:tcPr>
            <w:tcW w:w="668" w:type="pct"/>
          </w:tcPr>
          <w:p>
            <w:pPr>
              <w:widowControl w:val="0"/>
              <w:jc w:val="center"/>
              <w:rPr>
                <w:rFonts w:eastAsia="Times New Roman"/>
                <w:sz w:val="20"/>
              </w:rPr>
            </w:pPr>
            <w:r>
              <w:rPr>
                <w:rFonts w:eastAsia="Times New Roman"/>
                <w:sz w:val="20"/>
              </w:rPr>
              <w:t>-</w:t>
            </w:r>
          </w:p>
        </w:tc>
      </w:tr>
      <w:tr>
        <w:tc>
          <w:tcPr>
            <w:tcW w:w="787" w:type="pct"/>
          </w:tcPr>
          <w:p>
            <w:pPr>
              <w:widowControl w:val="0"/>
              <w:rPr>
                <w:rFonts w:eastAsia="Times New Roman"/>
                <w:sz w:val="20"/>
              </w:rPr>
            </w:pPr>
            <w:r>
              <w:rPr>
                <w:rFonts w:eastAsia="Times New Roman"/>
                <w:sz w:val="20"/>
              </w:rPr>
              <w:t>Затворный узел</w:t>
            </w:r>
          </w:p>
        </w:tc>
        <w:tc>
          <w:tcPr>
            <w:tcW w:w="420" w:type="pct"/>
            <w:vAlign w:val="center"/>
          </w:tcPr>
          <w:p>
            <w:pPr>
              <w:widowControl w:val="0"/>
              <w:jc w:val="center"/>
              <w:rPr>
                <w:rFonts w:eastAsia="Times New Roman"/>
                <w:sz w:val="20"/>
              </w:rPr>
            </w:pPr>
            <w:r>
              <w:rPr>
                <w:rFonts w:eastAsia="Times New Roman"/>
                <w:sz w:val="20"/>
              </w:rPr>
              <w:t>+</w:t>
            </w:r>
          </w:p>
        </w:tc>
        <w:tc>
          <w:tcPr>
            <w:tcW w:w="348" w:type="pct"/>
            <w:vAlign w:val="center"/>
          </w:tcPr>
          <w:p>
            <w:pPr>
              <w:widowControl w:val="0"/>
              <w:jc w:val="center"/>
              <w:rPr>
                <w:rFonts w:eastAsia="Times New Roman"/>
                <w:sz w:val="20"/>
              </w:rPr>
            </w:pPr>
            <w:r>
              <w:rPr>
                <w:rFonts w:eastAsia="Times New Roman"/>
                <w:sz w:val="20"/>
              </w:rPr>
              <w:t>+</w:t>
            </w:r>
          </w:p>
        </w:tc>
        <w:tc>
          <w:tcPr>
            <w:tcW w:w="494" w:type="pct"/>
            <w:vAlign w:val="center"/>
          </w:tcPr>
          <w:p>
            <w:pPr>
              <w:widowControl w:val="0"/>
              <w:jc w:val="center"/>
              <w:rPr>
                <w:rFonts w:eastAsia="Times New Roman"/>
                <w:sz w:val="20"/>
              </w:rPr>
            </w:pPr>
            <w:r>
              <w:rPr>
                <w:rFonts w:eastAsia="Times New Roman"/>
                <w:sz w:val="20"/>
              </w:rPr>
              <w:t>+</w:t>
            </w:r>
          </w:p>
        </w:tc>
        <w:tc>
          <w:tcPr>
            <w:tcW w:w="494" w:type="pct"/>
            <w:vAlign w:val="center"/>
          </w:tcPr>
          <w:p>
            <w:pPr>
              <w:widowControl w:val="0"/>
              <w:jc w:val="center"/>
              <w:rPr>
                <w:rFonts w:eastAsia="Times New Roman"/>
                <w:sz w:val="20"/>
              </w:rPr>
            </w:pPr>
            <w:r>
              <w:rPr>
                <w:rFonts w:eastAsia="Times New Roman"/>
                <w:sz w:val="20"/>
              </w:rPr>
              <w:t>-</w:t>
            </w:r>
          </w:p>
        </w:tc>
        <w:tc>
          <w:tcPr>
            <w:tcW w:w="565" w:type="pct"/>
            <w:vAlign w:val="center"/>
          </w:tcPr>
          <w:p>
            <w:pPr>
              <w:widowControl w:val="0"/>
              <w:jc w:val="center"/>
              <w:rPr>
                <w:rFonts w:eastAsia="Times New Roman"/>
                <w:sz w:val="20"/>
              </w:rPr>
            </w:pPr>
            <w:r>
              <w:rPr>
                <w:rFonts w:eastAsia="Times New Roman"/>
                <w:sz w:val="20"/>
              </w:rPr>
              <w:t>-</w:t>
            </w:r>
          </w:p>
        </w:tc>
        <w:tc>
          <w:tcPr>
            <w:tcW w:w="724" w:type="pct"/>
            <w:vAlign w:val="center"/>
          </w:tcPr>
          <w:p>
            <w:pPr>
              <w:widowControl w:val="0"/>
              <w:jc w:val="center"/>
              <w:rPr>
                <w:rFonts w:eastAsia="Times New Roman"/>
                <w:sz w:val="20"/>
              </w:rPr>
            </w:pPr>
            <w:r>
              <w:rPr>
                <w:rFonts w:eastAsia="Times New Roman"/>
                <w:sz w:val="20"/>
              </w:rPr>
              <w:t>+</w:t>
            </w:r>
          </w:p>
        </w:tc>
        <w:tc>
          <w:tcPr>
            <w:tcW w:w="500" w:type="pct"/>
            <w:vAlign w:val="center"/>
          </w:tcPr>
          <w:p>
            <w:pPr>
              <w:widowControl w:val="0"/>
              <w:jc w:val="center"/>
              <w:rPr>
                <w:rFonts w:eastAsia="Times New Roman"/>
                <w:sz w:val="20"/>
              </w:rPr>
            </w:pPr>
            <w:r>
              <w:rPr>
                <w:rFonts w:eastAsia="Times New Roman"/>
                <w:sz w:val="20"/>
              </w:rPr>
              <w:t>-</w:t>
            </w:r>
          </w:p>
        </w:tc>
        <w:tc>
          <w:tcPr>
            <w:tcW w:w="668" w:type="pct"/>
            <w:vAlign w:val="center"/>
          </w:tcPr>
          <w:p>
            <w:pPr>
              <w:widowControl w:val="0"/>
              <w:jc w:val="center"/>
              <w:rPr>
                <w:rFonts w:eastAsia="Times New Roman"/>
                <w:sz w:val="20"/>
              </w:rPr>
            </w:pPr>
            <w:r>
              <w:rPr>
                <w:rFonts w:eastAsia="Times New Roman"/>
                <w:sz w:val="20"/>
              </w:rPr>
              <w:t>-</w:t>
            </w:r>
          </w:p>
        </w:tc>
      </w:tr>
      <w:tr>
        <w:tc>
          <w:tcPr>
            <w:tcW w:w="787" w:type="pct"/>
          </w:tcPr>
          <w:p>
            <w:pPr>
              <w:widowControl w:val="0"/>
              <w:rPr>
                <w:rFonts w:eastAsia="Times New Roman"/>
                <w:sz w:val="20"/>
              </w:rPr>
            </w:pPr>
            <w:r>
              <w:rPr>
                <w:rFonts w:eastAsia="Times New Roman"/>
                <w:sz w:val="20"/>
              </w:rPr>
              <w:t>Шпиндель</w:t>
            </w:r>
          </w:p>
        </w:tc>
        <w:tc>
          <w:tcPr>
            <w:tcW w:w="420" w:type="pct"/>
          </w:tcPr>
          <w:p>
            <w:pPr>
              <w:widowControl w:val="0"/>
              <w:jc w:val="center"/>
              <w:rPr>
                <w:rFonts w:eastAsia="Times New Roman"/>
                <w:sz w:val="20"/>
              </w:rPr>
            </w:pPr>
            <w:r>
              <w:rPr>
                <w:rFonts w:eastAsia="Times New Roman"/>
                <w:sz w:val="20"/>
              </w:rPr>
              <w:t>+</w:t>
            </w:r>
          </w:p>
        </w:tc>
        <w:tc>
          <w:tcPr>
            <w:tcW w:w="348" w:type="pct"/>
          </w:tcPr>
          <w:p>
            <w:pPr>
              <w:widowControl w:val="0"/>
              <w:jc w:val="center"/>
              <w:rPr>
                <w:rFonts w:eastAsia="Times New Roman"/>
                <w:sz w:val="20"/>
              </w:rPr>
            </w:pPr>
            <w:r>
              <w:rPr>
                <w:rFonts w:eastAsia="Times New Roman"/>
                <w:sz w:val="20"/>
              </w:rPr>
              <w:t>+</w:t>
            </w:r>
          </w:p>
        </w:tc>
        <w:tc>
          <w:tcPr>
            <w:tcW w:w="494" w:type="pct"/>
          </w:tcPr>
          <w:p>
            <w:pPr>
              <w:widowControl w:val="0"/>
              <w:jc w:val="center"/>
              <w:rPr>
                <w:rFonts w:eastAsia="Times New Roman"/>
                <w:sz w:val="20"/>
              </w:rPr>
            </w:pPr>
            <w:r>
              <w:rPr>
                <w:rFonts w:eastAsia="Times New Roman"/>
                <w:sz w:val="20"/>
              </w:rPr>
              <w:t>+</w:t>
            </w:r>
          </w:p>
        </w:tc>
        <w:tc>
          <w:tcPr>
            <w:tcW w:w="494" w:type="pct"/>
          </w:tcPr>
          <w:p>
            <w:pPr>
              <w:widowControl w:val="0"/>
              <w:jc w:val="center"/>
              <w:rPr>
                <w:rFonts w:eastAsia="Times New Roman"/>
                <w:sz w:val="20"/>
              </w:rPr>
            </w:pPr>
            <w:r>
              <w:rPr>
                <w:rFonts w:eastAsia="Times New Roman"/>
                <w:sz w:val="20"/>
              </w:rPr>
              <w:t>+</w:t>
            </w:r>
          </w:p>
        </w:tc>
        <w:tc>
          <w:tcPr>
            <w:tcW w:w="565" w:type="pct"/>
          </w:tcPr>
          <w:p>
            <w:pPr>
              <w:widowControl w:val="0"/>
              <w:jc w:val="center"/>
              <w:rPr>
                <w:rFonts w:eastAsia="Times New Roman"/>
                <w:sz w:val="20"/>
                <w:lang w:val="en-US"/>
              </w:rPr>
            </w:pPr>
            <w:r>
              <w:rPr>
                <w:rFonts w:eastAsia="Times New Roman"/>
                <w:sz w:val="20"/>
                <w:lang w:val="en-US"/>
              </w:rPr>
              <w:t>-</w:t>
            </w:r>
          </w:p>
        </w:tc>
        <w:tc>
          <w:tcPr>
            <w:tcW w:w="724" w:type="pct"/>
          </w:tcPr>
          <w:p>
            <w:pPr>
              <w:widowControl w:val="0"/>
              <w:jc w:val="center"/>
              <w:rPr>
                <w:rFonts w:eastAsia="Times New Roman"/>
                <w:sz w:val="20"/>
              </w:rPr>
            </w:pPr>
            <w:r>
              <w:rPr>
                <w:rFonts w:eastAsia="Times New Roman"/>
                <w:sz w:val="20"/>
              </w:rPr>
              <w:t>+</w:t>
            </w:r>
          </w:p>
        </w:tc>
        <w:tc>
          <w:tcPr>
            <w:tcW w:w="500" w:type="pct"/>
          </w:tcPr>
          <w:p>
            <w:pPr>
              <w:widowControl w:val="0"/>
              <w:jc w:val="center"/>
              <w:rPr>
                <w:rFonts w:eastAsia="Times New Roman"/>
                <w:sz w:val="20"/>
              </w:rPr>
            </w:pPr>
            <w:r>
              <w:rPr>
                <w:rFonts w:eastAsia="Times New Roman"/>
                <w:sz w:val="20"/>
              </w:rPr>
              <w:t>-</w:t>
            </w:r>
          </w:p>
        </w:tc>
        <w:tc>
          <w:tcPr>
            <w:tcW w:w="668" w:type="pct"/>
          </w:tcPr>
          <w:p>
            <w:pPr>
              <w:widowControl w:val="0"/>
              <w:jc w:val="center"/>
              <w:rPr>
                <w:rFonts w:eastAsia="Times New Roman"/>
                <w:sz w:val="20"/>
              </w:rPr>
            </w:pPr>
            <w:r>
              <w:rPr>
                <w:rFonts w:eastAsia="Times New Roman"/>
                <w:sz w:val="20"/>
              </w:rPr>
              <w:t>-</w:t>
            </w:r>
          </w:p>
        </w:tc>
      </w:tr>
    </w:tbl>
    <w:p/>
    <w:p>
      <w:pPr>
        <w:widowControl w:val="0"/>
        <w:tabs>
          <w:tab w:val="left" w:pos="567"/>
        </w:tabs>
        <w:rPr>
          <w:rFonts w:eastAsia="Times New Roman"/>
          <w:kern w:val="28"/>
        </w:rPr>
      </w:pPr>
      <w:r>
        <w:rPr>
          <w:rFonts w:eastAsia="Times New Roman"/>
          <w:kern w:val="28"/>
        </w:rPr>
        <w:t xml:space="preserve">Перечень основных сборочных единиц и деталей </w:t>
      </w:r>
      <w:r>
        <w:rPr>
          <w:rFonts w:eastAsia="Times New Roman"/>
        </w:rPr>
        <w:t>шаровых кранов</w:t>
      </w:r>
      <w:r>
        <w:rPr>
          <w:rFonts w:eastAsia="Times New Roman"/>
          <w:kern w:val="28"/>
        </w:rPr>
        <w:t xml:space="preserve">, предназначенных для эксплуатации арматуры в рабочих средах, содержащих </w:t>
      </w:r>
      <w:r>
        <w:t>Р</w:t>
      </w:r>
      <w:r>
        <w:rPr>
          <w:vertAlign w:val="subscript"/>
          <w:lang w:val="en-US"/>
        </w:rPr>
        <w:t>H</w:t>
      </w:r>
      <w:r>
        <w:rPr>
          <w:sz w:val="20"/>
          <w:vertAlign w:val="subscript"/>
        </w:rPr>
        <w:t>2</w:t>
      </w:r>
      <w:r>
        <w:rPr>
          <w:vertAlign w:val="subscript"/>
          <w:lang w:val="en-US"/>
        </w:rPr>
        <w:t>S</w:t>
      </w:r>
      <w:r>
        <w:t xml:space="preserve"> &gt; 300 кПа в газовой фазе</w:t>
      </w:r>
      <w:r>
        <w:rPr>
          <w:rFonts w:eastAsia="Times New Roman"/>
          <w:kern w:val="28"/>
        </w:rPr>
        <w:t>, а также объем необходимых испытаний приведен в Таблице 43.</w:t>
      </w:r>
    </w:p>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43</w:t>
      </w:r>
      <w:r>
        <w:rPr>
          <w:rFonts w:ascii="Arial" w:eastAsia="Times New Roman" w:hAnsi="Arial"/>
          <w:b/>
          <w:sz w:val="20"/>
        </w:rPr>
        <w:fldChar w:fldCharType="end"/>
      </w:r>
    </w:p>
    <w:p>
      <w:pPr>
        <w:widowControl w:val="0"/>
        <w:shd w:val="clear" w:color="auto" w:fill="FFFFFF"/>
        <w:tabs>
          <w:tab w:val="left" w:pos="7515"/>
        </w:tabs>
        <w:spacing w:after="60"/>
        <w:jc w:val="right"/>
        <w:rPr>
          <w:rFonts w:ascii="Arial" w:eastAsia="Times New Roman" w:hAnsi="Arial" w:cs="Arial"/>
          <w:b/>
          <w:sz w:val="20"/>
          <w:szCs w:val="28"/>
        </w:rPr>
      </w:pPr>
      <w:r>
        <w:rPr>
          <w:rFonts w:ascii="Arial" w:eastAsia="Times New Roman" w:hAnsi="Arial" w:cs="Arial"/>
          <w:b/>
          <w:sz w:val="20"/>
          <w:szCs w:val="28"/>
        </w:rPr>
        <w:t>Объем необходимых испытаний при содержащих Р</w:t>
      </w:r>
      <w:r>
        <w:rPr>
          <w:rFonts w:ascii="Arial" w:eastAsia="Times New Roman" w:hAnsi="Arial" w:cs="Arial"/>
          <w:b/>
          <w:sz w:val="20"/>
          <w:szCs w:val="28"/>
          <w:vertAlign w:val="subscript"/>
        </w:rPr>
        <w:t>H</w:t>
      </w:r>
      <w:r>
        <w:rPr>
          <w:rFonts w:ascii="Arial" w:eastAsia="Times New Roman" w:hAnsi="Arial" w:cs="Arial"/>
          <w:b/>
          <w:sz w:val="16"/>
          <w:szCs w:val="28"/>
          <w:vertAlign w:val="subscript"/>
        </w:rPr>
        <w:t>2</w:t>
      </w:r>
      <w:r>
        <w:rPr>
          <w:rFonts w:ascii="Arial" w:eastAsia="Times New Roman" w:hAnsi="Arial" w:cs="Arial"/>
          <w:b/>
          <w:sz w:val="20"/>
          <w:szCs w:val="28"/>
          <w:vertAlign w:val="subscript"/>
        </w:rPr>
        <w:t>S</w:t>
      </w:r>
      <w:r>
        <w:rPr>
          <w:rFonts w:ascii="Arial" w:eastAsia="Times New Roman" w:hAnsi="Arial" w:cs="Arial"/>
          <w:b/>
          <w:sz w:val="20"/>
          <w:szCs w:val="28"/>
        </w:rPr>
        <w:t xml:space="preserve"> &gt; 300 кПа в газовой фазе</w:t>
      </w:r>
    </w:p>
    <w:tbl>
      <w:tblPr>
        <w:tblStyle w:val="1b"/>
        <w:tblW w:w="4891"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43"/>
        <w:gridCol w:w="825"/>
        <w:gridCol w:w="682"/>
        <w:gridCol w:w="970"/>
        <w:gridCol w:w="970"/>
        <w:gridCol w:w="1112"/>
        <w:gridCol w:w="1278"/>
        <w:gridCol w:w="983"/>
        <w:gridCol w:w="1276"/>
      </w:tblGrid>
      <w:tr>
        <w:trPr>
          <w:tblHeader/>
        </w:trPr>
        <w:tc>
          <w:tcPr>
            <w:tcW w:w="800" w:type="pct"/>
            <w:vMerge w:val="restart"/>
            <w:shd w:val="clear" w:color="auto" w:fill="FFD200"/>
            <w:textDirection w:val="btLr"/>
            <w:vAlign w:val="center"/>
          </w:tcPr>
          <w:p>
            <w:pPr>
              <w:widowControl w:val="0"/>
              <w:tabs>
                <w:tab w:val="left" w:pos="7515"/>
              </w:tabs>
              <w:ind w:left="113" w:right="-108"/>
              <w:jc w:val="center"/>
              <w:rPr>
                <w:rFonts w:ascii="Arial" w:eastAsia="Times New Roman" w:hAnsi="Arial" w:cs="Arial"/>
                <w:b/>
                <w:sz w:val="16"/>
                <w:szCs w:val="16"/>
              </w:rPr>
            </w:pPr>
            <w:r>
              <w:rPr>
                <w:rFonts w:ascii="Arial" w:eastAsia="Times New Roman" w:hAnsi="Arial" w:cs="Arial"/>
                <w:b/>
                <w:sz w:val="16"/>
                <w:szCs w:val="16"/>
              </w:rPr>
              <w:t>НАИМЕНОВАНИЕ СБОРОЧНЫХ ЕДИНИЦ И ДЕТАЛЕЙ</w:t>
            </w:r>
          </w:p>
        </w:tc>
        <w:tc>
          <w:tcPr>
            <w:tcW w:w="428" w:type="pct"/>
            <w:vMerge w:val="restart"/>
            <w:shd w:val="clear" w:color="auto" w:fill="FFD200"/>
            <w:textDirection w:val="btLr"/>
            <w:vAlign w:val="center"/>
          </w:tcPr>
          <w:p>
            <w:pPr>
              <w:widowControl w:val="0"/>
              <w:tabs>
                <w:tab w:val="left" w:pos="7515"/>
              </w:tabs>
              <w:ind w:left="113" w:right="113"/>
              <w:jc w:val="center"/>
              <w:rPr>
                <w:rFonts w:ascii="Arial" w:eastAsia="Times New Roman" w:hAnsi="Arial" w:cs="Arial"/>
                <w:b/>
                <w:sz w:val="16"/>
                <w:szCs w:val="16"/>
              </w:rPr>
            </w:pPr>
            <w:r>
              <w:rPr>
                <w:rFonts w:ascii="Arial" w:eastAsia="Times New Roman" w:hAnsi="Arial" w:cs="Arial"/>
                <w:b/>
                <w:sz w:val="16"/>
                <w:szCs w:val="16"/>
              </w:rPr>
              <w:t>ОПРЕДЕЛЕНИЕ ХИМИЧЕСКОГО СОСТАВА</w:t>
            </w:r>
          </w:p>
        </w:tc>
        <w:tc>
          <w:tcPr>
            <w:tcW w:w="354" w:type="pct"/>
            <w:vMerge w:val="restart"/>
            <w:shd w:val="clear" w:color="auto" w:fill="FFD200"/>
            <w:textDirection w:val="btLr"/>
            <w:vAlign w:val="center"/>
          </w:tcPr>
          <w:p>
            <w:pPr>
              <w:widowControl w:val="0"/>
              <w:tabs>
                <w:tab w:val="left" w:pos="7515"/>
              </w:tabs>
              <w:ind w:left="113" w:right="113"/>
              <w:jc w:val="center"/>
              <w:rPr>
                <w:rFonts w:ascii="Arial" w:eastAsia="Times New Roman" w:hAnsi="Arial" w:cs="Arial"/>
                <w:b/>
                <w:sz w:val="16"/>
                <w:szCs w:val="16"/>
              </w:rPr>
            </w:pPr>
            <w:r>
              <w:rPr>
                <w:rFonts w:ascii="Arial" w:eastAsia="Times New Roman" w:hAnsi="Arial" w:cs="Arial"/>
                <w:b/>
                <w:sz w:val="16"/>
                <w:szCs w:val="16"/>
              </w:rPr>
              <w:t>ИЗМЕРЕНИЕ ТВЕРДОСТИ</w:t>
            </w:r>
          </w:p>
        </w:tc>
        <w:tc>
          <w:tcPr>
            <w:tcW w:w="503" w:type="pct"/>
            <w:vMerge w:val="restart"/>
            <w:shd w:val="clear" w:color="auto" w:fill="FFD200"/>
            <w:textDirection w:val="btLr"/>
            <w:vAlign w:val="center"/>
          </w:tcPr>
          <w:p>
            <w:pPr>
              <w:widowControl w:val="0"/>
              <w:tabs>
                <w:tab w:val="left" w:pos="7515"/>
              </w:tabs>
              <w:ind w:left="113" w:right="113"/>
              <w:jc w:val="center"/>
              <w:rPr>
                <w:rFonts w:ascii="Arial" w:eastAsia="Times New Roman" w:hAnsi="Arial" w:cs="Arial"/>
                <w:b/>
                <w:sz w:val="16"/>
                <w:szCs w:val="16"/>
              </w:rPr>
            </w:pPr>
            <w:r>
              <w:rPr>
                <w:rFonts w:ascii="Arial" w:eastAsia="Times New Roman" w:hAnsi="Arial" w:cs="Arial"/>
                <w:b/>
                <w:sz w:val="16"/>
                <w:szCs w:val="16"/>
              </w:rPr>
              <w:t>МИКРОСТРУКТУРНЫЕ ИССЛЕДОВАНИЯ</w:t>
            </w:r>
          </w:p>
        </w:tc>
        <w:tc>
          <w:tcPr>
            <w:tcW w:w="1080" w:type="pct"/>
            <w:gridSpan w:val="2"/>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ИСПЫТАНИЕ</w:t>
            </w:r>
          </w:p>
        </w:tc>
        <w:tc>
          <w:tcPr>
            <w:tcW w:w="1835" w:type="pct"/>
            <w:gridSpan w:val="3"/>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ИСПЫТАНИЯ НА СТОЙКОСТЬ</w:t>
            </w:r>
          </w:p>
        </w:tc>
      </w:tr>
      <w:tr>
        <w:trPr>
          <w:cantSplit/>
          <w:trHeight w:val="1471"/>
          <w:tblHeader/>
        </w:trPr>
        <w:tc>
          <w:tcPr>
            <w:tcW w:w="800" w:type="pct"/>
            <w:vMerge/>
            <w:tcBorders>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p>
        </w:tc>
        <w:tc>
          <w:tcPr>
            <w:tcW w:w="428" w:type="pct"/>
            <w:vMerge/>
            <w:tcBorders>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p>
        </w:tc>
        <w:tc>
          <w:tcPr>
            <w:tcW w:w="354" w:type="pct"/>
            <w:vMerge/>
            <w:tcBorders>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p>
        </w:tc>
        <w:tc>
          <w:tcPr>
            <w:tcW w:w="503" w:type="pct"/>
            <w:vMerge/>
            <w:tcBorders>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p>
        </w:tc>
        <w:tc>
          <w:tcPr>
            <w:tcW w:w="503" w:type="pct"/>
            <w:tcBorders>
              <w:bottom w:val="single" w:sz="12" w:space="0" w:color="auto"/>
            </w:tcBorders>
            <w:shd w:val="clear" w:color="auto" w:fill="FFD200"/>
            <w:textDirection w:val="btLr"/>
            <w:vAlign w:val="center"/>
          </w:tcPr>
          <w:p>
            <w:pPr>
              <w:widowControl w:val="0"/>
              <w:ind w:left="113" w:right="113"/>
              <w:jc w:val="center"/>
              <w:rPr>
                <w:rFonts w:ascii="Arial" w:eastAsia="Times New Roman" w:hAnsi="Arial" w:cs="Arial"/>
                <w:b/>
                <w:sz w:val="14"/>
                <w:szCs w:val="16"/>
              </w:rPr>
            </w:pPr>
            <w:r>
              <w:rPr>
                <w:rFonts w:ascii="Arial" w:eastAsia="Times New Roman" w:hAnsi="Arial" w:cs="Arial"/>
                <w:b/>
                <w:sz w:val="14"/>
                <w:szCs w:val="16"/>
              </w:rPr>
              <w:t>НА РАСТЯЖЕНИЕ</w:t>
            </w:r>
          </w:p>
        </w:tc>
        <w:tc>
          <w:tcPr>
            <w:tcW w:w="577" w:type="pct"/>
            <w:tcBorders>
              <w:bottom w:val="single" w:sz="12" w:space="0" w:color="auto"/>
            </w:tcBorders>
            <w:shd w:val="clear" w:color="auto" w:fill="FFD200"/>
            <w:textDirection w:val="btLr"/>
            <w:vAlign w:val="center"/>
          </w:tcPr>
          <w:p>
            <w:pPr>
              <w:widowControl w:val="0"/>
              <w:tabs>
                <w:tab w:val="left" w:pos="7515"/>
              </w:tabs>
              <w:ind w:left="113" w:right="113"/>
              <w:jc w:val="center"/>
              <w:rPr>
                <w:rFonts w:ascii="Arial" w:eastAsia="Times New Roman" w:hAnsi="Arial" w:cs="Arial"/>
                <w:b/>
                <w:sz w:val="14"/>
                <w:szCs w:val="16"/>
              </w:rPr>
            </w:pPr>
            <w:r>
              <w:rPr>
                <w:rFonts w:ascii="Arial" w:eastAsia="Times New Roman" w:hAnsi="Arial" w:cs="Arial"/>
                <w:b/>
                <w:sz w:val="14"/>
                <w:szCs w:val="16"/>
              </w:rPr>
              <w:t>НА УДАРНЫЙ ИЗГИБ ПРИ КОМНАТНОЙ И ПОНИЖЕННОЙ ТЕМПЕРАТУРАХ</w:t>
            </w:r>
          </w:p>
        </w:tc>
        <w:tc>
          <w:tcPr>
            <w:tcW w:w="663" w:type="pct"/>
            <w:tcBorders>
              <w:bottom w:val="single" w:sz="12" w:space="0" w:color="auto"/>
            </w:tcBorders>
            <w:shd w:val="clear" w:color="auto" w:fill="FFD200"/>
            <w:textDirection w:val="btLr"/>
            <w:vAlign w:val="center"/>
          </w:tcPr>
          <w:p>
            <w:pPr>
              <w:widowControl w:val="0"/>
              <w:tabs>
                <w:tab w:val="left" w:pos="7515"/>
              </w:tabs>
              <w:ind w:left="113" w:right="113"/>
              <w:jc w:val="center"/>
              <w:rPr>
                <w:rFonts w:ascii="Arial" w:eastAsia="Times New Roman" w:hAnsi="Arial" w:cs="Arial"/>
                <w:b/>
                <w:sz w:val="14"/>
                <w:szCs w:val="16"/>
              </w:rPr>
            </w:pPr>
            <w:r>
              <w:rPr>
                <w:rFonts w:ascii="Arial" w:eastAsia="Times New Roman" w:hAnsi="Arial" w:cs="Arial"/>
                <w:b/>
                <w:sz w:val="14"/>
                <w:szCs w:val="16"/>
              </w:rPr>
              <w:t>К ОБЩЕЙ КОРРОЗИИ</w:t>
            </w:r>
          </w:p>
        </w:tc>
        <w:tc>
          <w:tcPr>
            <w:tcW w:w="510" w:type="pct"/>
            <w:tcBorders>
              <w:bottom w:val="single" w:sz="12" w:space="0" w:color="auto"/>
            </w:tcBorders>
            <w:shd w:val="clear" w:color="auto" w:fill="FFD200"/>
            <w:textDirection w:val="btLr"/>
            <w:vAlign w:val="center"/>
          </w:tcPr>
          <w:p>
            <w:pPr>
              <w:widowControl w:val="0"/>
              <w:tabs>
                <w:tab w:val="left" w:pos="7515"/>
              </w:tabs>
              <w:ind w:left="113" w:right="113"/>
              <w:jc w:val="center"/>
              <w:rPr>
                <w:rFonts w:ascii="Arial" w:eastAsia="Times New Roman" w:hAnsi="Arial" w:cs="Arial"/>
                <w:b/>
                <w:sz w:val="14"/>
                <w:szCs w:val="16"/>
              </w:rPr>
            </w:pPr>
            <w:r>
              <w:rPr>
                <w:rFonts w:ascii="Arial" w:eastAsia="Times New Roman" w:hAnsi="Arial" w:cs="Arial"/>
                <w:b/>
                <w:sz w:val="14"/>
                <w:szCs w:val="16"/>
              </w:rPr>
              <w:t>К ВР</w:t>
            </w:r>
            <w:r>
              <w:rPr>
                <w:rFonts w:ascii="Arial" w:eastAsia="Times New Roman" w:hAnsi="Arial" w:cs="Arial"/>
                <w:b/>
                <w:sz w:val="16"/>
                <w:szCs w:val="16"/>
              </w:rPr>
              <w:t>*</w:t>
            </w:r>
          </w:p>
        </w:tc>
        <w:tc>
          <w:tcPr>
            <w:tcW w:w="662" w:type="pct"/>
            <w:tcBorders>
              <w:bottom w:val="single" w:sz="12" w:space="0" w:color="auto"/>
            </w:tcBorders>
            <w:shd w:val="clear" w:color="auto" w:fill="FFD200"/>
            <w:textDirection w:val="btLr"/>
            <w:vAlign w:val="center"/>
          </w:tcPr>
          <w:p>
            <w:pPr>
              <w:widowControl w:val="0"/>
              <w:tabs>
                <w:tab w:val="left" w:pos="7515"/>
              </w:tabs>
              <w:ind w:left="113" w:right="113"/>
              <w:jc w:val="center"/>
              <w:rPr>
                <w:rFonts w:ascii="Arial" w:eastAsia="Times New Roman" w:hAnsi="Arial" w:cs="Arial"/>
                <w:b/>
                <w:sz w:val="14"/>
                <w:szCs w:val="16"/>
              </w:rPr>
            </w:pPr>
            <w:r>
              <w:rPr>
                <w:rFonts w:ascii="Arial" w:eastAsia="Times New Roman" w:hAnsi="Arial" w:cs="Arial"/>
                <w:b/>
                <w:sz w:val="14"/>
                <w:szCs w:val="16"/>
              </w:rPr>
              <w:t>К СКРН</w:t>
            </w:r>
          </w:p>
        </w:tc>
      </w:tr>
      <w:tr>
        <w:trPr>
          <w:tblHeader/>
        </w:trPr>
        <w:tc>
          <w:tcPr>
            <w:tcW w:w="800"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1</w:t>
            </w:r>
          </w:p>
        </w:tc>
        <w:tc>
          <w:tcPr>
            <w:tcW w:w="428"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2</w:t>
            </w:r>
          </w:p>
        </w:tc>
        <w:tc>
          <w:tcPr>
            <w:tcW w:w="354"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3</w:t>
            </w:r>
          </w:p>
        </w:tc>
        <w:tc>
          <w:tcPr>
            <w:tcW w:w="503"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4</w:t>
            </w:r>
          </w:p>
        </w:tc>
        <w:tc>
          <w:tcPr>
            <w:tcW w:w="503"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5</w:t>
            </w:r>
          </w:p>
        </w:tc>
        <w:tc>
          <w:tcPr>
            <w:tcW w:w="577"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6</w:t>
            </w:r>
          </w:p>
        </w:tc>
        <w:tc>
          <w:tcPr>
            <w:tcW w:w="663"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7</w:t>
            </w:r>
          </w:p>
        </w:tc>
        <w:tc>
          <w:tcPr>
            <w:tcW w:w="510"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8</w:t>
            </w:r>
          </w:p>
        </w:tc>
        <w:tc>
          <w:tcPr>
            <w:tcW w:w="662" w:type="pct"/>
            <w:tcBorders>
              <w:top w:val="single" w:sz="12" w:space="0" w:color="auto"/>
              <w:bottom w:val="single" w:sz="12" w:space="0" w:color="auto"/>
            </w:tcBorders>
            <w:shd w:val="clear" w:color="auto" w:fill="FFD200"/>
            <w:vAlign w:val="center"/>
          </w:tcPr>
          <w:p>
            <w:pPr>
              <w:widowControl w:val="0"/>
              <w:tabs>
                <w:tab w:val="left" w:pos="7515"/>
              </w:tabs>
              <w:jc w:val="center"/>
              <w:rPr>
                <w:rFonts w:ascii="Arial" w:eastAsia="Times New Roman" w:hAnsi="Arial" w:cs="Arial"/>
                <w:b/>
                <w:sz w:val="16"/>
                <w:szCs w:val="16"/>
              </w:rPr>
            </w:pPr>
            <w:r>
              <w:rPr>
                <w:rFonts w:ascii="Arial" w:eastAsia="Times New Roman" w:hAnsi="Arial" w:cs="Arial"/>
                <w:b/>
                <w:sz w:val="16"/>
                <w:szCs w:val="16"/>
              </w:rPr>
              <w:t>9</w:t>
            </w:r>
          </w:p>
        </w:tc>
      </w:tr>
      <w:tr>
        <w:tc>
          <w:tcPr>
            <w:tcW w:w="800" w:type="pct"/>
            <w:tcBorders>
              <w:top w:val="single" w:sz="12" w:space="0" w:color="auto"/>
            </w:tcBorders>
          </w:tcPr>
          <w:p>
            <w:pPr>
              <w:widowControl w:val="0"/>
              <w:rPr>
                <w:rFonts w:eastAsia="Times New Roman"/>
                <w:sz w:val="20"/>
              </w:rPr>
            </w:pPr>
            <w:r>
              <w:rPr>
                <w:rFonts w:eastAsia="Times New Roman"/>
                <w:sz w:val="20"/>
              </w:rPr>
              <w:t>Корпус</w:t>
            </w:r>
          </w:p>
        </w:tc>
        <w:tc>
          <w:tcPr>
            <w:tcW w:w="428" w:type="pct"/>
            <w:tcBorders>
              <w:top w:val="single" w:sz="12" w:space="0" w:color="auto"/>
            </w:tcBorders>
          </w:tcPr>
          <w:p>
            <w:pPr>
              <w:widowControl w:val="0"/>
              <w:jc w:val="center"/>
              <w:rPr>
                <w:rFonts w:eastAsia="Times New Roman"/>
                <w:sz w:val="20"/>
              </w:rPr>
            </w:pPr>
            <w:r>
              <w:rPr>
                <w:rFonts w:eastAsia="Times New Roman"/>
                <w:sz w:val="20"/>
              </w:rPr>
              <w:t>+</w:t>
            </w:r>
          </w:p>
        </w:tc>
        <w:tc>
          <w:tcPr>
            <w:tcW w:w="354" w:type="pct"/>
            <w:tcBorders>
              <w:top w:val="single" w:sz="12" w:space="0" w:color="auto"/>
            </w:tcBorders>
          </w:tcPr>
          <w:p>
            <w:pPr>
              <w:widowControl w:val="0"/>
              <w:jc w:val="center"/>
              <w:rPr>
                <w:rFonts w:eastAsia="Times New Roman"/>
                <w:sz w:val="20"/>
              </w:rPr>
            </w:pPr>
            <w:r>
              <w:rPr>
                <w:rFonts w:eastAsia="Times New Roman"/>
                <w:sz w:val="20"/>
              </w:rPr>
              <w:t>+</w:t>
            </w:r>
          </w:p>
        </w:tc>
        <w:tc>
          <w:tcPr>
            <w:tcW w:w="503" w:type="pct"/>
            <w:tcBorders>
              <w:top w:val="single" w:sz="12" w:space="0" w:color="auto"/>
            </w:tcBorders>
          </w:tcPr>
          <w:p>
            <w:pPr>
              <w:widowControl w:val="0"/>
              <w:jc w:val="center"/>
              <w:rPr>
                <w:rFonts w:eastAsia="Times New Roman"/>
                <w:sz w:val="20"/>
              </w:rPr>
            </w:pPr>
            <w:r>
              <w:rPr>
                <w:rFonts w:eastAsia="Times New Roman"/>
                <w:sz w:val="20"/>
              </w:rPr>
              <w:t>+</w:t>
            </w:r>
          </w:p>
        </w:tc>
        <w:tc>
          <w:tcPr>
            <w:tcW w:w="503" w:type="pct"/>
            <w:tcBorders>
              <w:top w:val="single" w:sz="12" w:space="0" w:color="auto"/>
            </w:tcBorders>
          </w:tcPr>
          <w:p>
            <w:pPr>
              <w:widowControl w:val="0"/>
              <w:jc w:val="center"/>
              <w:rPr>
                <w:rFonts w:eastAsia="Times New Roman"/>
                <w:sz w:val="20"/>
              </w:rPr>
            </w:pPr>
            <w:r>
              <w:rPr>
                <w:rFonts w:eastAsia="Times New Roman"/>
                <w:sz w:val="20"/>
              </w:rPr>
              <w:t>+</w:t>
            </w:r>
          </w:p>
        </w:tc>
        <w:tc>
          <w:tcPr>
            <w:tcW w:w="577" w:type="pct"/>
            <w:tcBorders>
              <w:top w:val="single" w:sz="12" w:space="0" w:color="auto"/>
            </w:tcBorders>
          </w:tcPr>
          <w:p>
            <w:pPr>
              <w:widowControl w:val="0"/>
              <w:jc w:val="center"/>
              <w:rPr>
                <w:rFonts w:eastAsia="Times New Roman"/>
                <w:sz w:val="20"/>
              </w:rPr>
            </w:pPr>
            <w:r>
              <w:rPr>
                <w:rFonts w:eastAsia="Times New Roman"/>
                <w:sz w:val="20"/>
              </w:rPr>
              <w:t>+</w:t>
            </w:r>
          </w:p>
        </w:tc>
        <w:tc>
          <w:tcPr>
            <w:tcW w:w="663" w:type="pct"/>
            <w:tcBorders>
              <w:top w:val="single" w:sz="12" w:space="0" w:color="auto"/>
            </w:tcBorders>
          </w:tcPr>
          <w:p>
            <w:pPr>
              <w:widowControl w:val="0"/>
              <w:jc w:val="center"/>
              <w:rPr>
                <w:rFonts w:eastAsia="Times New Roman"/>
                <w:sz w:val="20"/>
              </w:rPr>
            </w:pPr>
            <w:r>
              <w:rPr>
                <w:rFonts w:eastAsia="Times New Roman"/>
                <w:sz w:val="20"/>
              </w:rPr>
              <w:t>+</w:t>
            </w:r>
          </w:p>
        </w:tc>
        <w:tc>
          <w:tcPr>
            <w:tcW w:w="510" w:type="pct"/>
            <w:tcBorders>
              <w:top w:val="single" w:sz="12" w:space="0" w:color="auto"/>
            </w:tcBorders>
          </w:tcPr>
          <w:p>
            <w:pPr>
              <w:widowControl w:val="0"/>
              <w:jc w:val="center"/>
              <w:rPr>
                <w:rFonts w:eastAsia="Times New Roman"/>
                <w:sz w:val="20"/>
              </w:rPr>
            </w:pPr>
            <w:r>
              <w:rPr>
                <w:rFonts w:eastAsia="Times New Roman"/>
                <w:sz w:val="20"/>
              </w:rPr>
              <w:t>+</w:t>
            </w:r>
          </w:p>
        </w:tc>
        <w:tc>
          <w:tcPr>
            <w:tcW w:w="662" w:type="pct"/>
            <w:tcBorders>
              <w:top w:val="single" w:sz="12" w:space="0" w:color="auto"/>
            </w:tcBorders>
          </w:tcPr>
          <w:p>
            <w:pPr>
              <w:widowControl w:val="0"/>
              <w:jc w:val="center"/>
              <w:rPr>
                <w:rFonts w:eastAsia="Times New Roman"/>
                <w:sz w:val="20"/>
              </w:rPr>
            </w:pPr>
            <w:r>
              <w:rPr>
                <w:rFonts w:eastAsia="Times New Roman"/>
                <w:sz w:val="20"/>
              </w:rPr>
              <w:t>+</w:t>
            </w:r>
          </w:p>
        </w:tc>
      </w:tr>
      <w:tr>
        <w:tc>
          <w:tcPr>
            <w:tcW w:w="800" w:type="pct"/>
          </w:tcPr>
          <w:p>
            <w:pPr>
              <w:widowControl w:val="0"/>
              <w:rPr>
                <w:rFonts w:eastAsia="Times New Roman"/>
                <w:sz w:val="20"/>
              </w:rPr>
            </w:pPr>
            <w:r>
              <w:rPr>
                <w:rFonts w:eastAsia="Times New Roman"/>
                <w:sz w:val="20"/>
              </w:rPr>
              <w:t>Крышка**</w:t>
            </w:r>
          </w:p>
        </w:tc>
        <w:tc>
          <w:tcPr>
            <w:tcW w:w="428" w:type="pct"/>
          </w:tcPr>
          <w:p>
            <w:pPr>
              <w:widowControl w:val="0"/>
              <w:jc w:val="center"/>
              <w:rPr>
                <w:rFonts w:eastAsia="Times New Roman"/>
                <w:sz w:val="20"/>
              </w:rPr>
            </w:pPr>
            <w:r>
              <w:rPr>
                <w:rFonts w:eastAsia="Times New Roman"/>
                <w:sz w:val="20"/>
              </w:rPr>
              <w:t>+</w:t>
            </w:r>
          </w:p>
        </w:tc>
        <w:tc>
          <w:tcPr>
            <w:tcW w:w="354"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77" w:type="pct"/>
          </w:tcPr>
          <w:p>
            <w:pPr>
              <w:widowControl w:val="0"/>
              <w:jc w:val="center"/>
              <w:rPr>
                <w:rFonts w:eastAsia="Times New Roman"/>
                <w:sz w:val="20"/>
              </w:rPr>
            </w:pPr>
            <w:r>
              <w:rPr>
                <w:rFonts w:eastAsia="Times New Roman"/>
                <w:sz w:val="20"/>
              </w:rPr>
              <w:t>+</w:t>
            </w:r>
          </w:p>
        </w:tc>
        <w:tc>
          <w:tcPr>
            <w:tcW w:w="663" w:type="pct"/>
          </w:tcPr>
          <w:p>
            <w:pPr>
              <w:widowControl w:val="0"/>
              <w:jc w:val="center"/>
              <w:rPr>
                <w:rFonts w:eastAsia="Times New Roman"/>
                <w:sz w:val="20"/>
              </w:rPr>
            </w:pPr>
            <w:r>
              <w:rPr>
                <w:rFonts w:eastAsia="Times New Roman"/>
                <w:sz w:val="20"/>
              </w:rPr>
              <w:t>+</w:t>
            </w:r>
          </w:p>
        </w:tc>
        <w:tc>
          <w:tcPr>
            <w:tcW w:w="510" w:type="pct"/>
          </w:tcPr>
          <w:p>
            <w:pPr>
              <w:widowControl w:val="0"/>
              <w:jc w:val="center"/>
              <w:rPr>
                <w:rFonts w:eastAsia="Times New Roman"/>
                <w:sz w:val="20"/>
              </w:rPr>
            </w:pPr>
            <w:r>
              <w:rPr>
                <w:rFonts w:eastAsia="Times New Roman"/>
                <w:sz w:val="20"/>
              </w:rPr>
              <w:t>+</w:t>
            </w:r>
          </w:p>
        </w:tc>
        <w:tc>
          <w:tcPr>
            <w:tcW w:w="662" w:type="pct"/>
          </w:tcPr>
          <w:p>
            <w:pPr>
              <w:widowControl w:val="0"/>
              <w:jc w:val="center"/>
              <w:rPr>
                <w:rFonts w:eastAsia="Times New Roman"/>
                <w:sz w:val="20"/>
              </w:rPr>
            </w:pPr>
            <w:r>
              <w:rPr>
                <w:rFonts w:eastAsia="Times New Roman"/>
                <w:sz w:val="20"/>
              </w:rPr>
              <w:t>+</w:t>
            </w:r>
          </w:p>
        </w:tc>
      </w:tr>
      <w:tr>
        <w:tc>
          <w:tcPr>
            <w:tcW w:w="800" w:type="pct"/>
          </w:tcPr>
          <w:p>
            <w:pPr>
              <w:widowControl w:val="0"/>
              <w:rPr>
                <w:rFonts w:eastAsia="Times New Roman"/>
                <w:sz w:val="20"/>
              </w:rPr>
            </w:pPr>
            <w:r>
              <w:rPr>
                <w:rFonts w:eastAsia="Times New Roman"/>
                <w:sz w:val="20"/>
              </w:rPr>
              <w:t>Затворный узел</w:t>
            </w:r>
          </w:p>
        </w:tc>
        <w:tc>
          <w:tcPr>
            <w:tcW w:w="428" w:type="pct"/>
          </w:tcPr>
          <w:p>
            <w:pPr>
              <w:widowControl w:val="0"/>
              <w:jc w:val="center"/>
              <w:rPr>
                <w:rFonts w:eastAsia="Times New Roman"/>
                <w:sz w:val="20"/>
              </w:rPr>
            </w:pPr>
            <w:r>
              <w:rPr>
                <w:rFonts w:eastAsia="Times New Roman"/>
                <w:sz w:val="20"/>
              </w:rPr>
              <w:t>+</w:t>
            </w:r>
          </w:p>
        </w:tc>
        <w:tc>
          <w:tcPr>
            <w:tcW w:w="354"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77" w:type="pct"/>
          </w:tcPr>
          <w:p>
            <w:pPr>
              <w:widowControl w:val="0"/>
              <w:jc w:val="center"/>
              <w:rPr>
                <w:rFonts w:eastAsia="Times New Roman"/>
                <w:sz w:val="20"/>
              </w:rPr>
            </w:pPr>
            <w:r>
              <w:rPr>
                <w:rFonts w:eastAsia="Times New Roman"/>
                <w:sz w:val="20"/>
              </w:rPr>
              <w:t>-</w:t>
            </w:r>
          </w:p>
        </w:tc>
        <w:tc>
          <w:tcPr>
            <w:tcW w:w="663" w:type="pct"/>
          </w:tcPr>
          <w:p>
            <w:pPr>
              <w:widowControl w:val="0"/>
              <w:jc w:val="center"/>
              <w:rPr>
                <w:rFonts w:eastAsia="Times New Roman"/>
                <w:sz w:val="20"/>
              </w:rPr>
            </w:pPr>
            <w:r>
              <w:rPr>
                <w:rFonts w:eastAsia="Times New Roman"/>
                <w:sz w:val="20"/>
              </w:rPr>
              <w:t>+</w:t>
            </w:r>
          </w:p>
        </w:tc>
        <w:tc>
          <w:tcPr>
            <w:tcW w:w="510" w:type="pct"/>
          </w:tcPr>
          <w:p>
            <w:pPr>
              <w:widowControl w:val="0"/>
              <w:jc w:val="center"/>
              <w:rPr>
                <w:rFonts w:eastAsia="Times New Roman"/>
                <w:sz w:val="20"/>
              </w:rPr>
            </w:pPr>
            <w:r>
              <w:rPr>
                <w:rFonts w:eastAsia="Times New Roman"/>
                <w:sz w:val="20"/>
              </w:rPr>
              <w:t>-</w:t>
            </w:r>
          </w:p>
        </w:tc>
        <w:tc>
          <w:tcPr>
            <w:tcW w:w="662" w:type="pct"/>
          </w:tcPr>
          <w:p>
            <w:pPr>
              <w:widowControl w:val="0"/>
              <w:jc w:val="center"/>
              <w:rPr>
                <w:rFonts w:eastAsia="Times New Roman"/>
                <w:sz w:val="20"/>
              </w:rPr>
            </w:pPr>
            <w:r>
              <w:rPr>
                <w:rFonts w:eastAsia="Times New Roman"/>
                <w:sz w:val="20"/>
              </w:rPr>
              <w:t>-</w:t>
            </w:r>
          </w:p>
        </w:tc>
      </w:tr>
      <w:tr>
        <w:tc>
          <w:tcPr>
            <w:tcW w:w="800" w:type="pct"/>
          </w:tcPr>
          <w:p>
            <w:pPr>
              <w:widowControl w:val="0"/>
              <w:rPr>
                <w:rFonts w:eastAsia="Times New Roman"/>
                <w:sz w:val="20"/>
              </w:rPr>
            </w:pPr>
            <w:r>
              <w:rPr>
                <w:rFonts w:eastAsia="Times New Roman"/>
                <w:sz w:val="20"/>
              </w:rPr>
              <w:t>Шпиндель</w:t>
            </w:r>
          </w:p>
        </w:tc>
        <w:tc>
          <w:tcPr>
            <w:tcW w:w="428" w:type="pct"/>
          </w:tcPr>
          <w:p>
            <w:pPr>
              <w:widowControl w:val="0"/>
              <w:jc w:val="center"/>
              <w:rPr>
                <w:rFonts w:eastAsia="Times New Roman"/>
                <w:sz w:val="20"/>
              </w:rPr>
            </w:pPr>
            <w:r>
              <w:rPr>
                <w:rFonts w:eastAsia="Times New Roman"/>
                <w:sz w:val="20"/>
              </w:rPr>
              <w:t>+</w:t>
            </w:r>
          </w:p>
        </w:tc>
        <w:tc>
          <w:tcPr>
            <w:tcW w:w="354"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03" w:type="pct"/>
          </w:tcPr>
          <w:p>
            <w:pPr>
              <w:widowControl w:val="0"/>
              <w:jc w:val="center"/>
              <w:rPr>
                <w:rFonts w:eastAsia="Times New Roman"/>
                <w:sz w:val="20"/>
              </w:rPr>
            </w:pPr>
            <w:r>
              <w:rPr>
                <w:rFonts w:eastAsia="Times New Roman"/>
                <w:sz w:val="20"/>
              </w:rPr>
              <w:t>+</w:t>
            </w:r>
          </w:p>
        </w:tc>
        <w:tc>
          <w:tcPr>
            <w:tcW w:w="577" w:type="pct"/>
          </w:tcPr>
          <w:p>
            <w:pPr>
              <w:widowControl w:val="0"/>
              <w:jc w:val="center"/>
              <w:rPr>
                <w:rFonts w:eastAsia="Times New Roman"/>
                <w:sz w:val="20"/>
              </w:rPr>
            </w:pPr>
            <w:r>
              <w:rPr>
                <w:rFonts w:eastAsia="Times New Roman"/>
                <w:sz w:val="20"/>
              </w:rPr>
              <w:t>-</w:t>
            </w:r>
          </w:p>
        </w:tc>
        <w:tc>
          <w:tcPr>
            <w:tcW w:w="663" w:type="pct"/>
          </w:tcPr>
          <w:p>
            <w:pPr>
              <w:widowControl w:val="0"/>
              <w:jc w:val="center"/>
              <w:rPr>
                <w:rFonts w:eastAsia="Times New Roman"/>
                <w:sz w:val="20"/>
              </w:rPr>
            </w:pPr>
            <w:r>
              <w:rPr>
                <w:rFonts w:eastAsia="Times New Roman"/>
                <w:sz w:val="20"/>
              </w:rPr>
              <w:t>+</w:t>
            </w:r>
          </w:p>
        </w:tc>
        <w:tc>
          <w:tcPr>
            <w:tcW w:w="510" w:type="pct"/>
          </w:tcPr>
          <w:p>
            <w:pPr>
              <w:widowControl w:val="0"/>
              <w:jc w:val="center"/>
              <w:rPr>
                <w:rFonts w:eastAsia="Times New Roman"/>
                <w:sz w:val="20"/>
              </w:rPr>
            </w:pPr>
            <w:r>
              <w:rPr>
                <w:rFonts w:eastAsia="Times New Roman"/>
                <w:sz w:val="20"/>
              </w:rPr>
              <w:t>-</w:t>
            </w:r>
          </w:p>
        </w:tc>
        <w:tc>
          <w:tcPr>
            <w:tcW w:w="662" w:type="pct"/>
          </w:tcPr>
          <w:p>
            <w:pPr>
              <w:widowControl w:val="0"/>
              <w:jc w:val="center"/>
              <w:rPr>
                <w:rFonts w:eastAsia="Times New Roman"/>
                <w:sz w:val="20"/>
              </w:rPr>
            </w:pPr>
            <w:r>
              <w:rPr>
                <w:rFonts w:eastAsia="Times New Roman"/>
                <w:sz w:val="20"/>
              </w:rPr>
              <w:t>-</w:t>
            </w:r>
          </w:p>
        </w:tc>
      </w:tr>
    </w:tbl>
    <w:p>
      <w:pPr>
        <w:widowControl w:val="0"/>
        <w:rPr>
          <w:i/>
          <w:u w:val="single"/>
        </w:rPr>
      </w:pPr>
    </w:p>
    <w:p>
      <w:pPr>
        <w:widowControl w:val="0"/>
        <w:ind w:left="567"/>
        <w:rPr>
          <w:rFonts w:eastAsia="PMingLiU"/>
          <w:i/>
          <w:lang w:eastAsia="en-US"/>
        </w:rPr>
      </w:pPr>
      <w:r>
        <w:rPr>
          <w:i/>
          <w:u w:val="single"/>
        </w:rPr>
        <w:t>Примечание</w:t>
      </w:r>
      <w:r>
        <w:rPr>
          <w:rFonts w:eastAsia="PMingLiU"/>
          <w:i/>
          <w:lang w:eastAsia="en-US"/>
        </w:rPr>
        <w:t>:* для отливок, предназначенных для изготовления трубопроводной арматуры, проведение указанных испытаний введено на основании фактических полученных результатов.</w:t>
      </w:r>
    </w:p>
    <w:p>
      <w:pPr>
        <w:widowControl w:val="0"/>
        <w:spacing w:before="120"/>
        <w:ind w:left="567"/>
        <w:rPr>
          <w:rFonts w:eastAsia="PMingLiU"/>
          <w:i/>
          <w:lang w:eastAsia="en-US"/>
        </w:rPr>
      </w:pPr>
      <w:r>
        <w:rPr>
          <w:rFonts w:eastAsia="PMingLiU"/>
          <w:i/>
          <w:lang w:eastAsia="en-US"/>
        </w:rPr>
        <w:t>** при изготовлении корпуса и крышки крана шарового из одного материала и одной партии испытания проводятся на корпусе с распространением результатов на крышку.</w:t>
      </w:r>
    </w:p>
    <w:p>
      <w:pPr>
        <w:widowControl w:val="0"/>
        <w:rPr>
          <w:i/>
          <w:u w:val="single"/>
        </w:rPr>
      </w:pPr>
    </w:p>
    <w:p>
      <w:pPr>
        <w:widowControl w:val="0"/>
        <w:rPr>
          <w:i/>
          <w:u w:val="single"/>
        </w:rPr>
      </w:pPr>
    </w:p>
    <w:p>
      <w:pPr>
        <w:pStyle w:val="M"/>
        <w:numPr>
          <w:ilvl w:val="0"/>
          <w:numId w:val="69"/>
        </w:numPr>
        <w:tabs>
          <w:tab w:val="left" w:pos="567"/>
        </w:tabs>
        <w:ind w:left="0" w:firstLine="0"/>
        <w:rPr>
          <w:rFonts w:ascii="Arial" w:hAnsi="Arial" w:cs="Arial"/>
          <w:b/>
        </w:rPr>
      </w:pPr>
      <w:bookmarkStart w:id="329" w:name="_Toc400350856"/>
      <w:bookmarkStart w:id="330" w:name="_Toc456196424"/>
      <w:r>
        <w:rPr>
          <w:rFonts w:ascii="Arial" w:hAnsi="Arial" w:cs="Arial"/>
          <w:b/>
        </w:rPr>
        <w:t>ПОРЯДОК ОТБОРА ОБРАЗЦОВ ДЛЯ ИСПЫТАНИ</w:t>
      </w:r>
      <w:bookmarkEnd w:id="329"/>
      <w:r>
        <w:rPr>
          <w:rFonts w:ascii="Arial" w:hAnsi="Arial" w:cs="Arial"/>
          <w:b/>
        </w:rPr>
        <w:t>Й / АНАЛИЗОВ</w:t>
      </w:r>
      <w:bookmarkEnd w:id="330"/>
    </w:p>
    <w:p>
      <w:pPr>
        <w:widowControl w:val="0"/>
      </w:pPr>
    </w:p>
    <w:p>
      <w:pPr>
        <w:widowControl w:val="0"/>
        <w:rPr>
          <w:rFonts w:eastAsia="Times New Roman"/>
          <w:kern w:val="28"/>
        </w:rPr>
      </w:pPr>
      <w:r>
        <w:rPr>
          <w:rFonts w:eastAsia="Times New Roman"/>
          <w:kern w:val="28"/>
        </w:rPr>
        <w:t xml:space="preserve">Для проведения комплекса исследований и испытаний материалов, используемых для изготовления </w:t>
      </w:r>
      <w:r>
        <w:rPr>
          <w:rFonts w:eastAsia="Times New Roman"/>
        </w:rPr>
        <w:t xml:space="preserve">шаровых кранов </w:t>
      </w:r>
      <w:r>
        <w:rPr>
          <w:rFonts w:eastAsia="Times New Roman"/>
          <w:kern w:val="28"/>
        </w:rPr>
        <w:t>на заводе-изготовителе кранов, устанавливается следующий порядок отбора:</w:t>
      </w:r>
    </w:p>
    <w:p>
      <w:pPr>
        <w:widowControl w:val="0"/>
        <w:numPr>
          <w:ilvl w:val="0"/>
          <w:numId w:val="55"/>
        </w:numPr>
        <w:spacing w:before="120"/>
        <w:ind w:left="464" w:hanging="283"/>
        <w:rPr>
          <w:rFonts w:eastAsia="Times New Roman"/>
          <w:strike/>
          <w:kern w:val="28"/>
        </w:rPr>
      </w:pPr>
      <w:r>
        <w:rPr>
          <w:rFonts w:eastAsia="Times New Roman"/>
          <w:kern w:val="28"/>
        </w:rPr>
        <w:t xml:space="preserve">для </w:t>
      </w:r>
      <w:r>
        <w:rPr>
          <w:rFonts w:eastAsia="Times New Roman"/>
        </w:rPr>
        <w:t>шарового крана</w:t>
      </w:r>
      <w:r>
        <w:rPr>
          <w:rFonts w:eastAsia="Times New Roman"/>
          <w:kern w:val="28"/>
        </w:rPr>
        <w:t xml:space="preserve">, изготовленного в соответствии с действующей НД РФ на территории РФ или стран Таможенного союза из материалов, используемых для основных сборочных единиц и деталей, отбирается 1 готовое изделие и 10 комплектов </w:t>
      </w:r>
      <w:r>
        <w:rPr>
          <w:rFonts w:eastAsia="Times New Roman"/>
          <w:kern w:val="28"/>
        </w:rPr>
        <w:lastRenderedPageBreak/>
        <w:t xml:space="preserve">образцов-свидетелей от 10 различных плавок. </w:t>
      </w:r>
    </w:p>
    <w:p>
      <w:pPr>
        <w:widowControl w:val="0"/>
        <w:rPr>
          <w:rFonts w:eastAsia="Times New Roman"/>
          <w:kern w:val="28"/>
        </w:rPr>
      </w:pPr>
    </w:p>
    <w:p>
      <w:pPr>
        <w:widowControl w:val="0"/>
      </w:pPr>
      <w:r>
        <w:rPr>
          <w:rFonts w:eastAsia="Times New Roman"/>
          <w:kern w:val="28"/>
        </w:rPr>
        <w:t xml:space="preserve">Указанный порядок распространяется на </w:t>
      </w:r>
      <w:r>
        <w:rPr>
          <w:rFonts w:eastAsia="Times New Roman"/>
        </w:rPr>
        <w:t>шаровые краны</w:t>
      </w:r>
      <w:r>
        <w:rPr>
          <w:rFonts w:eastAsia="Times New Roman"/>
          <w:kern w:val="28"/>
        </w:rPr>
        <w:t xml:space="preserve">, изготовленные из марок материалов по действующим иностранным стандартам только в том случае, если отклонения по параметрам испытаний (например: по стандартной температуре для испытания образцов стандартных размеров на ударную вязкость, величине давления и другим параметрам) не превышают максимальные допустимые погрешности аналогичных параметров </w:t>
      </w:r>
      <w:r>
        <w:t>по требованиям НД РФ.</w:t>
      </w:r>
    </w:p>
    <w:p>
      <w:pPr>
        <w:widowControl w:val="0"/>
        <w:rPr>
          <w:rFonts w:eastAsia="Times New Roman"/>
          <w:kern w:val="28"/>
        </w:rPr>
      </w:pPr>
    </w:p>
    <w:p>
      <w:pPr>
        <w:widowControl w:val="0"/>
        <w:rPr>
          <w:rFonts w:eastAsia="Times New Roman"/>
          <w:kern w:val="28"/>
        </w:rPr>
      </w:pPr>
      <w:r>
        <w:rPr>
          <w:rFonts w:eastAsia="Times New Roman"/>
          <w:kern w:val="28"/>
        </w:rPr>
        <w:t xml:space="preserve">Отбор 10 комплектов образцов-свидетелей (по 1 комплекту образцов от различных плавок/партии проката) исследуемой марки стали для проведения комплекса испытаний с целью определения и подтверждения: </w:t>
      </w:r>
    </w:p>
    <w:p>
      <w:pPr>
        <w:widowControl w:val="0"/>
        <w:numPr>
          <w:ilvl w:val="0"/>
          <w:numId w:val="55"/>
        </w:numPr>
        <w:spacing w:before="120"/>
        <w:ind w:left="541"/>
        <w:rPr>
          <w:rFonts w:eastAsia="Times New Roman"/>
          <w:kern w:val="28"/>
        </w:rPr>
      </w:pPr>
      <w:r>
        <w:rPr>
          <w:rFonts w:eastAsia="Times New Roman"/>
          <w:kern w:val="28"/>
        </w:rPr>
        <w:t>заявленного химического состава (на 50 % образцах-свидетелях из партии, предоставленной на исследование выборочно);</w:t>
      </w:r>
    </w:p>
    <w:p>
      <w:pPr>
        <w:widowControl w:val="0"/>
        <w:numPr>
          <w:ilvl w:val="0"/>
          <w:numId w:val="55"/>
        </w:numPr>
        <w:spacing w:before="120"/>
        <w:ind w:left="541"/>
        <w:rPr>
          <w:rFonts w:eastAsia="Times New Roman"/>
          <w:kern w:val="28"/>
        </w:rPr>
      </w:pPr>
      <w:r>
        <w:rPr>
          <w:rFonts w:eastAsia="Times New Roman"/>
          <w:kern w:val="28"/>
        </w:rPr>
        <w:t>механических свойств (с определением предела прочности и предела текучести на 5 образцах-свидетелях не более, выборочно из партии, предоставленной на исследование);</w:t>
      </w:r>
    </w:p>
    <w:p>
      <w:pPr>
        <w:widowControl w:val="0"/>
        <w:numPr>
          <w:ilvl w:val="0"/>
          <w:numId w:val="55"/>
        </w:numPr>
        <w:spacing w:before="120"/>
        <w:ind w:left="541"/>
        <w:rPr>
          <w:rFonts w:eastAsia="Times New Roman"/>
          <w:kern w:val="28"/>
        </w:rPr>
      </w:pPr>
      <w:r>
        <w:rPr>
          <w:rFonts w:eastAsia="Times New Roman"/>
          <w:kern w:val="28"/>
        </w:rPr>
        <w:t xml:space="preserve">значения величины ударной вязкости при комнатной и пониженной температурах (отбирается по 6 образцов для испытания </w:t>
      </w:r>
      <w:r>
        <w:rPr>
          <w:rFonts w:eastAsia="Times New Roman"/>
          <w:kern w:val="28"/>
          <w:lang w:val="en-US"/>
        </w:rPr>
        <w:t>KCV</w:t>
      </w:r>
      <w:r>
        <w:rPr>
          <w:rFonts w:eastAsia="Times New Roman"/>
          <w:kern w:val="28"/>
        </w:rPr>
        <w:t xml:space="preserve"> от каждой плавки/партии); </w:t>
      </w:r>
    </w:p>
    <w:p>
      <w:pPr>
        <w:widowControl w:val="0"/>
        <w:numPr>
          <w:ilvl w:val="0"/>
          <w:numId w:val="55"/>
        </w:numPr>
        <w:spacing w:before="120"/>
        <w:ind w:left="541"/>
        <w:rPr>
          <w:rFonts w:eastAsia="Times New Roman"/>
          <w:kern w:val="28"/>
        </w:rPr>
      </w:pPr>
      <w:r>
        <w:rPr>
          <w:rFonts w:eastAsia="Times New Roman"/>
          <w:kern w:val="28"/>
        </w:rPr>
        <w:t>коррозионных характеристик (по скорости общей коррозии на 5 образцах-свидетелях не более, выборочно из партии, предоставленной на исследование);</w:t>
      </w:r>
    </w:p>
    <w:p>
      <w:pPr>
        <w:widowControl w:val="0"/>
        <w:numPr>
          <w:ilvl w:val="0"/>
          <w:numId w:val="55"/>
        </w:numPr>
        <w:spacing w:before="120"/>
        <w:ind w:left="541"/>
        <w:rPr>
          <w:rFonts w:eastAsia="Times New Roman"/>
          <w:kern w:val="28"/>
        </w:rPr>
      </w:pPr>
      <w:r>
        <w:rPr>
          <w:rFonts w:eastAsia="Times New Roman"/>
          <w:kern w:val="28"/>
        </w:rPr>
        <w:t>образцы-свидетели должны пройти термообработку совместно с изделиями из данной плавки/партии.</w:t>
      </w:r>
    </w:p>
    <w:p>
      <w:pPr>
        <w:widowControl w:val="0"/>
        <w:rPr>
          <w:rFonts w:eastAsia="Times New Roman"/>
          <w:kern w:val="28"/>
        </w:rPr>
      </w:pPr>
    </w:p>
    <w:p>
      <w:pPr>
        <w:widowControl w:val="0"/>
        <w:rPr>
          <w:rFonts w:eastAsia="Times New Roman"/>
          <w:w w:val="95"/>
          <w:kern w:val="28"/>
        </w:rPr>
      </w:pPr>
      <w:r>
        <w:rPr>
          <w:rFonts w:eastAsia="Times New Roman"/>
          <w:kern w:val="28"/>
        </w:rPr>
        <w:t xml:space="preserve">Для </w:t>
      </w:r>
      <w:r>
        <w:rPr>
          <w:rFonts w:eastAsia="Times New Roman"/>
        </w:rPr>
        <w:t>шарового крана</w:t>
      </w:r>
      <w:r>
        <w:rPr>
          <w:rFonts w:eastAsia="Times New Roman"/>
          <w:kern w:val="28"/>
        </w:rPr>
        <w:t xml:space="preserve">, изготовленного из марок материалов, в соответствии с действующими иностранными, в случае если отклонения параметров испытаний (температура, давление и др.) данных стандартов от требований НД РФ превышают максимальные допустимые погрешности аналогичных параметров по </w:t>
      </w:r>
      <w:r>
        <w:t>требованиям НД РФ,</w:t>
      </w:r>
      <w:r>
        <w:rPr>
          <w:rFonts w:eastAsia="Times New Roman"/>
          <w:kern w:val="28"/>
        </w:rPr>
        <w:t xml:space="preserve"> отбирается для проведения комплекса исследований и испытаний: 1 готовое изделие и 29 комплектов образцов-свидетелей от 29 различных плавок.</w:t>
      </w:r>
      <w:r>
        <w:rPr>
          <w:rFonts w:eastAsia="Times New Roman"/>
          <w:w w:val="95"/>
          <w:kern w:val="28"/>
        </w:rPr>
        <w:t xml:space="preserve"> </w:t>
      </w:r>
    </w:p>
    <w:p>
      <w:pPr>
        <w:widowControl w:val="0"/>
        <w:rPr>
          <w:rFonts w:eastAsia="Times New Roman"/>
          <w:kern w:val="28"/>
        </w:rPr>
      </w:pPr>
    </w:p>
    <w:p>
      <w:pPr>
        <w:widowControl w:val="0"/>
        <w:rPr>
          <w:rFonts w:eastAsia="Times New Roman"/>
          <w:strike/>
          <w:kern w:val="28"/>
        </w:rPr>
      </w:pPr>
      <w:r>
        <w:rPr>
          <w:rFonts w:eastAsia="Times New Roman"/>
          <w:kern w:val="28"/>
        </w:rPr>
        <w:t xml:space="preserve">Указанный порядок распространяется, в том числе на </w:t>
      </w:r>
      <w:r>
        <w:rPr>
          <w:rFonts w:eastAsia="Times New Roman"/>
        </w:rPr>
        <w:t>шаровые краны</w:t>
      </w:r>
      <w:r>
        <w:rPr>
          <w:rFonts w:eastAsia="Times New Roman"/>
          <w:kern w:val="28"/>
        </w:rPr>
        <w:t>, изготовленные вне территории РФ и стран Таможенного союза из марок материалов, используемых для основных сборочных единиц и деталей, согласно действующей НД РФ.</w:t>
      </w:r>
    </w:p>
    <w:p>
      <w:pPr>
        <w:widowControl w:val="0"/>
        <w:rPr>
          <w:rFonts w:eastAsia="Times New Roman"/>
          <w:kern w:val="28"/>
        </w:rPr>
      </w:pPr>
    </w:p>
    <w:p>
      <w:pPr>
        <w:widowControl w:val="0"/>
        <w:rPr>
          <w:rFonts w:eastAsia="Times New Roman"/>
          <w:kern w:val="28"/>
        </w:rPr>
      </w:pPr>
      <w:r>
        <w:rPr>
          <w:rFonts w:eastAsia="Times New Roman"/>
          <w:kern w:val="28"/>
        </w:rPr>
        <w:t xml:space="preserve">Отбор 29 комплектов образцов-свидетелей (по 1 комплекту образцов от различных плавок/партии проката) исследуемой марки стали для проведения комплекса испытаний с целью определения и подтверждения: </w:t>
      </w:r>
    </w:p>
    <w:p>
      <w:pPr>
        <w:widowControl w:val="0"/>
        <w:numPr>
          <w:ilvl w:val="0"/>
          <w:numId w:val="55"/>
        </w:numPr>
        <w:spacing w:before="120"/>
        <w:ind w:left="606" w:hanging="425"/>
        <w:rPr>
          <w:rFonts w:eastAsia="Times New Roman"/>
          <w:kern w:val="28"/>
        </w:rPr>
      </w:pPr>
      <w:r>
        <w:rPr>
          <w:rFonts w:eastAsia="Times New Roman"/>
          <w:kern w:val="28"/>
        </w:rPr>
        <w:t>заявленного химического состава (на 50 % образцах-свидетелях из партии, предоставленной на исследование выборочно);</w:t>
      </w:r>
    </w:p>
    <w:p>
      <w:pPr>
        <w:widowControl w:val="0"/>
        <w:numPr>
          <w:ilvl w:val="0"/>
          <w:numId w:val="55"/>
        </w:numPr>
        <w:spacing w:before="120"/>
        <w:ind w:left="606" w:hanging="425"/>
        <w:rPr>
          <w:rFonts w:eastAsia="Times New Roman"/>
          <w:kern w:val="28"/>
        </w:rPr>
      </w:pPr>
      <w:r>
        <w:rPr>
          <w:rFonts w:eastAsia="Times New Roman"/>
          <w:kern w:val="28"/>
        </w:rPr>
        <w:t>механических свойств (с определением предела прочности и предела текучести на 5 образцах-свидетелях не более, выборочно из партии, предоставленной на исследование);</w:t>
      </w:r>
    </w:p>
    <w:p>
      <w:pPr>
        <w:widowControl w:val="0"/>
        <w:numPr>
          <w:ilvl w:val="0"/>
          <w:numId w:val="55"/>
        </w:numPr>
        <w:spacing w:before="120"/>
        <w:ind w:left="606" w:hanging="425"/>
        <w:rPr>
          <w:rFonts w:eastAsia="Times New Roman"/>
          <w:kern w:val="28"/>
        </w:rPr>
      </w:pPr>
      <w:r>
        <w:rPr>
          <w:rFonts w:eastAsia="Times New Roman"/>
          <w:kern w:val="28"/>
        </w:rPr>
        <w:t xml:space="preserve">значения величины ударной вязкости при комнатной и пониженной температурах (отбирается по 6 образцов для испытания </w:t>
      </w:r>
      <w:r>
        <w:rPr>
          <w:rFonts w:eastAsia="Times New Roman"/>
          <w:kern w:val="28"/>
          <w:lang w:val="en-US"/>
        </w:rPr>
        <w:t>KCV</w:t>
      </w:r>
      <w:r>
        <w:rPr>
          <w:rFonts w:eastAsia="Times New Roman"/>
          <w:kern w:val="28"/>
        </w:rPr>
        <w:t xml:space="preserve"> от каждой плавки/партии); </w:t>
      </w:r>
    </w:p>
    <w:p>
      <w:pPr>
        <w:widowControl w:val="0"/>
        <w:numPr>
          <w:ilvl w:val="0"/>
          <w:numId w:val="55"/>
        </w:numPr>
        <w:spacing w:before="120"/>
        <w:ind w:left="606" w:hanging="425"/>
        <w:rPr>
          <w:rFonts w:eastAsia="Times New Roman"/>
          <w:kern w:val="28"/>
        </w:rPr>
      </w:pPr>
      <w:r>
        <w:rPr>
          <w:rFonts w:eastAsia="Times New Roman"/>
          <w:kern w:val="28"/>
        </w:rPr>
        <w:t>коррозионных характеристик (по скорости общей коррозии на 5 образцах-свидетелях не более, выборочно из партии, предоставленной на исследование);</w:t>
      </w:r>
    </w:p>
    <w:p>
      <w:pPr>
        <w:widowControl w:val="0"/>
        <w:numPr>
          <w:ilvl w:val="0"/>
          <w:numId w:val="55"/>
        </w:numPr>
        <w:spacing w:before="120"/>
        <w:ind w:left="606" w:hanging="425"/>
        <w:rPr>
          <w:rFonts w:eastAsia="Times New Roman"/>
          <w:kern w:val="28"/>
        </w:rPr>
      </w:pPr>
      <w:r>
        <w:rPr>
          <w:rFonts w:eastAsia="Times New Roman"/>
          <w:kern w:val="28"/>
        </w:rPr>
        <w:lastRenderedPageBreak/>
        <w:t>образцы-свидетели должны пройти термообработку совместно с изделиями из данной плавки/партии.</w:t>
      </w:r>
    </w:p>
    <w:p>
      <w:pPr>
        <w:widowControl w:val="0"/>
        <w:rPr>
          <w:rFonts w:eastAsia="Times New Roman"/>
          <w:kern w:val="28"/>
        </w:rPr>
      </w:pPr>
    </w:p>
    <w:p>
      <w:pPr>
        <w:widowControl w:val="0"/>
        <w:rPr>
          <w:rFonts w:eastAsia="Times New Roman"/>
          <w:kern w:val="28"/>
        </w:rPr>
      </w:pPr>
      <w:r>
        <w:rPr>
          <w:rFonts w:eastAsia="Times New Roman"/>
          <w:kern w:val="28"/>
        </w:rPr>
        <w:t>Максимально допустимый срок по отбору образцов для исследований по каждой отдельной марке стали определенного зарубежного завода-изготовителя кранов - не должен превышать 12 месяцев.</w:t>
      </w:r>
    </w:p>
    <w:p>
      <w:pPr>
        <w:widowControl w:val="0"/>
        <w:rPr>
          <w:rFonts w:eastAsia="Times New Roman"/>
          <w:kern w:val="28"/>
        </w:rPr>
      </w:pPr>
    </w:p>
    <w:p>
      <w:pPr>
        <w:widowControl w:val="0"/>
        <w:tabs>
          <w:tab w:val="left" w:pos="426"/>
          <w:tab w:val="left" w:pos="851"/>
        </w:tabs>
        <w:rPr>
          <w:rFonts w:eastAsia="Times New Roman"/>
          <w:kern w:val="28"/>
        </w:rPr>
      </w:pPr>
      <w:r>
        <w:rPr>
          <w:rFonts w:eastAsia="Times New Roman"/>
          <w:kern w:val="28"/>
        </w:rPr>
        <w:t xml:space="preserve">Настоящий порядок отбора образцов распространяется на </w:t>
      </w:r>
      <w:r>
        <w:rPr>
          <w:rFonts w:eastAsia="Times New Roman"/>
        </w:rPr>
        <w:t>шаровые краны</w:t>
      </w:r>
      <w:r>
        <w:rPr>
          <w:rFonts w:eastAsia="Times New Roman"/>
          <w:kern w:val="28"/>
        </w:rPr>
        <w:t>, изготовленные методами литья, ковки, штамповки и сварки.</w:t>
      </w:r>
    </w:p>
    <w:p>
      <w:pPr>
        <w:widowControl w:val="0"/>
        <w:shd w:val="clear" w:color="auto" w:fill="FFFFFF"/>
        <w:rPr>
          <w:rFonts w:eastAsia="Times New Roman"/>
          <w:kern w:val="28"/>
        </w:rPr>
      </w:pPr>
    </w:p>
    <w:p>
      <w:pPr>
        <w:widowControl w:val="0"/>
        <w:shd w:val="clear" w:color="auto" w:fill="FFFFFF"/>
        <w:rPr>
          <w:rFonts w:eastAsia="Times New Roman"/>
        </w:rPr>
      </w:pPr>
      <w:r>
        <w:rPr>
          <w:rFonts w:eastAsia="Times New Roman"/>
          <w:kern w:val="28"/>
        </w:rPr>
        <w:t>Отбор готовых изделий и образцов, определенной марки материала, должен производиться в присутствии представителя инспекционной организации, проводящей испытания/анализы. При отборе крана для испытаний оформляется «Акт отбора изделия и образцов на испытания».</w:t>
      </w:r>
      <w:r>
        <w:rPr>
          <w:rFonts w:eastAsia="Times New Roman"/>
        </w:rPr>
        <w:t xml:space="preserve"> </w:t>
      </w:r>
    </w:p>
    <w:p>
      <w:pPr>
        <w:widowControl w:val="0"/>
        <w:shd w:val="clear" w:color="auto" w:fill="FFFFFF"/>
        <w:rPr>
          <w:rFonts w:eastAsia="Times New Roman"/>
        </w:rPr>
      </w:pPr>
    </w:p>
    <w:p>
      <w:pPr>
        <w:widowControl w:val="0"/>
        <w:shd w:val="clear" w:color="auto" w:fill="FFFFFF"/>
        <w:rPr>
          <w:rFonts w:eastAsia="Times New Roman"/>
        </w:rPr>
      </w:pPr>
      <w:r>
        <w:rPr>
          <w:rFonts w:eastAsia="Times New Roman"/>
        </w:rPr>
        <w:t>Образцы для испытаний/анализов отбираются от основных корпусных сборочных единиц и деталей в зависимости от метода формирования заготовок и проведение испытания/анализа в соответствиями с требованиями:</w:t>
      </w:r>
    </w:p>
    <w:p>
      <w:pPr>
        <w:widowControl w:val="0"/>
        <w:numPr>
          <w:ilvl w:val="0"/>
          <w:numId w:val="56"/>
        </w:numPr>
        <w:shd w:val="clear" w:color="auto" w:fill="FFFFFF"/>
        <w:spacing w:before="120"/>
        <w:ind w:left="606" w:hanging="425"/>
        <w:rPr>
          <w:rFonts w:eastAsia="Times New Roman"/>
        </w:rPr>
      </w:pPr>
      <w:hyperlink r:id="rId79" w:tooltip="СТ ЦКБА 010-2004 Арматура трубопроводная. Поковки, штамповки и заготовки из проката. Технические требования" w:history="1">
        <w:r>
          <w:rPr>
            <w:rFonts w:eastAsia="Times New Roman"/>
          </w:rPr>
          <w:t>СТ ЦКБА 010</w:t>
        </w:r>
      </w:hyperlink>
      <w:r>
        <w:rPr>
          <w:rFonts w:eastAsia="Times New Roman"/>
        </w:rPr>
        <w:t xml:space="preserve"> (поковки, штамповки и заготовки из проката);</w:t>
      </w:r>
    </w:p>
    <w:p>
      <w:pPr>
        <w:widowControl w:val="0"/>
        <w:numPr>
          <w:ilvl w:val="0"/>
          <w:numId w:val="56"/>
        </w:numPr>
        <w:shd w:val="clear" w:color="auto" w:fill="FFFFFF"/>
        <w:spacing w:before="120"/>
        <w:ind w:left="606" w:hanging="425"/>
        <w:rPr>
          <w:rFonts w:eastAsia="Times New Roman"/>
        </w:rPr>
      </w:pPr>
      <w:r>
        <w:rPr>
          <w:rFonts w:eastAsia="Times New Roman"/>
        </w:rPr>
        <w:t xml:space="preserve">СТ ЦКБА 014 (отливки стальные); </w:t>
      </w:r>
    </w:p>
    <w:p>
      <w:pPr>
        <w:widowControl w:val="0"/>
        <w:numPr>
          <w:ilvl w:val="0"/>
          <w:numId w:val="56"/>
        </w:numPr>
        <w:shd w:val="clear" w:color="auto" w:fill="FFFFFF"/>
        <w:spacing w:before="120"/>
        <w:ind w:left="606" w:hanging="425"/>
        <w:rPr>
          <w:rFonts w:eastAsia="Times New Roman"/>
        </w:rPr>
      </w:pPr>
      <w:hyperlink r:id="rId80" w:tooltip="СТ ЦКБА 012-2005 Арматура трубопроводная. Шпильки, болты, гайки и шайбы для трубопроводной арматуры. Технические требования" w:history="1">
        <w:r>
          <w:rPr>
            <w:rFonts w:eastAsia="Times New Roman"/>
          </w:rPr>
          <w:t>СТ ЦКБА 012</w:t>
        </w:r>
      </w:hyperlink>
      <w:r>
        <w:rPr>
          <w:rFonts w:eastAsia="Times New Roman"/>
        </w:rPr>
        <w:t xml:space="preserve"> (для крепежных деталей);</w:t>
      </w:r>
    </w:p>
    <w:p>
      <w:pPr>
        <w:widowControl w:val="0"/>
        <w:numPr>
          <w:ilvl w:val="0"/>
          <w:numId w:val="56"/>
        </w:numPr>
        <w:shd w:val="clear" w:color="auto" w:fill="FFFFFF"/>
        <w:spacing w:before="120"/>
        <w:ind w:left="606" w:hanging="425"/>
        <w:rPr>
          <w:rFonts w:eastAsia="Times New Roman"/>
        </w:rPr>
      </w:pPr>
      <w:r>
        <w:rPr>
          <w:rFonts w:eastAsia="Times New Roman"/>
        </w:rPr>
        <w:t xml:space="preserve">СТ ЦКБА 052, </w:t>
      </w:r>
      <w:hyperlink r:id="rId81" w:tooltip="СТ ЦКБА 025-2006 Арматура трубопроводная. Сварка и контроль качества сварных соединений. Технические требования" w:history="1">
        <w:r>
          <w:rPr>
            <w:rFonts w:eastAsia="Times New Roman"/>
          </w:rPr>
          <w:t>СТ ЦКБА 025</w:t>
        </w:r>
      </w:hyperlink>
      <w:r>
        <w:rPr>
          <w:rFonts w:eastAsia="Times New Roman"/>
        </w:rPr>
        <w:t xml:space="preserve">, </w:t>
      </w:r>
      <w:hyperlink r:id="rId82" w:tooltip="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 w:history="1">
        <w:r>
          <w:rPr>
            <w:rFonts w:eastAsia="Times New Roman"/>
          </w:rPr>
          <w:t>РД 03-615</w:t>
        </w:r>
      </w:hyperlink>
      <w:r>
        <w:rPr>
          <w:rFonts w:eastAsia="Times New Roman"/>
        </w:rPr>
        <w:t xml:space="preserve"> (для сварных соединений и металла шва);</w:t>
      </w:r>
    </w:p>
    <w:p>
      <w:pPr>
        <w:widowControl w:val="0"/>
        <w:numPr>
          <w:ilvl w:val="0"/>
          <w:numId w:val="56"/>
        </w:numPr>
        <w:shd w:val="clear" w:color="auto" w:fill="FFFFFF"/>
        <w:spacing w:before="120"/>
        <w:ind w:left="606" w:hanging="425"/>
        <w:rPr>
          <w:rFonts w:eastAsia="Times New Roman"/>
        </w:rPr>
      </w:pPr>
      <w:hyperlink r:id="rId83" w:tooltip="СТ ЦКБА 053-2008 Арматура трубопроводная. Наплавка и контроль качества наплавленных поверхностей. Технические требования" w:history="1">
        <w:r>
          <w:rPr>
            <w:rFonts w:eastAsia="Times New Roman"/>
          </w:rPr>
          <w:t>СТ ЦКБА 053</w:t>
        </w:r>
      </w:hyperlink>
      <w:r>
        <w:rPr>
          <w:rFonts w:eastAsia="Times New Roman"/>
        </w:rPr>
        <w:t xml:space="preserve"> (для образцов-свидетелей, наплавленных твердыми износостойкими материалами);</w:t>
      </w:r>
    </w:p>
    <w:p>
      <w:pPr>
        <w:widowControl w:val="0"/>
        <w:numPr>
          <w:ilvl w:val="0"/>
          <w:numId w:val="56"/>
        </w:numPr>
        <w:shd w:val="clear" w:color="auto" w:fill="FFFFFF"/>
        <w:spacing w:before="120"/>
        <w:ind w:left="606" w:hanging="425"/>
        <w:rPr>
          <w:rFonts w:eastAsia="Times New Roman"/>
        </w:rPr>
      </w:pPr>
      <w:r>
        <w:rPr>
          <w:rFonts w:eastAsia="Times New Roman"/>
        </w:rPr>
        <w:t>КД завода-изготовителя кранов.</w:t>
      </w:r>
    </w:p>
    <w:p>
      <w:pPr>
        <w:widowControl w:val="0"/>
        <w:rPr>
          <w:rFonts w:eastAsia="Times New Roman"/>
          <w:kern w:val="28"/>
        </w:rPr>
      </w:pPr>
    </w:p>
    <w:p>
      <w:pPr>
        <w:widowControl w:val="0"/>
        <w:rPr>
          <w:rFonts w:eastAsia="Times New Roman"/>
          <w:kern w:val="28"/>
        </w:rPr>
      </w:pPr>
      <w:r>
        <w:rPr>
          <w:rFonts w:eastAsia="Times New Roman"/>
          <w:kern w:val="28"/>
        </w:rPr>
        <w:t xml:space="preserve">Изделие должно быть отобрано после проведения приемо-сдаточных испытаний и иметь однозначно читаемую маркировку серийного номера, различимую визуально. </w:t>
      </w:r>
    </w:p>
    <w:p>
      <w:pPr>
        <w:widowControl w:val="0"/>
        <w:rPr>
          <w:rFonts w:eastAsia="Times New Roman"/>
          <w:kern w:val="28"/>
        </w:rPr>
      </w:pPr>
    </w:p>
    <w:p>
      <w:pPr>
        <w:widowControl w:val="0"/>
        <w:rPr>
          <w:rFonts w:eastAsia="Times New Roman"/>
          <w:kern w:val="28"/>
        </w:rPr>
      </w:pPr>
      <w:r>
        <w:rPr>
          <w:rFonts w:eastAsia="Times New Roman"/>
          <w:kern w:val="28"/>
        </w:rPr>
        <w:t>При отборе изделия, завод-изготовитель кранов обязан предоставить заверенные копии следующих документов (на русском языке):</w:t>
      </w:r>
    </w:p>
    <w:p>
      <w:pPr>
        <w:widowControl w:val="0"/>
        <w:numPr>
          <w:ilvl w:val="0"/>
          <w:numId w:val="57"/>
        </w:numPr>
        <w:tabs>
          <w:tab w:val="left" w:pos="709"/>
        </w:tabs>
        <w:spacing w:before="120"/>
        <w:ind w:left="606" w:hanging="425"/>
        <w:rPr>
          <w:rFonts w:eastAsia="Times New Roman"/>
          <w:color w:val="000000"/>
          <w:kern w:val="28"/>
        </w:rPr>
      </w:pPr>
      <w:r>
        <w:rPr>
          <w:rFonts w:eastAsia="Times New Roman"/>
          <w:color w:val="000000"/>
          <w:kern w:val="28"/>
        </w:rPr>
        <w:t>Паспорт, оформленный согласно требованиям на изделие.</w:t>
      </w:r>
    </w:p>
    <w:p>
      <w:pPr>
        <w:widowControl w:val="0"/>
        <w:numPr>
          <w:ilvl w:val="0"/>
          <w:numId w:val="57"/>
        </w:numPr>
        <w:tabs>
          <w:tab w:val="left" w:pos="709"/>
        </w:tabs>
        <w:spacing w:before="120"/>
        <w:ind w:left="606" w:hanging="425"/>
        <w:rPr>
          <w:rFonts w:eastAsia="Times New Roman"/>
          <w:color w:val="000000"/>
          <w:kern w:val="28"/>
        </w:rPr>
      </w:pPr>
      <w:r>
        <w:rPr>
          <w:rFonts w:eastAsia="Times New Roman"/>
          <w:color w:val="000000"/>
          <w:kern w:val="28"/>
        </w:rPr>
        <w:t>Сборочный чертеж изделия со спецификацией, выполненный в соответствии с нормами единой системы КД.</w:t>
      </w:r>
    </w:p>
    <w:p>
      <w:pPr>
        <w:widowControl w:val="0"/>
        <w:numPr>
          <w:ilvl w:val="0"/>
          <w:numId w:val="57"/>
        </w:numPr>
        <w:tabs>
          <w:tab w:val="left" w:pos="709"/>
        </w:tabs>
        <w:spacing w:before="120"/>
        <w:ind w:left="606" w:hanging="425"/>
        <w:rPr>
          <w:rFonts w:eastAsia="Times New Roman"/>
          <w:kern w:val="28"/>
        </w:rPr>
      </w:pPr>
      <w:r>
        <w:rPr>
          <w:rFonts w:eastAsia="Times New Roman"/>
          <w:color w:val="000000"/>
          <w:kern w:val="28"/>
        </w:rPr>
        <w:t>КД и (или)</w:t>
      </w:r>
      <w:r>
        <w:rPr>
          <w:rFonts w:eastAsia="Times New Roman"/>
          <w:kern w:val="28"/>
        </w:rPr>
        <w:t xml:space="preserve"> стандарт, устанавливающий требования к изделию.</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Выписка из «Журнала плавок».</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Протокол анализа химического состава проб плавки.</w:t>
      </w:r>
    </w:p>
    <w:p>
      <w:pPr>
        <w:widowControl w:val="0"/>
        <w:numPr>
          <w:ilvl w:val="0"/>
          <w:numId w:val="57"/>
        </w:numPr>
        <w:tabs>
          <w:tab w:val="left" w:pos="709"/>
        </w:tabs>
        <w:spacing w:before="120"/>
        <w:ind w:left="606" w:hanging="425"/>
        <w:rPr>
          <w:rFonts w:eastAsia="Times New Roman"/>
          <w:kern w:val="28"/>
        </w:rPr>
      </w:pPr>
      <w:r>
        <w:rPr>
          <w:rFonts w:eastAsia="Times New Roman"/>
          <w:kern w:val="28"/>
        </w:rPr>
        <w:t>Термограмма термообработки заготовок основных деталей.</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Заключения неразрушающего контроля деталей, проведенного в процессе производства изделия (ВИК, ПВК, УЗК, РК).</w:t>
      </w:r>
    </w:p>
    <w:p>
      <w:pPr>
        <w:widowControl w:val="0"/>
        <w:numPr>
          <w:ilvl w:val="0"/>
          <w:numId w:val="57"/>
        </w:numPr>
        <w:tabs>
          <w:tab w:val="left" w:pos="709"/>
        </w:tabs>
        <w:spacing w:before="120"/>
        <w:ind w:left="606" w:hanging="425"/>
        <w:rPr>
          <w:rFonts w:eastAsia="Times New Roman"/>
          <w:kern w:val="28"/>
        </w:rPr>
      </w:pPr>
      <w:r>
        <w:rPr>
          <w:rFonts w:eastAsia="Times New Roman"/>
          <w:kern w:val="28"/>
        </w:rPr>
        <w:t xml:space="preserve">Акт пневмогидравлических испытаний изделия. </w:t>
      </w:r>
    </w:p>
    <w:p>
      <w:pPr>
        <w:widowControl w:val="0"/>
        <w:numPr>
          <w:ilvl w:val="0"/>
          <w:numId w:val="57"/>
        </w:numPr>
        <w:tabs>
          <w:tab w:val="left" w:pos="709"/>
        </w:tabs>
        <w:spacing w:before="120"/>
        <w:ind w:left="606" w:hanging="425"/>
        <w:rPr>
          <w:rFonts w:eastAsia="Times New Roman"/>
          <w:kern w:val="28"/>
        </w:rPr>
      </w:pPr>
      <w:r>
        <w:rPr>
          <w:rFonts w:eastAsia="Times New Roman"/>
          <w:kern w:val="28"/>
        </w:rPr>
        <w:t>Сертификаты с обязательным указанием марки материала, подтверждающие качество комплектующих и полуфабрикатов, использованных при производстве кранов.</w:t>
      </w:r>
    </w:p>
    <w:p>
      <w:pPr>
        <w:widowControl w:val="0"/>
        <w:rPr>
          <w:rFonts w:eastAsia="Times New Roman"/>
          <w:kern w:val="28"/>
        </w:rPr>
      </w:pPr>
    </w:p>
    <w:p>
      <w:pPr>
        <w:widowControl w:val="0"/>
        <w:rPr>
          <w:rFonts w:eastAsia="Times New Roman"/>
          <w:kern w:val="28"/>
        </w:rPr>
      </w:pPr>
      <w:r>
        <w:rPr>
          <w:rFonts w:eastAsia="Times New Roman"/>
          <w:kern w:val="28"/>
        </w:rPr>
        <w:t xml:space="preserve">При отборе крана для испытаний оформляется «Акт отбора изделия и образцов на </w:t>
      </w:r>
      <w:r>
        <w:rPr>
          <w:rFonts w:eastAsia="Times New Roman"/>
          <w:kern w:val="28"/>
        </w:rPr>
        <w:lastRenderedPageBreak/>
        <w:t>испытания».</w:t>
      </w:r>
    </w:p>
    <w:p>
      <w:pPr>
        <w:widowControl w:val="0"/>
        <w:tabs>
          <w:tab w:val="left" w:pos="1222"/>
        </w:tabs>
        <w:rPr>
          <w:rFonts w:eastAsia="Times New Roman"/>
          <w:kern w:val="28"/>
        </w:rPr>
      </w:pPr>
    </w:p>
    <w:p>
      <w:pPr>
        <w:widowControl w:val="0"/>
        <w:tabs>
          <w:tab w:val="left" w:pos="1222"/>
        </w:tabs>
        <w:rPr>
          <w:rFonts w:eastAsia="Times New Roman"/>
          <w:kern w:val="28"/>
        </w:rPr>
      </w:pPr>
      <w:r>
        <w:rPr>
          <w:rFonts w:eastAsia="Times New Roman"/>
          <w:kern w:val="28"/>
        </w:rPr>
        <w:t>«Акт отбора изделия и образцов на испытания» должен содержать следующие сведения: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Наименование, типоразмер и требования на изделие.</w:t>
      </w:r>
    </w:p>
    <w:p>
      <w:pPr>
        <w:widowControl w:val="0"/>
        <w:numPr>
          <w:ilvl w:val="0"/>
          <w:numId w:val="57"/>
        </w:numPr>
        <w:tabs>
          <w:tab w:val="left" w:pos="709"/>
        </w:tabs>
        <w:spacing w:before="120"/>
        <w:ind w:left="606" w:hanging="425"/>
        <w:rPr>
          <w:rFonts w:eastAsia="Times New Roman"/>
          <w:kern w:val="28"/>
        </w:rPr>
      </w:pPr>
      <w:r>
        <w:rPr>
          <w:rFonts w:eastAsia="Times New Roman"/>
          <w:kern w:val="28"/>
        </w:rPr>
        <w:t>Серийный номер изделия.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Сведения о номерах плавок, от которых были отобраны образцы на испытания.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Название завода-изготовителя изделия.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Место и дату отбора изделия.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Дату выпуска изделия.</w:t>
      </w:r>
    </w:p>
    <w:p>
      <w:pPr>
        <w:widowControl w:val="0"/>
        <w:numPr>
          <w:ilvl w:val="0"/>
          <w:numId w:val="57"/>
        </w:numPr>
        <w:tabs>
          <w:tab w:val="left" w:pos="709"/>
        </w:tabs>
        <w:spacing w:before="120"/>
        <w:ind w:left="606" w:hanging="425"/>
        <w:rPr>
          <w:rFonts w:eastAsia="Times New Roman"/>
          <w:kern w:val="28"/>
        </w:rPr>
      </w:pPr>
      <w:r>
        <w:rPr>
          <w:rFonts w:eastAsia="Times New Roman"/>
          <w:kern w:val="28"/>
        </w:rPr>
        <w:t>Цель отбора изделия.</w:t>
      </w:r>
    </w:p>
    <w:p>
      <w:pPr>
        <w:widowControl w:val="0"/>
        <w:rPr>
          <w:rFonts w:eastAsia="Times New Roman"/>
          <w:kern w:val="28"/>
        </w:rPr>
      </w:pPr>
    </w:p>
    <w:p>
      <w:pPr>
        <w:widowControl w:val="0"/>
        <w:rPr>
          <w:rFonts w:eastAsia="Times New Roman"/>
          <w:kern w:val="28"/>
        </w:rPr>
      </w:pPr>
      <w:r>
        <w:rPr>
          <w:rFonts w:eastAsia="Times New Roman"/>
          <w:kern w:val="28"/>
        </w:rPr>
        <w:t>«Акт отбора изделия и образцов на испытания» подписывается представителем завода-изготовителя и представителем инспекционной организации, проводящей испытания.</w:t>
      </w:r>
    </w:p>
    <w:p>
      <w:pPr>
        <w:widowControl w:val="0"/>
        <w:ind w:left="567" w:hanging="567"/>
        <w:rPr>
          <w:rFonts w:eastAsia="Times New Roman"/>
          <w:kern w:val="28"/>
        </w:rPr>
      </w:pPr>
    </w:p>
    <w:p>
      <w:pPr>
        <w:widowControl w:val="0"/>
        <w:rPr>
          <w:rFonts w:eastAsia="Times New Roman"/>
          <w:kern w:val="28"/>
        </w:rPr>
      </w:pPr>
      <w:r>
        <w:rPr>
          <w:rFonts w:eastAsia="Times New Roman"/>
          <w:kern w:val="28"/>
        </w:rPr>
        <w:t>Образцы для проведения испытаний вырезаются из основных деталей изделия в соответствии со схемами отбора.</w:t>
      </w:r>
    </w:p>
    <w:p>
      <w:pPr>
        <w:widowControl w:val="0"/>
        <w:ind w:left="567" w:hanging="567"/>
        <w:rPr>
          <w:rFonts w:eastAsia="Times New Roman"/>
          <w:kern w:val="28"/>
        </w:rPr>
      </w:pPr>
    </w:p>
    <w:p>
      <w:pPr>
        <w:widowControl w:val="0"/>
        <w:rPr>
          <w:rFonts w:eastAsia="Times New Roman"/>
          <w:kern w:val="28"/>
        </w:rPr>
      </w:pPr>
      <w:r>
        <w:rPr>
          <w:rFonts w:eastAsia="Times New Roman"/>
          <w:kern w:val="28"/>
        </w:rPr>
        <w:t>Количество образцов, вырезаемых из основных корпусных сборочных единиц для проведения испытаний, приведено в Таблице 44. При выборе вида испытаний основных корпусных сборочных единиц необходимо руководствоваться Таблицами 42, 43 настояще</w:t>
      </w:r>
      <w:r>
        <w:rPr>
          <w:rFonts w:eastAsia="Times New Roman"/>
          <w:bCs/>
        </w:rPr>
        <w:t>го Приложения.</w:t>
      </w:r>
    </w:p>
    <w:p>
      <w:pPr>
        <w:widowControl w:val="0"/>
        <w:rPr>
          <w:rFonts w:eastAsia="Times New Roman"/>
          <w:kern w:val="28"/>
        </w:rPr>
      </w:pPr>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44</w:t>
      </w:r>
      <w:r>
        <w:rPr>
          <w:rFonts w:ascii="Arial" w:eastAsia="Times New Roman" w:hAnsi="Arial"/>
          <w:b/>
          <w:sz w:val="20"/>
        </w:rPr>
        <w:fldChar w:fldCharType="end"/>
      </w:r>
    </w:p>
    <w:p>
      <w:pPr>
        <w:widowControl w:val="0"/>
        <w:spacing w:after="60"/>
        <w:jc w:val="right"/>
        <w:rPr>
          <w:rFonts w:ascii="Arial" w:eastAsia="Times New Roman" w:hAnsi="Arial" w:cs="Arial"/>
          <w:b/>
          <w:noProof/>
          <w:kern w:val="28"/>
          <w:sz w:val="20"/>
          <w:szCs w:val="16"/>
        </w:rPr>
      </w:pPr>
      <w:r>
        <w:rPr>
          <w:rFonts w:ascii="Arial" w:eastAsia="Times New Roman" w:hAnsi="Arial" w:cs="Arial"/>
          <w:b/>
          <w:kern w:val="28"/>
          <w:sz w:val="20"/>
          <w:szCs w:val="16"/>
        </w:rPr>
        <w:t xml:space="preserve">Количество образцов, вырезаемых из основных </w:t>
      </w:r>
      <w:r>
        <w:rPr>
          <w:rFonts w:ascii="Arial" w:eastAsia="Times New Roman" w:hAnsi="Arial" w:cs="Arial"/>
          <w:b/>
          <w:kern w:val="28"/>
          <w:sz w:val="20"/>
          <w:szCs w:val="16"/>
        </w:rPr>
        <w:br/>
        <w:t>корпусных сборочных единиц для проведения испытаний</w:t>
      </w:r>
    </w:p>
    <w:tbl>
      <w:tblPr>
        <w:tblW w:w="969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91"/>
        <w:gridCol w:w="5026"/>
        <w:gridCol w:w="1383"/>
        <w:gridCol w:w="2694"/>
      </w:tblGrid>
      <w:tr>
        <w:trPr>
          <w:tblHeader/>
        </w:trPr>
        <w:tc>
          <w:tcPr>
            <w:tcW w:w="591" w:type="dxa"/>
            <w:tcBorders>
              <w:bottom w:val="single" w:sz="12" w:space="0" w:color="auto"/>
            </w:tcBorders>
            <w:shd w:val="clear" w:color="auto" w:fill="FFD200"/>
            <w:vAlign w:val="center"/>
          </w:tcPr>
          <w:p>
            <w:pPr>
              <w:widowControl w:val="0"/>
              <w:spacing w:before="120"/>
              <w:jc w:val="center"/>
              <w:rPr>
                <w:rFonts w:ascii="Arial" w:eastAsia="Times New Roman" w:hAnsi="Arial" w:cs="Arial"/>
                <w:b/>
                <w:noProof/>
                <w:kern w:val="28"/>
                <w:sz w:val="16"/>
                <w:szCs w:val="16"/>
              </w:rPr>
            </w:pPr>
            <w:r>
              <w:rPr>
                <w:rFonts w:ascii="Arial" w:eastAsia="Times New Roman" w:hAnsi="Arial" w:cs="Arial"/>
                <w:b/>
                <w:noProof/>
                <w:kern w:val="28"/>
                <w:sz w:val="16"/>
                <w:szCs w:val="16"/>
              </w:rPr>
              <w:t>№ П/П</w:t>
            </w:r>
          </w:p>
        </w:tc>
        <w:tc>
          <w:tcPr>
            <w:tcW w:w="5026" w:type="dxa"/>
            <w:tcBorders>
              <w:bottom w:val="single" w:sz="12" w:space="0" w:color="auto"/>
            </w:tcBorders>
            <w:shd w:val="clear" w:color="auto" w:fill="FFD200"/>
            <w:vAlign w:val="center"/>
          </w:tcPr>
          <w:p>
            <w:pPr>
              <w:widowControl w:val="0"/>
              <w:spacing w:before="120"/>
              <w:jc w:val="center"/>
              <w:rPr>
                <w:rFonts w:ascii="Arial" w:eastAsia="Times New Roman" w:hAnsi="Arial" w:cs="Arial"/>
                <w:b/>
                <w:noProof/>
                <w:kern w:val="28"/>
                <w:sz w:val="16"/>
                <w:szCs w:val="16"/>
              </w:rPr>
            </w:pPr>
            <w:r>
              <w:rPr>
                <w:rFonts w:ascii="Arial" w:eastAsia="Times New Roman" w:hAnsi="Arial" w:cs="Arial"/>
                <w:b/>
                <w:noProof/>
                <w:kern w:val="28"/>
                <w:sz w:val="16"/>
                <w:szCs w:val="16"/>
              </w:rPr>
              <w:t>ДЕТАЛЬ/ВИД ИСПЫТАНИЯ</w:t>
            </w:r>
          </w:p>
        </w:tc>
        <w:tc>
          <w:tcPr>
            <w:tcW w:w="1383" w:type="dxa"/>
            <w:tcBorders>
              <w:bottom w:val="single" w:sz="12" w:space="0" w:color="auto"/>
            </w:tcBorders>
            <w:shd w:val="clear" w:color="auto" w:fill="FFD200"/>
            <w:vAlign w:val="center"/>
          </w:tcPr>
          <w:p>
            <w:pPr>
              <w:widowControl w:val="0"/>
              <w:spacing w:before="120"/>
              <w:jc w:val="center"/>
              <w:rPr>
                <w:rFonts w:ascii="Arial" w:eastAsia="Times New Roman" w:hAnsi="Arial" w:cs="Arial"/>
                <w:b/>
                <w:noProof/>
                <w:kern w:val="28"/>
                <w:sz w:val="16"/>
                <w:szCs w:val="16"/>
              </w:rPr>
            </w:pPr>
            <w:r>
              <w:rPr>
                <w:rFonts w:ascii="Arial" w:eastAsia="Times New Roman" w:hAnsi="Arial" w:cs="Arial"/>
                <w:b/>
                <w:noProof/>
                <w:kern w:val="28"/>
                <w:sz w:val="16"/>
                <w:szCs w:val="16"/>
              </w:rPr>
              <w:t>КОЛИЧЕСТВО, ШТ</w:t>
            </w:r>
          </w:p>
        </w:tc>
        <w:tc>
          <w:tcPr>
            <w:tcW w:w="2694" w:type="dxa"/>
            <w:tcBorders>
              <w:bottom w:val="single" w:sz="12" w:space="0" w:color="auto"/>
            </w:tcBorders>
            <w:shd w:val="clear" w:color="auto" w:fill="FFD200"/>
            <w:vAlign w:val="center"/>
          </w:tcPr>
          <w:p>
            <w:pPr>
              <w:widowControl w:val="0"/>
              <w:spacing w:before="120"/>
              <w:jc w:val="center"/>
              <w:rPr>
                <w:rFonts w:ascii="Arial" w:eastAsia="Times New Roman" w:hAnsi="Arial" w:cs="Arial"/>
                <w:b/>
                <w:noProof/>
                <w:kern w:val="28"/>
                <w:sz w:val="16"/>
                <w:szCs w:val="16"/>
              </w:rPr>
            </w:pPr>
            <w:r>
              <w:rPr>
                <w:rFonts w:ascii="Arial" w:eastAsia="Times New Roman" w:hAnsi="Arial" w:cs="Arial"/>
                <w:b/>
                <w:noProof/>
                <w:kern w:val="28"/>
                <w:sz w:val="16"/>
                <w:szCs w:val="16"/>
              </w:rPr>
              <w:t>ПРИМЕЧАНИЕ</w:t>
            </w:r>
          </w:p>
        </w:tc>
      </w:tr>
      <w:tr>
        <w:trPr>
          <w:trHeight w:val="253"/>
          <w:tblHeader/>
        </w:trPr>
        <w:tc>
          <w:tcPr>
            <w:tcW w:w="591" w:type="dxa"/>
            <w:tcBorders>
              <w:top w:val="single" w:sz="12" w:space="0" w:color="auto"/>
              <w:bottom w:val="single" w:sz="12" w:space="0" w:color="auto"/>
            </w:tcBorders>
            <w:shd w:val="clear" w:color="auto" w:fill="FFD200"/>
            <w:vAlign w:val="center"/>
          </w:tcPr>
          <w:p>
            <w:pPr>
              <w:widowControl w:val="0"/>
              <w:jc w:val="center"/>
              <w:rPr>
                <w:rFonts w:ascii="Arial" w:eastAsia="Times New Roman" w:hAnsi="Arial" w:cs="Arial"/>
                <w:b/>
                <w:noProof/>
                <w:kern w:val="28"/>
                <w:sz w:val="16"/>
                <w:szCs w:val="16"/>
              </w:rPr>
            </w:pPr>
            <w:r>
              <w:rPr>
                <w:rFonts w:ascii="Arial" w:eastAsia="Times New Roman" w:hAnsi="Arial" w:cs="Arial"/>
                <w:b/>
                <w:noProof/>
                <w:kern w:val="28"/>
                <w:sz w:val="16"/>
                <w:szCs w:val="16"/>
              </w:rPr>
              <w:t>1</w:t>
            </w:r>
          </w:p>
        </w:tc>
        <w:tc>
          <w:tcPr>
            <w:tcW w:w="5026" w:type="dxa"/>
            <w:tcBorders>
              <w:top w:val="single" w:sz="12" w:space="0" w:color="auto"/>
              <w:bottom w:val="single" w:sz="12" w:space="0" w:color="auto"/>
            </w:tcBorders>
            <w:shd w:val="clear" w:color="auto" w:fill="FFD200"/>
            <w:vAlign w:val="center"/>
          </w:tcPr>
          <w:p>
            <w:pPr>
              <w:widowControl w:val="0"/>
              <w:jc w:val="center"/>
              <w:rPr>
                <w:rFonts w:ascii="Arial" w:eastAsia="Times New Roman" w:hAnsi="Arial" w:cs="Arial"/>
                <w:b/>
                <w:noProof/>
                <w:kern w:val="28"/>
                <w:sz w:val="16"/>
                <w:szCs w:val="16"/>
              </w:rPr>
            </w:pPr>
            <w:r>
              <w:rPr>
                <w:rFonts w:ascii="Arial" w:eastAsia="Times New Roman" w:hAnsi="Arial" w:cs="Arial"/>
                <w:b/>
                <w:noProof/>
                <w:kern w:val="28"/>
                <w:sz w:val="16"/>
                <w:szCs w:val="16"/>
              </w:rPr>
              <w:t>2</w:t>
            </w:r>
          </w:p>
        </w:tc>
        <w:tc>
          <w:tcPr>
            <w:tcW w:w="1383" w:type="dxa"/>
            <w:tcBorders>
              <w:top w:val="single" w:sz="12" w:space="0" w:color="auto"/>
              <w:bottom w:val="single" w:sz="12" w:space="0" w:color="auto"/>
            </w:tcBorders>
            <w:shd w:val="clear" w:color="auto" w:fill="FFD200"/>
            <w:vAlign w:val="center"/>
          </w:tcPr>
          <w:p>
            <w:pPr>
              <w:widowControl w:val="0"/>
              <w:jc w:val="center"/>
              <w:rPr>
                <w:rFonts w:ascii="Arial" w:eastAsia="Times New Roman" w:hAnsi="Arial" w:cs="Arial"/>
                <w:b/>
                <w:noProof/>
                <w:kern w:val="28"/>
                <w:sz w:val="16"/>
                <w:szCs w:val="16"/>
              </w:rPr>
            </w:pPr>
            <w:r>
              <w:rPr>
                <w:rFonts w:ascii="Arial" w:eastAsia="Times New Roman" w:hAnsi="Arial" w:cs="Arial"/>
                <w:b/>
                <w:noProof/>
                <w:kern w:val="28"/>
                <w:sz w:val="16"/>
                <w:szCs w:val="16"/>
              </w:rPr>
              <w:t>3</w:t>
            </w:r>
          </w:p>
        </w:tc>
        <w:tc>
          <w:tcPr>
            <w:tcW w:w="2694" w:type="dxa"/>
            <w:tcBorders>
              <w:top w:val="single" w:sz="12" w:space="0" w:color="auto"/>
              <w:bottom w:val="single" w:sz="12" w:space="0" w:color="auto"/>
            </w:tcBorders>
            <w:shd w:val="clear" w:color="auto" w:fill="FFD200"/>
            <w:vAlign w:val="center"/>
          </w:tcPr>
          <w:p>
            <w:pPr>
              <w:widowControl w:val="0"/>
              <w:jc w:val="center"/>
              <w:rPr>
                <w:rFonts w:ascii="Arial" w:eastAsia="Times New Roman" w:hAnsi="Arial" w:cs="Arial"/>
                <w:b/>
                <w:noProof/>
                <w:kern w:val="28"/>
                <w:sz w:val="16"/>
                <w:szCs w:val="16"/>
              </w:rPr>
            </w:pPr>
            <w:r>
              <w:rPr>
                <w:rFonts w:ascii="Arial" w:eastAsia="Times New Roman" w:hAnsi="Arial" w:cs="Arial"/>
                <w:b/>
                <w:noProof/>
                <w:kern w:val="28"/>
                <w:sz w:val="16"/>
                <w:szCs w:val="16"/>
              </w:rPr>
              <w:t>4</w:t>
            </w:r>
          </w:p>
        </w:tc>
      </w:tr>
      <w:tr>
        <w:tc>
          <w:tcPr>
            <w:tcW w:w="591" w:type="dxa"/>
            <w:tcBorders>
              <w:top w:val="single" w:sz="12" w:space="0" w:color="auto"/>
            </w:tcBorders>
          </w:tcPr>
          <w:p>
            <w:pPr>
              <w:widowControl w:val="0"/>
              <w:rPr>
                <w:rFonts w:eastAsia="Times New Roman"/>
                <w:noProof/>
                <w:kern w:val="28"/>
                <w:sz w:val="20"/>
                <w:szCs w:val="20"/>
              </w:rPr>
            </w:pPr>
            <w:r>
              <w:rPr>
                <w:rFonts w:eastAsia="Times New Roman"/>
                <w:noProof/>
                <w:kern w:val="28"/>
                <w:sz w:val="20"/>
                <w:szCs w:val="20"/>
              </w:rPr>
              <w:t>1</w:t>
            </w:r>
          </w:p>
        </w:tc>
        <w:tc>
          <w:tcPr>
            <w:tcW w:w="9103" w:type="dxa"/>
            <w:gridSpan w:val="3"/>
            <w:tcBorders>
              <w:top w:val="single" w:sz="12" w:space="0" w:color="auto"/>
            </w:tcBorders>
            <w:shd w:val="clear" w:color="auto" w:fill="auto"/>
          </w:tcPr>
          <w:p>
            <w:pPr>
              <w:widowControl w:val="0"/>
              <w:ind w:left="57" w:right="57"/>
              <w:jc w:val="left"/>
              <w:rPr>
                <w:rFonts w:eastAsia="Times New Roman"/>
                <w:b/>
                <w:noProof/>
                <w:kern w:val="28"/>
                <w:sz w:val="20"/>
                <w:szCs w:val="20"/>
              </w:rPr>
            </w:pPr>
            <w:r>
              <w:rPr>
                <w:rFonts w:eastAsia="Times New Roman"/>
                <w:b/>
                <w:noProof/>
                <w:kern w:val="28"/>
                <w:sz w:val="20"/>
                <w:szCs w:val="20"/>
              </w:rPr>
              <w:t>Корпус</w:t>
            </w:r>
          </w:p>
        </w:tc>
      </w:tr>
      <w:tr>
        <w:tc>
          <w:tcPr>
            <w:tcW w:w="591" w:type="dxa"/>
          </w:tcPr>
          <w:p>
            <w:pPr>
              <w:widowControl w:val="0"/>
              <w:numPr>
                <w:ilvl w:val="0"/>
                <w:numId w:val="58"/>
              </w:numPr>
              <w:ind w:left="0" w:firstLine="0"/>
              <w:rPr>
                <w:rFonts w:eastAsia="Times New Roman"/>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Химический анализ металла</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4</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c>
          <w:tcPr>
            <w:tcW w:w="591" w:type="dxa"/>
          </w:tcPr>
          <w:p>
            <w:pPr>
              <w:widowControl w:val="0"/>
              <w:numPr>
                <w:ilvl w:val="0"/>
                <w:numId w:val="58"/>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Измерение твердости</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2 </w:t>
            </w:r>
          </w:p>
        </w:tc>
        <w:tc>
          <w:tcPr>
            <w:tcW w:w="2694" w:type="dxa"/>
          </w:tcPr>
          <w:p>
            <w:pPr>
              <w:widowControl w:val="0"/>
              <w:ind w:left="57" w:right="57"/>
              <w:jc w:val="left"/>
              <w:rPr>
                <w:rFonts w:eastAsia="Times New Roman"/>
                <w:noProof/>
                <w:kern w:val="28"/>
                <w:sz w:val="20"/>
                <w:szCs w:val="20"/>
              </w:rPr>
            </w:pPr>
            <w:r>
              <w:rPr>
                <w:rFonts w:eastAsia="Times New Roman"/>
                <w:kern w:val="28"/>
                <w:sz w:val="20"/>
                <w:szCs w:val="20"/>
              </w:rPr>
              <w:t>Контроль по толщине</w:t>
            </w:r>
          </w:p>
        </w:tc>
      </w:tr>
      <w:tr>
        <w:tc>
          <w:tcPr>
            <w:tcW w:w="591" w:type="dxa"/>
          </w:tcPr>
          <w:p>
            <w:pPr>
              <w:widowControl w:val="0"/>
              <w:numPr>
                <w:ilvl w:val="0"/>
                <w:numId w:val="58"/>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Микроструктурные исследования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 xml:space="preserve">2 кольца </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Испытания по квадрантам</w:t>
            </w:r>
          </w:p>
        </w:tc>
      </w:tr>
      <w:tr>
        <w:tc>
          <w:tcPr>
            <w:tcW w:w="591" w:type="dxa"/>
          </w:tcPr>
          <w:p>
            <w:pPr>
              <w:widowControl w:val="0"/>
              <w:numPr>
                <w:ilvl w:val="0"/>
                <w:numId w:val="58"/>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Испытание на растяжение</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6</w:t>
            </w:r>
          </w:p>
        </w:tc>
        <w:tc>
          <w:tcPr>
            <w:tcW w:w="2694" w:type="dxa"/>
          </w:tcPr>
          <w:p>
            <w:pPr>
              <w:widowControl w:val="0"/>
              <w:ind w:left="57" w:right="57"/>
              <w:jc w:val="left"/>
              <w:rPr>
                <w:rFonts w:eastAsia="Times New Roman"/>
                <w:noProof/>
                <w:kern w:val="28"/>
                <w:sz w:val="20"/>
                <w:szCs w:val="20"/>
              </w:rPr>
            </w:pPr>
          </w:p>
        </w:tc>
      </w:tr>
      <w:tr>
        <w:tc>
          <w:tcPr>
            <w:tcW w:w="591" w:type="dxa"/>
          </w:tcPr>
          <w:p>
            <w:pPr>
              <w:widowControl w:val="0"/>
              <w:numPr>
                <w:ilvl w:val="0"/>
                <w:numId w:val="58"/>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Испытания на ударный изгиб при комнатной и пониженной температурах, </w:t>
            </w:r>
            <w:r>
              <w:rPr>
                <w:rFonts w:eastAsia="Times New Roman"/>
                <w:noProof/>
                <w:kern w:val="28"/>
                <w:sz w:val="20"/>
                <w:szCs w:val="20"/>
                <w:lang w:val="en-US"/>
              </w:rPr>
              <w:t>KCV</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9 </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3 шт.при плюс 20 </w:t>
            </w:r>
            <w:r>
              <w:rPr>
                <w:rFonts w:eastAsia="Times New Roman"/>
                <w:noProof/>
                <w:kern w:val="28"/>
                <w:sz w:val="20"/>
                <w:szCs w:val="20"/>
                <w:vertAlign w:val="superscript"/>
              </w:rPr>
              <w:t>о</w:t>
            </w:r>
            <w:r>
              <w:rPr>
                <w:rFonts w:eastAsia="Times New Roman"/>
                <w:noProof/>
                <w:kern w:val="28"/>
                <w:sz w:val="20"/>
                <w:szCs w:val="20"/>
              </w:rPr>
              <w:t>С, 6 шт. при пониженной*</w:t>
            </w:r>
          </w:p>
        </w:tc>
      </w:tr>
      <w:tr>
        <w:trPr>
          <w:trHeight w:val="335"/>
        </w:trPr>
        <w:tc>
          <w:tcPr>
            <w:tcW w:w="591" w:type="dxa"/>
          </w:tcPr>
          <w:p>
            <w:pPr>
              <w:widowControl w:val="0"/>
              <w:numPr>
                <w:ilvl w:val="0"/>
                <w:numId w:val="58"/>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 xml:space="preserve">Испытания на стойкость к общей коррозии в сероводородсодержащей среде в соответствии с </w:t>
            </w:r>
            <w:hyperlink w:anchor="_ПРИЛОЖЕНИЕ_3._МЕТОДИКА" w:history="1">
              <w:r>
                <w:rPr>
                  <w:rStyle w:val="a6"/>
                  <w:sz w:val="20"/>
                </w:rPr>
                <w:t>Приложением 3</w:t>
              </w:r>
            </w:hyperlink>
            <w:r>
              <w:rPr>
                <w:rFonts w:eastAsia="Times New Roman"/>
                <w:sz w:val="20"/>
                <w:szCs w:val="20"/>
              </w:rPr>
              <w:t xml:space="preserve">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numPr>
                <w:ilvl w:val="0"/>
                <w:numId w:val="58"/>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ВР</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numPr>
                <w:ilvl w:val="0"/>
                <w:numId w:val="58"/>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СКРН в соответствии с Таблицей 11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Для эксплуатации арматуры в рабочих средах, содержащих </w:t>
            </w:r>
            <w:r>
              <w:rPr>
                <w:rFonts w:eastAsia="Times New Roman"/>
                <w:noProof/>
                <w:kern w:val="28"/>
                <w:sz w:val="20"/>
                <w:szCs w:val="20"/>
              </w:rPr>
              <w:br/>
              <w:t>Р</w:t>
            </w:r>
            <w:r>
              <w:rPr>
                <w:rFonts w:eastAsia="Times New Roman"/>
                <w:noProof/>
                <w:kern w:val="28"/>
                <w:sz w:val="20"/>
                <w:szCs w:val="20"/>
                <w:vertAlign w:val="subscript"/>
              </w:rPr>
              <w:t>H2S</w:t>
            </w:r>
            <w:r>
              <w:rPr>
                <w:rFonts w:eastAsia="Times New Roman"/>
                <w:noProof/>
                <w:kern w:val="28"/>
                <w:sz w:val="20"/>
                <w:szCs w:val="20"/>
              </w:rPr>
              <w:t xml:space="preserve"> &gt; 300 кПа в газовой фазе</w:t>
            </w:r>
          </w:p>
        </w:tc>
      </w:tr>
      <w:tr>
        <w:trPr>
          <w:trHeight w:val="195"/>
        </w:trPr>
        <w:tc>
          <w:tcPr>
            <w:tcW w:w="591" w:type="dxa"/>
          </w:tcPr>
          <w:p>
            <w:pPr>
              <w:widowControl w:val="0"/>
              <w:rPr>
                <w:rFonts w:eastAsia="Times New Roman"/>
                <w:kern w:val="28"/>
                <w:sz w:val="20"/>
                <w:szCs w:val="20"/>
              </w:rPr>
            </w:pPr>
            <w:r>
              <w:rPr>
                <w:rFonts w:eastAsia="Times New Roman"/>
                <w:kern w:val="28"/>
                <w:sz w:val="20"/>
                <w:szCs w:val="20"/>
              </w:rPr>
              <w:t>2</w:t>
            </w:r>
          </w:p>
        </w:tc>
        <w:tc>
          <w:tcPr>
            <w:tcW w:w="9103" w:type="dxa"/>
            <w:gridSpan w:val="3"/>
            <w:shd w:val="clear" w:color="auto" w:fill="auto"/>
          </w:tcPr>
          <w:p>
            <w:pPr>
              <w:widowControl w:val="0"/>
              <w:ind w:left="57" w:right="57"/>
              <w:jc w:val="left"/>
              <w:rPr>
                <w:rFonts w:eastAsia="Times New Roman"/>
                <w:b/>
                <w:kern w:val="28"/>
                <w:sz w:val="20"/>
                <w:szCs w:val="20"/>
              </w:rPr>
            </w:pPr>
            <w:r>
              <w:rPr>
                <w:rFonts w:eastAsia="Times New Roman"/>
                <w:b/>
                <w:noProof/>
                <w:kern w:val="28"/>
                <w:sz w:val="20"/>
                <w:szCs w:val="20"/>
              </w:rPr>
              <w:t>Крышка</w:t>
            </w:r>
            <w:r>
              <w:rPr>
                <w:rFonts w:eastAsia="Times New Roman"/>
                <w:b/>
                <w:noProof/>
                <w:kern w:val="28"/>
                <w:sz w:val="20"/>
                <w:szCs w:val="20"/>
                <w:vertAlign w:val="superscript"/>
              </w:rPr>
              <w:t>**</w:t>
            </w:r>
          </w:p>
        </w:tc>
      </w:tr>
      <w:tr>
        <w:tc>
          <w:tcPr>
            <w:tcW w:w="591" w:type="dxa"/>
          </w:tcPr>
          <w:p>
            <w:pPr>
              <w:widowControl w:val="0"/>
              <w:numPr>
                <w:ilvl w:val="0"/>
                <w:numId w:val="59"/>
              </w:numPr>
              <w:ind w:left="0" w:firstLine="0"/>
              <w:rPr>
                <w:rFonts w:eastAsia="Times New Roman"/>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Химический анализ металла</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2</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c>
          <w:tcPr>
            <w:tcW w:w="591" w:type="dxa"/>
          </w:tcPr>
          <w:p>
            <w:pPr>
              <w:widowControl w:val="0"/>
              <w:numPr>
                <w:ilvl w:val="0"/>
                <w:numId w:val="59"/>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Измерение твердости</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2 </w:t>
            </w:r>
          </w:p>
        </w:tc>
        <w:tc>
          <w:tcPr>
            <w:tcW w:w="2694" w:type="dxa"/>
          </w:tcPr>
          <w:p>
            <w:pPr>
              <w:widowControl w:val="0"/>
              <w:ind w:left="57" w:right="57"/>
              <w:jc w:val="left"/>
              <w:rPr>
                <w:rFonts w:eastAsia="Times New Roman"/>
                <w:noProof/>
                <w:kern w:val="28"/>
                <w:sz w:val="20"/>
                <w:szCs w:val="20"/>
              </w:rPr>
            </w:pPr>
            <w:r>
              <w:rPr>
                <w:rFonts w:eastAsia="Times New Roman"/>
                <w:kern w:val="28"/>
                <w:sz w:val="20"/>
                <w:szCs w:val="20"/>
              </w:rPr>
              <w:t>Контроль по толщине</w:t>
            </w:r>
          </w:p>
        </w:tc>
      </w:tr>
      <w:tr>
        <w:tc>
          <w:tcPr>
            <w:tcW w:w="591" w:type="dxa"/>
          </w:tcPr>
          <w:p>
            <w:pPr>
              <w:widowControl w:val="0"/>
              <w:numPr>
                <w:ilvl w:val="0"/>
                <w:numId w:val="59"/>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Микроструктурные исследования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2</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c>
          <w:tcPr>
            <w:tcW w:w="591" w:type="dxa"/>
          </w:tcPr>
          <w:p>
            <w:pPr>
              <w:widowControl w:val="0"/>
              <w:numPr>
                <w:ilvl w:val="0"/>
                <w:numId w:val="59"/>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Испытание на растяжение</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numPr>
                <w:ilvl w:val="0"/>
                <w:numId w:val="59"/>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Испытания на ударный изгиб при комнатной и пониженной температурах, </w:t>
            </w:r>
            <w:r>
              <w:rPr>
                <w:rFonts w:eastAsia="Times New Roman"/>
                <w:noProof/>
                <w:kern w:val="28"/>
                <w:sz w:val="20"/>
                <w:szCs w:val="20"/>
                <w:lang w:val="en-US"/>
              </w:rPr>
              <w:t>KCV</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9 </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3 шт.при плюс 20 </w:t>
            </w:r>
            <w:r>
              <w:rPr>
                <w:rFonts w:eastAsia="Times New Roman"/>
                <w:noProof/>
                <w:kern w:val="28"/>
                <w:sz w:val="20"/>
                <w:szCs w:val="20"/>
                <w:vertAlign w:val="superscript"/>
              </w:rPr>
              <w:t>о</w:t>
            </w:r>
            <w:r>
              <w:rPr>
                <w:rFonts w:eastAsia="Times New Roman"/>
                <w:noProof/>
                <w:kern w:val="28"/>
                <w:sz w:val="20"/>
                <w:szCs w:val="20"/>
              </w:rPr>
              <w:t>С, 6 шт. при пониженной*</w:t>
            </w:r>
          </w:p>
        </w:tc>
      </w:tr>
      <w:tr>
        <w:trPr>
          <w:trHeight w:val="397"/>
        </w:trPr>
        <w:tc>
          <w:tcPr>
            <w:tcW w:w="591" w:type="dxa"/>
          </w:tcPr>
          <w:p>
            <w:pPr>
              <w:widowControl w:val="0"/>
              <w:numPr>
                <w:ilvl w:val="0"/>
                <w:numId w:val="59"/>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 xml:space="preserve">Испытания на стойкость к общей коррозии в сероводородсодержащей среде в соответствии с </w:t>
            </w:r>
            <w:hyperlink w:anchor="_ПРИЛОЖЕНИЕ_3._МЕТОДИКА" w:history="1">
              <w:r>
                <w:rPr>
                  <w:rStyle w:val="a6"/>
                  <w:sz w:val="20"/>
                </w:rPr>
                <w:t>Приложением 3</w:t>
              </w:r>
            </w:hyperlink>
            <w:r>
              <w:t xml:space="preserve"> </w:t>
            </w:r>
            <w:r>
              <w:rPr>
                <w:rFonts w:eastAsia="Times New Roman"/>
                <w:sz w:val="20"/>
                <w:szCs w:val="20"/>
              </w:rPr>
              <w:t xml:space="preserve">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numPr>
                <w:ilvl w:val="0"/>
                <w:numId w:val="59"/>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ВР</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Для эксплуатации арматуры в рабочих средах, содержащих </w:t>
            </w:r>
          </w:p>
          <w:p>
            <w:pPr>
              <w:widowControl w:val="0"/>
              <w:ind w:left="57" w:right="57"/>
              <w:jc w:val="left"/>
              <w:rPr>
                <w:rFonts w:eastAsia="Times New Roman"/>
                <w:noProof/>
                <w:kern w:val="28"/>
                <w:sz w:val="20"/>
                <w:szCs w:val="20"/>
              </w:rPr>
            </w:pPr>
            <w:r>
              <w:rPr>
                <w:rFonts w:eastAsia="Times New Roman"/>
                <w:noProof/>
                <w:kern w:val="28"/>
                <w:sz w:val="20"/>
                <w:szCs w:val="20"/>
              </w:rPr>
              <w:t>РH2S &gt; 300 кПа в газовой фазе</w:t>
            </w:r>
          </w:p>
        </w:tc>
      </w:tr>
      <w:tr>
        <w:tc>
          <w:tcPr>
            <w:tcW w:w="591" w:type="dxa"/>
          </w:tcPr>
          <w:p>
            <w:pPr>
              <w:widowControl w:val="0"/>
              <w:numPr>
                <w:ilvl w:val="0"/>
                <w:numId w:val="59"/>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СКРН в соответствии с Таблицей 11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Для эксплуатации арматуры в рабочих средах, содержащих </w:t>
            </w:r>
            <w:r>
              <w:rPr>
                <w:rFonts w:eastAsia="Times New Roman"/>
                <w:noProof/>
                <w:kern w:val="28"/>
                <w:sz w:val="20"/>
                <w:szCs w:val="20"/>
              </w:rPr>
              <w:br/>
              <w:t>Р</w:t>
            </w:r>
            <w:r>
              <w:rPr>
                <w:rFonts w:eastAsia="Times New Roman"/>
                <w:noProof/>
                <w:kern w:val="28"/>
                <w:sz w:val="20"/>
                <w:szCs w:val="20"/>
                <w:vertAlign w:val="subscript"/>
              </w:rPr>
              <w:t>H2S</w:t>
            </w:r>
            <w:r>
              <w:rPr>
                <w:rFonts w:eastAsia="Times New Roman"/>
                <w:noProof/>
                <w:kern w:val="28"/>
                <w:sz w:val="20"/>
                <w:szCs w:val="20"/>
              </w:rPr>
              <w:t xml:space="preserve"> &gt; 300 кПа в газовой фазе</w:t>
            </w:r>
          </w:p>
        </w:tc>
      </w:tr>
      <w:tr>
        <w:tc>
          <w:tcPr>
            <w:tcW w:w="591" w:type="dxa"/>
          </w:tcPr>
          <w:p>
            <w:pPr>
              <w:widowControl w:val="0"/>
              <w:rPr>
                <w:rFonts w:eastAsia="Times New Roman"/>
                <w:sz w:val="20"/>
                <w:szCs w:val="20"/>
              </w:rPr>
            </w:pPr>
            <w:r>
              <w:rPr>
                <w:rFonts w:eastAsia="Times New Roman"/>
                <w:sz w:val="20"/>
                <w:szCs w:val="20"/>
              </w:rPr>
              <w:t>3</w:t>
            </w:r>
          </w:p>
        </w:tc>
        <w:tc>
          <w:tcPr>
            <w:tcW w:w="9103" w:type="dxa"/>
            <w:gridSpan w:val="3"/>
            <w:shd w:val="clear" w:color="auto" w:fill="auto"/>
          </w:tcPr>
          <w:p>
            <w:pPr>
              <w:widowControl w:val="0"/>
              <w:ind w:left="57" w:right="57"/>
              <w:jc w:val="left"/>
              <w:rPr>
                <w:rFonts w:eastAsia="Times New Roman"/>
                <w:b/>
                <w:noProof/>
                <w:kern w:val="28"/>
                <w:sz w:val="20"/>
                <w:szCs w:val="20"/>
              </w:rPr>
            </w:pPr>
            <w:r>
              <w:rPr>
                <w:rFonts w:eastAsia="Times New Roman"/>
                <w:b/>
                <w:sz w:val="20"/>
              </w:rPr>
              <w:t>Затворный узел</w:t>
            </w:r>
          </w:p>
        </w:tc>
      </w:tr>
      <w:tr>
        <w:tc>
          <w:tcPr>
            <w:tcW w:w="591" w:type="dxa"/>
          </w:tcPr>
          <w:p>
            <w:pPr>
              <w:widowControl w:val="0"/>
              <w:numPr>
                <w:ilvl w:val="0"/>
                <w:numId w:val="60"/>
              </w:numPr>
              <w:ind w:left="0" w:firstLine="0"/>
              <w:rPr>
                <w:rFonts w:eastAsia="Times New Roman"/>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Химический анализ металла</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2</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c>
          <w:tcPr>
            <w:tcW w:w="591" w:type="dxa"/>
          </w:tcPr>
          <w:p>
            <w:pPr>
              <w:widowControl w:val="0"/>
              <w:numPr>
                <w:ilvl w:val="0"/>
                <w:numId w:val="60"/>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Измерение твердости</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8</w:t>
            </w:r>
          </w:p>
        </w:tc>
        <w:tc>
          <w:tcPr>
            <w:tcW w:w="2694" w:type="dxa"/>
          </w:tcPr>
          <w:p>
            <w:pPr>
              <w:widowControl w:val="0"/>
              <w:ind w:left="57" w:right="57"/>
              <w:rPr>
                <w:rFonts w:eastAsia="Times New Roman"/>
                <w:noProof/>
                <w:kern w:val="28"/>
                <w:sz w:val="20"/>
                <w:szCs w:val="20"/>
              </w:rPr>
            </w:pPr>
            <w:r>
              <w:rPr>
                <w:rFonts w:eastAsia="Times New Roman"/>
                <w:kern w:val="28"/>
                <w:sz w:val="20"/>
                <w:szCs w:val="20"/>
              </w:rPr>
              <w:t>Контроль по квадрантам двух затворных узлов</w:t>
            </w:r>
          </w:p>
        </w:tc>
      </w:tr>
      <w:tr>
        <w:tc>
          <w:tcPr>
            <w:tcW w:w="591" w:type="dxa"/>
          </w:tcPr>
          <w:p>
            <w:pPr>
              <w:widowControl w:val="0"/>
              <w:numPr>
                <w:ilvl w:val="0"/>
                <w:numId w:val="60"/>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Микроструктурные исследования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2</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rPr>
          <w:trHeight w:val="449"/>
        </w:trPr>
        <w:tc>
          <w:tcPr>
            <w:tcW w:w="591" w:type="dxa"/>
          </w:tcPr>
          <w:p>
            <w:pPr>
              <w:widowControl w:val="0"/>
              <w:numPr>
                <w:ilvl w:val="0"/>
                <w:numId w:val="60"/>
              </w:numPr>
              <w:ind w:left="0" w:firstLine="0"/>
              <w:rPr>
                <w:rFonts w:eastAsia="Times New Roman"/>
                <w:sz w:val="20"/>
                <w:szCs w:val="20"/>
              </w:rPr>
            </w:pPr>
          </w:p>
        </w:tc>
        <w:tc>
          <w:tcPr>
            <w:tcW w:w="5026" w:type="dxa"/>
            <w:shd w:val="clear" w:color="auto" w:fill="auto"/>
          </w:tcPr>
          <w:p>
            <w:pPr>
              <w:widowControl w:val="0"/>
              <w:ind w:left="57" w:right="57"/>
              <w:rPr>
                <w:rFonts w:eastAsia="Times New Roman"/>
                <w:sz w:val="20"/>
                <w:szCs w:val="20"/>
              </w:rPr>
            </w:pPr>
            <w:r>
              <w:rPr>
                <w:rFonts w:eastAsia="Times New Roman"/>
                <w:sz w:val="20"/>
                <w:szCs w:val="20"/>
              </w:rPr>
              <w:t xml:space="preserve">Испытания на стойкость к общей коррозии в сероводородсодержащей среде, в соответствии с </w:t>
            </w:r>
            <w:hyperlink w:anchor="_ПРИЛОЖЕНИЕ_3._МЕТОДИКА" w:history="1">
              <w:r>
                <w:rPr>
                  <w:rStyle w:val="a6"/>
                  <w:sz w:val="20"/>
                </w:rPr>
                <w:t>Приложением 3</w:t>
              </w:r>
            </w:hyperlink>
            <w:r>
              <w:rPr>
                <w:rStyle w:val="a6"/>
                <w:sz w:val="20"/>
              </w:rPr>
              <w:t xml:space="preserve"> </w:t>
            </w:r>
            <w:r>
              <w:rPr>
                <w:rFonts w:eastAsia="Times New Roman"/>
                <w:sz w:val="20"/>
                <w:szCs w:val="20"/>
              </w:rPr>
              <w:t>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rPr>
                <w:rFonts w:eastAsia="Times New Roman"/>
                <w:sz w:val="20"/>
                <w:szCs w:val="20"/>
              </w:rPr>
            </w:pPr>
            <w:r>
              <w:rPr>
                <w:rFonts w:eastAsia="Times New Roman"/>
                <w:sz w:val="20"/>
                <w:szCs w:val="20"/>
              </w:rPr>
              <w:t>4</w:t>
            </w:r>
          </w:p>
        </w:tc>
        <w:tc>
          <w:tcPr>
            <w:tcW w:w="5026" w:type="dxa"/>
            <w:shd w:val="clear" w:color="auto" w:fill="auto"/>
          </w:tcPr>
          <w:p>
            <w:pPr>
              <w:widowControl w:val="0"/>
              <w:ind w:left="57" w:right="57" w:hanging="79"/>
              <w:jc w:val="left"/>
              <w:rPr>
                <w:rFonts w:eastAsia="Times New Roman"/>
                <w:b/>
                <w:noProof/>
                <w:kern w:val="28"/>
                <w:sz w:val="20"/>
                <w:szCs w:val="20"/>
              </w:rPr>
            </w:pPr>
            <w:r>
              <w:rPr>
                <w:rFonts w:eastAsia="Times New Roman"/>
                <w:b/>
                <w:noProof/>
                <w:color w:val="000000"/>
                <w:kern w:val="28"/>
                <w:sz w:val="20"/>
                <w:szCs w:val="20"/>
              </w:rPr>
              <w:t>Шпи</w:t>
            </w:r>
            <w:r>
              <w:rPr>
                <w:rFonts w:eastAsia="Times New Roman"/>
                <w:b/>
                <w:noProof/>
                <w:kern w:val="28"/>
                <w:sz w:val="20"/>
                <w:szCs w:val="20"/>
              </w:rPr>
              <w:t>ндель</w:t>
            </w:r>
          </w:p>
        </w:tc>
        <w:tc>
          <w:tcPr>
            <w:tcW w:w="1383" w:type="dxa"/>
            <w:shd w:val="clear" w:color="auto" w:fill="auto"/>
          </w:tcPr>
          <w:p>
            <w:pPr>
              <w:widowControl w:val="0"/>
              <w:ind w:left="57" w:right="57"/>
              <w:jc w:val="left"/>
              <w:rPr>
                <w:rFonts w:eastAsia="Times New Roman"/>
                <w:noProof/>
                <w:kern w:val="28"/>
                <w:sz w:val="20"/>
                <w:szCs w:val="20"/>
              </w:rPr>
            </w:pPr>
          </w:p>
        </w:tc>
        <w:tc>
          <w:tcPr>
            <w:tcW w:w="2694" w:type="dxa"/>
          </w:tcPr>
          <w:p>
            <w:pPr>
              <w:widowControl w:val="0"/>
              <w:ind w:left="57" w:right="57"/>
              <w:jc w:val="left"/>
              <w:rPr>
                <w:rFonts w:eastAsia="Times New Roman"/>
                <w:noProof/>
                <w:kern w:val="28"/>
                <w:sz w:val="20"/>
                <w:szCs w:val="20"/>
              </w:rPr>
            </w:pPr>
          </w:p>
        </w:tc>
      </w:tr>
      <w:tr>
        <w:tc>
          <w:tcPr>
            <w:tcW w:w="591" w:type="dxa"/>
          </w:tcPr>
          <w:p>
            <w:pPr>
              <w:widowControl w:val="0"/>
              <w:numPr>
                <w:ilvl w:val="0"/>
                <w:numId w:val="61"/>
              </w:numPr>
              <w:ind w:left="0" w:firstLine="0"/>
              <w:rPr>
                <w:rFonts w:eastAsia="Times New Roman"/>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Химический анализ металла</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1</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c>
          <w:tcPr>
            <w:tcW w:w="591" w:type="dxa"/>
          </w:tcPr>
          <w:p>
            <w:pPr>
              <w:widowControl w:val="0"/>
              <w:numPr>
                <w:ilvl w:val="0"/>
                <w:numId w:val="61"/>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Измерение твердости</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2</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c>
          <w:tcPr>
            <w:tcW w:w="591" w:type="dxa"/>
          </w:tcPr>
          <w:p>
            <w:pPr>
              <w:widowControl w:val="0"/>
              <w:numPr>
                <w:ilvl w:val="0"/>
                <w:numId w:val="61"/>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Микроструктурные исследования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1</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rPr>
          <w:trHeight w:val="221"/>
        </w:trPr>
        <w:tc>
          <w:tcPr>
            <w:tcW w:w="591" w:type="dxa"/>
          </w:tcPr>
          <w:p>
            <w:pPr>
              <w:widowControl w:val="0"/>
              <w:numPr>
                <w:ilvl w:val="0"/>
                <w:numId w:val="61"/>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Испытание на растяжение</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rPr>
          <w:trHeight w:val="193"/>
        </w:trPr>
        <w:tc>
          <w:tcPr>
            <w:tcW w:w="591" w:type="dxa"/>
          </w:tcPr>
          <w:p>
            <w:pPr>
              <w:widowControl w:val="0"/>
              <w:numPr>
                <w:ilvl w:val="0"/>
                <w:numId w:val="61"/>
              </w:numPr>
              <w:ind w:left="0" w:firstLine="0"/>
              <w:rPr>
                <w:rFonts w:eastAsia="Times New Roman"/>
                <w:sz w:val="20"/>
                <w:szCs w:val="20"/>
              </w:rPr>
            </w:pPr>
          </w:p>
        </w:tc>
        <w:tc>
          <w:tcPr>
            <w:tcW w:w="5026" w:type="dxa"/>
            <w:shd w:val="clear" w:color="auto" w:fill="auto"/>
          </w:tcPr>
          <w:p>
            <w:pPr>
              <w:widowControl w:val="0"/>
              <w:ind w:left="57" w:right="57"/>
              <w:rPr>
                <w:rFonts w:eastAsia="Times New Roman"/>
                <w:sz w:val="20"/>
                <w:szCs w:val="20"/>
              </w:rPr>
            </w:pPr>
            <w:r>
              <w:rPr>
                <w:rFonts w:eastAsia="Times New Roman"/>
                <w:sz w:val="20"/>
                <w:szCs w:val="20"/>
              </w:rPr>
              <w:t xml:space="preserve">Испытания на стойкость к общей коррозии в сероводородсодержащей среде, в соответствии с </w:t>
            </w:r>
            <w:hyperlink w:anchor="_ПРИЛОЖЕНИЕ_3._МЕТОДИКА" w:history="1">
              <w:r>
                <w:rPr>
                  <w:rStyle w:val="a6"/>
                  <w:sz w:val="20"/>
                </w:rPr>
                <w:t>Приложением 3</w:t>
              </w:r>
            </w:hyperlink>
            <w:r>
              <w:rPr>
                <w:rFonts w:eastAsia="Times New Roman"/>
                <w:sz w:val="20"/>
                <w:szCs w:val="20"/>
              </w:rPr>
              <w:t xml:space="preserve">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rPr>
          <w:cantSplit/>
          <w:trHeight w:val="193"/>
        </w:trPr>
        <w:tc>
          <w:tcPr>
            <w:tcW w:w="591" w:type="dxa"/>
          </w:tcPr>
          <w:p>
            <w:pPr>
              <w:widowControl w:val="0"/>
              <w:rPr>
                <w:rFonts w:eastAsia="Times New Roman"/>
                <w:kern w:val="28"/>
                <w:sz w:val="20"/>
                <w:szCs w:val="20"/>
              </w:rPr>
            </w:pPr>
            <w:r>
              <w:rPr>
                <w:rFonts w:eastAsia="Times New Roman"/>
                <w:kern w:val="28"/>
                <w:sz w:val="20"/>
                <w:szCs w:val="20"/>
              </w:rPr>
              <w:t>5</w:t>
            </w:r>
          </w:p>
        </w:tc>
        <w:tc>
          <w:tcPr>
            <w:tcW w:w="9103" w:type="dxa"/>
            <w:gridSpan w:val="3"/>
            <w:shd w:val="clear" w:color="auto" w:fill="auto"/>
          </w:tcPr>
          <w:p>
            <w:pPr>
              <w:widowControl w:val="0"/>
              <w:ind w:left="57" w:right="57"/>
              <w:jc w:val="left"/>
              <w:rPr>
                <w:rFonts w:eastAsia="Times New Roman"/>
                <w:b/>
                <w:kern w:val="28"/>
                <w:sz w:val="20"/>
                <w:szCs w:val="20"/>
              </w:rPr>
            </w:pPr>
            <w:r>
              <w:rPr>
                <w:rFonts w:eastAsia="Times New Roman"/>
                <w:b/>
                <w:noProof/>
                <w:kern w:val="28"/>
                <w:sz w:val="20"/>
                <w:szCs w:val="20"/>
              </w:rPr>
              <w:t>Сварные соединения</w:t>
            </w:r>
            <w:r>
              <w:rPr>
                <w:rFonts w:eastAsia="Times New Roman"/>
                <w:b/>
                <w:noProof/>
                <w:kern w:val="28"/>
                <w:sz w:val="20"/>
                <w:szCs w:val="20"/>
                <w:vertAlign w:val="superscript"/>
              </w:rPr>
              <w:t xml:space="preserve">*** </w:t>
            </w:r>
          </w:p>
        </w:tc>
      </w:tr>
      <w:tr>
        <w:trPr>
          <w:cantSplit/>
          <w:trHeight w:val="203"/>
        </w:trPr>
        <w:tc>
          <w:tcPr>
            <w:tcW w:w="591" w:type="dxa"/>
          </w:tcPr>
          <w:p>
            <w:pPr>
              <w:widowControl w:val="0"/>
              <w:numPr>
                <w:ilvl w:val="0"/>
                <w:numId w:val="62"/>
              </w:numPr>
              <w:ind w:left="0" w:firstLine="0"/>
              <w:rPr>
                <w:rFonts w:eastAsia="Times New Roman"/>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Химический анализ металла</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1</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rPr>
          <w:cantSplit/>
          <w:trHeight w:val="255"/>
        </w:trPr>
        <w:tc>
          <w:tcPr>
            <w:tcW w:w="591" w:type="dxa"/>
          </w:tcPr>
          <w:p>
            <w:pPr>
              <w:widowControl w:val="0"/>
              <w:numPr>
                <w:ilvl w:val="0"/>
                <w:numId w:val="62"/>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Измерение твердости по зонам сварного соединения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2</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rPr>
          <w:cantSplit/>
          <w:trHeight w:val="255"/>
        </w:trPr>
        <w:tc>
          <w:tcPr>
            <w:tcW w:w="591" w:type="dxa"/>
          </w:tcPr>
          <w:p>
            <w:pPr>
              <w:widowControl w:val="0"/>
              <w:numPr>
                <w:ilvl w:val="0"/>
                <w:numId w:val="62"/>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Микро- и макроструктурные исследования</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kern w:val="28"/>
                <w:sz w:val="20"/>
                <w:szCs w:val="20"/>
              </w:rPr>
              <w:t>1</w:t>
            </w:r>
          </w:p>
        </w:tc>
        <w:tc>
          <w:tcPr>
            <w:tcW w:w="2694" w:type="dxa"/>
          </w:tcPr>
          <w:p>
            <w:pPr>
              <w:widowControl w:val="0"/>
              <w:ind w:left="57" w:right="57"/>
              <w:jc w:val="left"/>
              <w:rPr>
                <w:rFonts w:eastAsia="Times New Roman"/>
                <w:kern w:val="28"/>
                <w:sz w:val="20"/>
                <w:szCs w:val="20"/>
              </w:rPr>
            </w:pPr>
            <w:r>
              <w:rPr>
                <w:rFonts w:eastAsia="Times New Roman"/>
                <w:kern w:val="28"/>
                <w:sz w:val="20"/>
                <w:szCs w:val="20"/>
              </w:rPr>
              <w:t>-</w:t>
            </w:r>
          </w:p>
        </w:tc>
      </w:tr>
      <w:tr>
        <w:trPr>
          <w:cantSplit/>
          <w:trHeight w:val="255"/>
        </w:trPr>
        <w:tc>
          <w:tcPr>
            <w:tcW w:w="591" w:type="dxa"/>
          </w:tcPr>
          <w:p>
            <w:pPr>
              <w:widowControl w:val="0"/>
              <w:numPr>
                <w:ilvl w:val="0"/>
                <w:numId w:val="62"/>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Испытание на растяжение</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rPr>
          <w:cantSplit/>
          <w:trHeight w:val="255"/>
        </w:trPr>
        <w:tc>
          <w:tcPr>
            <w:tcW w:w="591" w:type="dxa"/>
          </w:tcPr>
          <w:p>
            <w:pPr>
              <w:widowControl w:val="0"/>
              <w:numPr>
                <w:ilvl w:val="0"/>
                <w:numId w:val="62"/>
              </w:numPr>
              <w:ind w:left="0" w:firstLine="0"/>
              <w:rPr>
                <w:rFonts w:eastAsia="Times New Roman"/>
                <w:noProof/>
                <w:kern w:val="28"/>
                <w:sz w:val="20"/>
                <w:szCs w:val="20"/>
              </w:rPr>
            </w:pPr>
          </w:p>
        </w:tc>
        <w:tc>
          <w:tcPr>
            <w:tcW w:w="5026"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Испытания на ударный изгиб при комнатной и пониженной температурах, </w:t>
            </w:r>
            <w:r>
              <w:rPr>
                <w:rFonts w:eastAsia="Times New Roman"/>
                <w:noProof/>
                <w:kern w:val="28"/>
                <w:sz w:val="20"/>
                <w:szCs w:val="20"/>
                <w:lang w:val="en-US"/>
              </w:rPr>
              <w:t>KCU</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 xml:space="preserve">6 </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3 шт.при плюс 20 </w:t>
            </w:r>
            <w:r>
              <w:rPr>
                <w:rFonts w:eastAsia="Times New Roman"/>
                <w:noProof/>
                <w:kern w:val="28"/>
                <w:sz w:val="20"/>
                <w:szCs w:val="20"/>
                <w:vertAlign w:val="superscript"/>
              </w:rPr>
              <w:t>о</w:t>
            </w:r>
            <w:r>
              <w:rPr>
                <w:rFonts w:eastAsia="Times New Roman"/>
                <w:noProof/>
                <w:kern w:val="28"/>
                <w:sz w:val="20"/>
                <w:szCs w:val="20"/>
              </w:rPr>
              <w:t>С, 3 шт. при пониженной*</w:t>
            </w:r>
          </w:p>
        </w:tc>
      </w:tr>
      <w:tr>
        <w:trPr>
          <w:cantSplit/>
          <w:trHeight w:val="255"/>
        </w:trPr>
        <w:tc>
          <w:tcPr>
            <w:tcW w:w="591" w:type="dxa"/>
          </w:tcPr>
          <w:p>
            <w:pPr>
              <w:widowControl w:val="0"/>
              <w:numPr>
                <w:ilvl w:val="0"/>
                <w:numId w:val="62"/>
              </w:numPr>
              <w:ind w:left="0" w:firstLine="0"/>
              <w:rPr>
                <w:rFonts w:eastAsia="Times New Roman"/>
                <w:sz w:val="20"/>
                <w:szCs w:val="20"/>
              </w:rPr>
            </w:pPr>
          </w:p>
        </w:tc>
        <w:tc>
          <w:tcPr>
            <w:tcW w:w="5026" w:type="dxa"/>
            <w:shd w:val="clear" w:color="auto" w:fill="auto"/>
          </w:tcPr>
          <w:p>
            <w:pPr>
              <w:widowControl w:val="0"/>
              <w:ind w:left="57" w:right="57"/>
              <w:rPr>
                <w:rFonts w:eastAsia="Times New Roman"/>
                <w:sz w:val="20"/>
                <w:szCs w:val="20"/>
              </w:rPr>
            </w:pPr>
            <w:r>
              <w:rPr>
                <w:rFonts w:eastAsia="Times New Roman"/>
                <w:sz w:val="20"/>
                <w:szCs w:val="20"/>
              </w:rPr>
              <w:t xml:space="preserve">Испытания на стойкость к общей коррозии в сероводородсодержащей среде, в соответствии с </w:t>
            </w:r>
            <w:hyperlink w:anchor="_ПРИЛОЖЕНИЕ_3._МЕТОДИКА" w:history="1">
              <w:r>
                <w:rPr>
                  <w:rStyle w:val="a6"/>
                  <w:sz w:val="20"/>
                </w:rPr>
                <w:t>Приложением 3</w:t>
              </w:r>
            </w:hyperlink>
            <w:r>
              <w:rPr>
                <w:rFonts w:eastAsia="Times New Roman"/>
                <w:sz w:val="20"/>
                <w:szCs w:val="20"/>
              </w:rPr>
              <w:t xml:space="preserve">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w:t>
            </w:r>
          </w:p>
        </w:tc>
      </w:tr>
      <w:tr>
        <w:trPr>
          <w:cantSplit/>
          <w:trHeight w:val="186"/>
        </w:trPr>
        <w:tc>
          <w:tcPr>
            <w:tcW w:w="591" w:type="dxa"/>
          </w:tcPr>
          <w:p>
            <w:pPr>
              <w:widowControl w:val="0"/>
              <w:numPr>
                <w:ilvl w:val="0"/>
                <w:numId w:val="62"/>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ВР</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2</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Для эксплуатации арматуры в рабочих средах, содержащих </w:t>
            </w:r>
          </w:p>
          <w:p>
            <w:pPr>
              <w:widowControl w:val="0"/>
              <w:ind w:left="57" w:right="57"/>
              <w:jc w:val="left"/>
              <w:rPr>
                <w:rFonts w:eastAsia="Times New Roman"/>
                <w:noProof/>
                <w:kern w:val="28"/>
                <w:sz w:val="20"/>
                <w:szCs w:val="20"/>
              </w:rPr>
            </w:pPr>
            <w:r>
              <w:rPr>
                <w:rFonts w:eastAsia="Times New Roman"/>
                <w:noProof/>
                <w:kern w:val="28"/>
                <w:sz w:val="20"/>
                <w:szCs w:val="20"/>
              </w:rPr>
              <w:t>Р</w:t>
            </w:r>
            <w:r>
              <w:rPr>
                <w:rFonts w:eastAsia="Times New Roman"/>
                <w:noProof/>
                <w:kern w:val="28"/>
                <w:sz w:val="20"/>
                <w:szCs w:val="20"/>
                <w:vertAlign w:val="subscript"/>
              </w:rPr>
              <w:t>H2S</w:t>
            </w:r>
            <w:r>
              <w:rPr>
                <w:rFonts w:eastAsia="Times New Roman"/>
                <w:noProof/>
                <w:kern w:val="28"/>
                <w:sz w:val="20"/>
                <w:szCs w:val="20"/>
              </w:rPr>
              <w:t xml:space="preserve"> &gt; 300 кПа в газовой фазе</w:t>
            </w:r>
          </w:p>
        </w:tc>
      </w:tr>
      <w:tr>
        <w:trPr>
          <w:cantSplit/>
          <w:trHeight w:val="218"/>
        </w:trPr>
        <w:tc>
          <w:tcPr>
            <w:tcW w:w="591" w:type="dxa"/>
          </w:tcPr>
          <w:p>
            <w:pPr>
              <w:widowControl w:val="0"/>
              <w:numPr>
                <w:ilvl w:val="0"/>
                <w:numId w:val="62"/>
              </w:numPr>
              <w:ind w:left="0" w:firstLine="0"/>
              <w:rPr>
                <w:rFonts w:eastAsia="Times New Roman"/>
                <w:sz w:val="20"/>
                <w:szCs w:val="20"/>
              </w:rPr>
            </w:pPr>
          </w:p>
        </w:tc>
        <w:tc>
          <w:tcPr>
            <w:tcW w:w="5026" w:type="dxa"/>
            <w:shd w:val="clear" w:color="auto" w:fill="auto"/>
          </w:tcPr>
          <w:p>
            <w:pPr>
              <w:widowControl w:val="0"/>
              <w:ind w:left="57" w:right="57"/>
              <w:jc w:val="left"/>
              <w:rPr>
                <w:rFonts w:eastAsia="Times New Roman"/>
                <w:sz w:val="20"/>
                <w:szCs w:val="20"/>
              </w:rPr>
            </w:pPr>
            <w:r>
              <w:rPr>
                <w:rFonts w:eastAsia="Times New Roman"/>
                <w:sz w:val="20"/>
                <w:szCs w:val="20"/>
              </w:rPr>
              <w:t>Испытания на стойкость к СКРН, в соответствии с Таблицей 11 настоящих Методических указаний</w:t>
            </w:r>
          </w:p>
        </w:tc>
        <w:tc>
          <w:tcPr>
            <w:tcW w:w="1383" w:type="dxa"/>
            <w:shd w:val="clear" w:color="auto" w:fill="auto"/>
          </w:tcPr>
          <w:p>
            <w:pPr>
              <w:widowControl w:val="0"/>
              <w:ind w:left="57" w:right="57"/>
              <w:jc w:val="left"/>
              <w:rPr>
                <w:rFonts w:eastAsia="Times New Roman"/>
                <w:noProof/>
                <w:kern w:val="28"/>
                <w:sz w:val="20"/>
                <w:szCs w:val="20"/>
              </w:rPr>
            </w:pPr>
            <w:r>
              <w:rPr>
                <w:rFonts w:eastAsia="Times New Roman"/>
                <w:noProof/>
                <w:kern w:val="28"/>
                <w:sz w:val="20"/>
                <w:szCs w:val="20"/>
              </w:rPr>
              <w:t>3</w:t>
            </w:r>
          </w:p>
        </w:tc>
        <w:tc>
          <w:tcPr>
            <w:tcW w:w="2694" w:type="dxa"/>
          </w:tcPr>
          <w:p>
            <w:pPr>
              <w:widowControl w:val="0"/>
              <w:ind w:left="57" w:right="57"/>
              <w:jc w:val="left"/>
              <w:rPr>
                <w:rFonts w:eastAsia="Times New Roman"/>
                <w:noProof/>
                <w:kern w:val="28"/>
                <w:sz w:val="20"/>
                <w:szCs w:val="20"/>
              </w:rPr>
            </w:pPr>
            <w:r>
              <w:rPr>
                <w:rFonts w:eastAsia="Times New Roman"/>
                <w:noProof/>
                <w:kern w:val="28"/>
                <w:sz w:val="20"/>
                <w:szCs w:val="20"/>
              </w:rPr>
              <w:t xml:space="preserve">Для эксплуатации арматуры в рабочих средах, содержащих </w:t>
            </w:r>
          </w:p>
          <w:p>
            <w:pPr>
              <w:widowControl w:val="0"/>
              <w:ind w:left="57" w:right="57"/>
              <w:jc w:val="left"/>
              <w:rPr>
                <w:rFonts w:eastAsia="Times New Roman"/>
                <w:noProof/>
                <w:kern w:val="28"/>
                <w:sz w:val="20"/>
                <w:szCs w:val="20"/>
              </w:rPr>
            </w:pPr>
            <w:r>
              <w:rPr>
                <w:rFonts w:eastAsia="Times New Roman"/>
                <w:noProof/>
                <w:kern w:val="28"/>
                <w:sz w:val="20"/>
                <w:szCs w:val="20"/>
              </w:rPr>
              <w:t>Р</w:t>
            </w:r>
            <w:r>
              <w:rPr>
                <w:rFonts w:eastAsia="Times New Roman"/>
                <w:noProof/>
                <w:kern w:val="28"/>
                <w:sz w:val="20"/>
                <w:szCs w:val="20"/>
                <w:vertAlign w:val="subscript"/>
              </w:rPr>
              <w:t>H2S</w:t>
            </w:r>
            <w:r>
              <w:rPr>
                <w:rFonts w:eastAsia="Times New Roman"/>
                <w:noProof/>
                <w:kern w:val="28"/>
                <w:sz w:val="20"/>
                <w:szCs w:val="20"/>
              </w:rPr>
              <w:t xml:space="preserve"> &gt; 300 кПа в газовой фазе</w:t>
            </w:r>
          </w:p>
        </w:tc>
      </w:tr>
    </w:tbl>
    <w:p>
      <w:pPr>
        <w:widowControl w:val="0"/>
        <w:tabs>
          <w:tab w:val="left" w:pos="539"/>
        </w:tabs>
        <w:ind w:left="567"/>
        <w:rPr>
          <w:i/>
          <w:u w:val="single"/>
        </w:rPr>
      </w:pPr>
    </w:p>
    <w:p>
      <w:pPr>
        <w:widowControl w:val="0"/>
        <w:tabs>
          <w:tab w:val="left" w:pos="539"/>
        </w:tabs>
        <w:ind w:left="567"/>
        <w:rPr>
          <w:i/>
        </w:rPr>
      </w:pPr>
      <w:r>
        <w:rPr>
          <w:i/>
          <w:u w:val="single"/>
        </w:rPr>
        <w:t>Примечание:</w:t>
      </w:r>
      <w:r>
        <w:rPr>
          <w:i/>
        </w:rPr>
        <w:t>* Температура испытания устанавливается в зависимости от климатического исполнения арматуры (У, УХЛ по ГОСТ 15150), в соответствии с настоящими Методическими указаниями.</w:t>
      </w:r>
    </w:p>
    <w:p>
      <w:pPr>
        <w:widowControl w:val="0"/>
        <w:tabs>
          <w:tab w:val="left" w:pos="539"/>
        </w:tabs>
        <w:ind w:left="567"/>
        <w:rPr>
          <w:i/>
        </w:rPr>
      </w:pPr>
    </w:p>
    <w:p>
      <w:pPr>
        <w:widowControl w:val="0"/>
        <w:tabs>
          <w:tab w:val="left" w:pos="539"/>
        </w:tabs>
        <w:ind w:left="567"/>
        <w:rPr>
          <w:i/>
        </w:rPr>
      </w:pPr>
      <w:r>
        <w:rPr>
          <w:i/>
          <w:u w:val="single"/>
        </w:rPr>
        <w:t>Примечание:</w:t>
      </w:r>
      <w:r>
        <w:rPr>
          <w:i/>
        </w:rPr>
        <w:t xml:space="preserve">** При изготовлении корпуса и крышки крана шарового из одного </w:t>
      </w:r>
      <w:r>
        <w:rPr>
          <w:i/>
        </w:rPr>
        <w:lastRenderedPageBreak/>
        <w:t>материала и одной партии испытания проводятся на корпусе с распространением результатов на крышку.</w:t>
      </w:r>
    </w:p>
    <w:p>
      <w:pPr>
        <w:widowControl w:val="0"/>
        <w:tabs>
          <w:tab w:val="left" w:pos="539"/>
        </w:tabs>
        <w:ind w:left="567"/>
        <w:rPr>
          <w:i/>
        </w:rPr>
      </w:pPr>
    </w:p>
    <w:p>
      <w:pPr>
        <w:widowControl w:val="0"/>
        <w:tabs>
          <w:tab w:val="left" w:pos="539"/>
        </w:tabs>
        <w:ind w:left="567"/>
        <w:rPr>
          <w:i/>
        </w:rPr>
      </w:pPr>
      <w:r>
        <w:rPr>
          <w:i/>
          <w:u w:val="single"/>
        </w:rPr>
        <w:t>Примечание:</w:t>
      </w:r>
      <w:r>
        <w:rPr>
          <w:i/>
        </w:rPr>
        <w:t>***</w:t>
      </w:r>
      <w:r>
        <w:rPr>
          <w:i/>
          <w:vertAlign w:val="superscript"/>
        </w:rPr>
        <w:t xml:space="preserve"> </w:t>
      </w:r>
      <w:r>
        <w:rPr>
          <w:i/>
        </w:rPr>
        <w:t>Указанное в Таблице 44 количество образцов отбирается от каждого сварного соединения изделия.</w:t>
      </w:r>
    </w:p>
    <w:p>
      <w:pPr>
        <w:jc w:val="left"/>
        <w:rPr>
          <w:szCs w:val="28"/>
        </w:rPr>
      </w:pPr>
    </w:p>
    <w:p>
      <w:pPr>
        <w:jc w:val="left"/>
        <w:rPr>
          <w:szCs w:val="28"/>
        </w:rPr>
      </w:pPr>
      <w:r>
        <w:rPr>
          <w:szCs w:val="28"/>
        </w:rPr>
        <w:t xml:space="preserve">Типовые программы работ, предусматривающие отбор образцов и проведение лабораторных испытаний, указаны в: </w:t>
      </w:r>
    </w:p>
    <w:p>
      <w:pPr>
        <w:pStyle w:val="affd"/>
        <w:widowControl w:val="0"/>
        <w:numPr>
          <w:ilvl w:val="0"/>
          <w:numId w:val="68"/>
        </w:numPr>
        <w:spacing w:before="120" w:line="240" w:lineRule="auto"/>
        <w:ind w:left="465" w:hanging="284"/>
        <w:contextualSpacing w:val="0"/>
        <w:rPr>
          <w:rFonts w:ascii="Times New Roman" w:hAnsi="Times New Roman"/>
          <w:i/>
          <w:snapToGrid w:val="0"/>
          <w:sz w:val="24"/>
          <w:lang w:eastAsia="ru-RU"/>
        </w:rPr>
      </w:pPr>
      <w:r>
        <w:rPr>
          <w:rFonts w:ascii="Times New Roman" w:hAnsi="Times New Roman"/>
          <w:sz w:val="24"/>
          <w:szCs w:val="28"/>
        </w:rPr>
        <w:t xml:space="preserve">программе работ по испытанию </w:t>
      </w:r>
      <w:r>
        <w:rPr>
          <w:rFonts w:ascii="Times New Roman" w:eastAsia="Times New Roman" w:hAnsi="Times New Roman"/>
          <w:sz w:val="24"/>
        </w:rPr>
        <w:t xml:space="preserve">шаровых кранов </w:t>
      </w:r>
      <w:r>
        <w:rPr>
          <w:rFonts w:ascii="Times New Roman" w:hAnsi="Times New Roman"/>
          <w:sz w:val="24"/>
          <w:szCs w:val="28"/>
        </w:rPr>
        <w:t>из стали без специальных требований к стойкости против СКРН</w:t>
      </w:r>
      <w:r>
        <w:rPr>
          <w:rFonts w:ascii="Times New Roman" w:hAnsi="Times New Roman"/>
          <w:snapToGrid w:val="0"/>
          <w:sz w:val="24"/>
          <w:lang w:eastAsia="ru-RU"/>
        </w:rPr>
        <w:t xml:space="preserve"> программа работ по испытанию </w:t>
      </w:r>
      <w:r>
        <w:rPr>
          <w:rFonts w:ascii="Times New Roman" w:eastAsia="Times New Roman" w:hAnsi="Times New Roman"/>
          <w:sz w:val="24"/>
        </w:rPr>
        <w:t xml:space="preserve">шаровых кранов </w:t>
      </w:r>
      <w:r>
        <w:rPr>
          <w:rFonts w:ascii="Times New Roman" w:hAnsi="Times New Roman"/>
          <w:snapToGrid w:val="0"/>
          <w:sz w:val="24"/>
          <w:lang w:eastAsia="ru-RU"/>
        </w:rPr>
        <w:t>из стали стойких к коррозионному растрескиванию;</w:t>
      </w:r>
    </w:p>
    <w:p>
      <w:pPr>
        <w:pStyle w:val="affd"/>
        <w:widowControl w:val="0"/>
        <w:numPr>
          <w:ilvl w:val="0"/>
          <w:numId w:val="68"/>
        </w:numPr>
        <w:spacing w:before="120" w:line="240" w:lineRule="auto"/>
        <w:ind w:left="465" w:hanging="284"/>
        <w:contextualSpacing w:val="0"/>
        <w:rPr>
          <w:rFonts w:ascii="Times New Roman" w:hAnsi="Times New Roman"/>
          <w:i/>
          <w:snapToGrid w:val="0"/>
          <w:sz w:val="24"/>
          <w:lang w:eastAsia="ru-RU"/>
        </w:rPr>
      </w:pPr>
      <w:r>
        <w:rPr>
          <w:rFonts w:ascii="Times New Roman" w:hAnsi="Times New Roman"/>
          <w:snapToGrid w:val="0"/>
          <w:sz w:val="24"/>
          <w:lang w:eastAsia="ru-RU"/>
        </w:rPr>
        <w:t xml:space="preserve">программе работ по испытанию </w:t>
      </w:r>
      <w:r>
        <w:rPr>
          <w:rFonts w:ascii="Times New Roman" w:eastAsia="Times New Roman" w:hAnsi="Times New Roman"/>
          <w:sz w:val="24"/>
        </w:rPr>
        <w:t xml:space="preserve">шаровых кранов </w:t>
      </w:r>
      <w:r>
        <w:rPr>
          <w:rFonts w:ascii="Times New Roman" w:hAnsi="Times New Roman"/>
          <w:snapToGrid w:val="0"/>
          <w:sz w:val="24"/>
          <w:lang w:eastAsia="ru-RU"/>
        </w:rPr>
        <w:t>из стали стойких к коррозионному растрескиванию;</w:t>
      </w:r>
    </w:p>
    <w:p>
      <w:pPr>
        <w:pStyle w:val="affd"/>
        <w:widowControl w:val="0"/>
        <w:numPr>
          <w:ilvl w:val="0"/>
          <w:numId w:val="68"/>
        </w:numPr>
        <w:tabs>
          <w:tab w:val="left" w:pos="709"/>
        </w:tabs>
        <w:spacing w:before="120" w:line="240" w:lineRule="auto"/>
        <w:ind w:left="465" w:hanging="284"/>
        <w:contextualSpacing w:val="0"/>
        <w:rPr>
          <w:szCs w:val="28"/>
        </w:rPr>
      </w:pPr>
      <w:r>
        <w:rPr>
          <w:rFonts w:ascii="Times New Roman" w:hAnsi="Times New Roman"/>
          <w:snapToGrid w:val="0"/>
          <w:sz w:val="24"/>
          <w:lang w:eastAsia="ru-RU"/>
        </w:rPr>
        <w:t xml:space="preserve">программе работ по испытанию </w:t>
      </w:r>
      <w:r>
        <w:rPr>
          <w:rFonts w:ascii="Times New Roman" w:eastAsia="Times New Roman" w:hAnsi="Times New Roman"/>
          <w:sz w:val="24"/>
        </w:rPr>
        <w:t xml:space="preserve">шаровых кранов </w:t>
      </w:r>
      <w:r>
        <w:rPr>
          <w:rFonts w:ascii="Times New Roman" w:hAnsi="Times New Roman"/>
          <w:snapToGrid w:val="0"/>
          <w:sz w:val="24"/>
          <w:lang w:eastAsia="ru-RU"/>
        </w:rPr>
        <w:t>из стали высоколегированной (нержавеющей).</w:t>
      </w:r>
    </w:p>
    <w:p>
      <w:pPr>
        <w:widowControl w:val="0"/>
        <w:tabs>
          <w:tab w:val="left" w:pos="539"/>
        </w:tabs>
        <w:rPr>
          <w:szCs w:val="28"/>
        </w:rPr>
        <w:sectPr>
          <w:pgSz w:w="11906" w:h="16838"/>
          <w:pgMar w:top="510" w:right="1021" w:bottom="567" w:left="1247" w:header="737" w:footer="680" w:gutter="0"/>
          <w:cols w:space="708"/>
          <w:docGrid w:linePitch="360"/>
        </w:sectPr>
      </w:pPr>
    </w:p>
    <w:p>
      <w:pPr>
        <w:jc w:val="center"/>
        <w:rPr>
          <w:rFonts w:ascii="Arial" w:hAnsi="Arial" w:cs="Arial"/>
          <w:b/>
          <w:i/>
          <w:snapToGrid w:val="0"/>
        </w:rPr>
      </w:pPr>
      <w:bookmarkStart w:id="331" w:name="_Toc484014604"/>
      <w:r>
        <w:rPr>
          <w:rFonts w:ascii="Arial" w:hAnsi="Arial" w:cs="Arial"/>
          <w:b/>
          <w:snapToGrid w:val="0"/>
        </w:rPr>
        <w:lastRenderedPageBreak/>
        <w:t>АКТ ОТБОРА ИЗДЕЛИЯ И ОБРАЗЦОВ НА ИСПЫТАНИЯ</w:t>
      </w:r>
      <w:bookmarkEnd w:id="331"/>
    </w:p>
    <w:p>
      <w:pPr>
        <w:jc w:val="center"/>
        <w:rPr>
          <w:rFonts w:eastAsia="Times New Roman"/>
          <w:b/>
        </w:rPr>
      </w:pPr>
    </w:p>
    <w:p>
      <w:pPr>
        <w:jc w:val="center"/>
        <w:rPr>
          <w:rFonts w:eastAsia="Times New Roman"/>
          <w:b/>
        </w:rPr>
      </w:pPr>
      <w:r>
        <w:rPr>
          <w:rFonts w:eastAsia="Times New Roman"/>
          <w:b/>
        </w:rPr>
        <w:t>Акт</w:t>
      </w:r>
    </w:p>
    <w:p>
      <w:pPr>
        <w:jc w:val="center"/>
        <w:rPr>
          <w:rFonts w:eastAsia="Times New Roman"/>
          <w:b/>
        </w:rPr>
      </w:pPr>
      <w:r>
        <w:rPr>
          <w:rFonts w:eastAsia="Times New Roman"/>
          <w:b/>
        </w:rPr>
        <w:t xml:space="preserve">отбора изделия и образцов на испытания </w:t>
      </w:r>
    </w:p>
    <w:p>
      <w:pPr>
        <w:jc w:val="center"/>
        <w:rPr>
          <w:rFonts w:eastAsia="Times New Roman"/>
          <w:b/>
        </w:rPr>
      </w:pPr>
      <w:r>
        <w:rPr>
          <w:rFonts w:eastAsia="Times New Roman"/>
          <w:b/>
        </w:rPr>
        <w:t>№________от __._________ 20_ г.</w:t>
      </w:r>
    </w:p>
    <w:p>
      <w:pPr>
        <w:rPr>
          <w:rFonts w:eastAsia="Times New Roman"/>
        </w:rPr>
      </w:pPr>
    </w:p>
    <w:p>
      <w:pPr>
        <w:rPr>
          <w:rFonts w:eastAsia="Times New Roman"/>
        </w:rPr>
      </w:pPr>
      <w:r>
        <w:rPr>
          <w:rFonts w:eastAsia="Times New Roman"/>
        </w:rPr>
        <w:t>Составлен комиссией:</w:t>
      </w:r>
    </w:p>
    <w:p>
      <w:pPr>
        <w:spacing w:before="120"/>
        <w:rPr>
          <w:rFonts w:eastAsia="Times New Roman"/>
        </w:rPr>
      </w:pPr>
      <w:r>
        <w:rPr>
          <w:rFonts w:eastAsia="Times New Roman"/>
        </w:rPr>
        <w:t>____________________________________________________________________________</w:t>
      </w:r>
      <w:r>
        <w:rPr>
          <w:rFonts w:eastAsia="Times New Roman"/>
        </w:rPr>
        <w:tab/>
      </w:r>
    </w:p>
    <w:p>
      <w:pPr>
        <w:jc w:val="center"/>
        <w:rPr>
          <w:rFonts w:eastAsia="Times New Roman"/>
          <w:sz w:val="16"/>
          <w:szCs w:val="16"/>
        </w:rPr>
      </w:pPr>
      <w:r>
        <w:rPr>
          <w:rFonts w:eastAsia="Times New Roman"/>
          <w:sz w:val="16"/>
          <w:szCs w:val="16"/>
        </w:rPr>
        <w:t>(должность, инициалы, фамилия)</w:t>
      </w:r>
    </w:p>
    <w:p>
      <w:pPr>
        <w:spacing w:before="120"/>
        <w:rPr>
          <w:rFonts w:eastAsia="Times New Roman"/>
        </w:rPr>
      </w:pPr>
      <w:r>
        <w:rPr>
          <w:rFonts w:eastAsia="Times New Roman"/>
        </w:rPr>
        <w:t>__________________________________________________________________________</w:t>
      </w:r>
      <w:r>
        <w:rPr>
          <w:rFonts w:eastAsia="Times New Roman"/>
        </w:rPr>
        <w:tab/>
      </w:r>
    </w:p>
    <w:p>
      <w:pPr>
        <w:jc w:val="center"/>
        <w:rPr>
          <w:rFonts w:eastAsia="Times New Roman"/>
          <w:sz w:val="16"/>
          <w:szCs w:val="16"/>
        </w:rPr>
      </w:pPr>
      <w:r>
        <w:rPr>
          <w:rFonts w:eastAsia="Times New Roman"/>
          <w:sz w:val="16"/>
          <w:szCs w:val="16"/>
        </w:rPr>
        <w:t>(должность, инициалы, фамилия)</w:t>
      </w:r>
    </w:p>
    <w:p>
      <w:pPr>
        <w:spacing w:before="120"/>
        <w:rPr>
          <w:rFonts w:eastAsia="Times New Roman"/>
        </w:rPr>
      </w:pPr>
      <w:r>
        <w:rPr>
          <w:rFonts w:eastAsia="Times New Roman"/>
        </w:rPr>
        <w:t>________________________________________________________________</w:t>
      </w:r>
      <w:r>
        <w:rPr>
          <w:rFonts w:eastAsia="Times New Roman"/>
        </w:rPr>
        <w:tab/>
        <w:t>___________</w:t>
      </w:r>
      <w:r>
        <w:rPr>
          <w:rFonts w:eastAsia="Times New Roman"/>
        </w:rPr>
        <w:tab/>
      </w:r>
    </w:p>
    <w:p>
      <w:pPr>
        <w:jc w:val="center"/>
        <w:rPr>
          <w:rFonts w:eastAsia="Times New Roman"/>
          <w:sz w:val="16"/>
          <w:szCs w:val="16"/>
        </w:rPr>
      </w:pPr>
      <w:r>
        <w:rPr>
          <w:rFonts w:eastAsia="Times New Roman"/>
          <w:sz w:val="16"/>
          <w:szCs w:val="16"/>
        </w:rPr>
        <w:t>(должность, инициалы, фамилия)</w:t>
      </w:r>
    </w:p>
    <w:p>
      <w:pPr>
        <w:spacing w:before="120"/>
        <w:rPr>
          <w:rFonts w:eastAsia="Times New Roman"/>
        </w:rPr>
      </w:pPr>
      <w:r>
        <w:rPr>
          <w:rFonts w:eastAsia="Times New Roman"/>
        </w:rPr>
        <w:t>Наименование изделия</w:t>
      </w:r>
      <w:r>
        <w:rPr>
          <w:rFonts w:eastAsia="Times New Roman"/>
        </w:rPr>
        <w:softHyphen/>
      </w:r>
      <w:r>
        <w:rPr>
          <w:rFonts w:eastAsia="Times New Roman"/>
        </w:rPr>
        <w:softHyphen/>
      </w:r>
      <w:r>
        <w:rPr>
          <w:rFonts w:eastAsia="Times New Roman"/>
        </w:rPr>
        <w:softHyphen/>
      </w:r>
      <w:r>
        <w:rPr>
          <w:rFonts w:eastAsia="Times New Roman"/>
        </w:rPr>
        <w:softHyphen/>
      </w:r>
      <w:r>
        <w:rPr>
          <w:rFonts w:eastAsia="Times New Roman"/>
        </w:rPr>
        <w:softHyphen/>
      </w:r>
      <w:r>
        <w:rPr>
          <w:rFonts w:eastAsia="Times New Roman"/>
        </w:rPr>
        <w:softHyphen/>
      </w:r>
      <w:r>
        <w:rPr>
          <w:rFonts w:eastAsia="Times New Roman"/>
        </w:rPr>
        <w:softHyphen/>
      </w:r>
      <w:r>
        <w:rPr>
          <w:rFonts w:eastAsia="Times New Roman"/>
        </w:rPr>
        <w:softHyphen/>
      </w:r>
      <w:r>
        <w:rPr>
          <w:rFonts w:eastAsia="Times New Roman"/>
        </w:rPr>
        <w:softHyphen/>
        <w:t>_________________________________________</w:t>
      </w:r>
      <w:r>
        <w:rPr>
          <w:rFonts w:eastAsia="Times New Roman"/>
          <w:lang w:val="en-US"/>
        </w:rPr>
        <w:t>DN</w:t>
      </w:r>
      <w:r>
        <w:rPr>
          <w:rFonts w:eastAsia="Times New Roman"/>
        </w:rPr>
        <w:t xml:space="preserve">_____, </w:t>
      </w:r>
      <w:r>
        <w:rPr>
          <w:rFonts w:eastAsia="Times New Roman"/>
          <w:lang w:val="en-US"/>
        </w:rPr>
        <w:t>PN</w:t>
      </w:r>
      <w:r>
        <w:rPr>
          <w:rFonts w:eastAsia="Times New Roman"/>
        </w:rPr>
        <w:t>____</w:t>
      </w:r>
    </w:p>
    <w:p>
      <w:pPr>
        <w:spacing w:before="120"/>
        <w:rPr>
          <w:rFonts w:eastAsia="Times New Roman"/>
        </w:rPr>
      </w:pPr>
      <w:r>
        <w:rPr>
          <w:rFonts w:eastAsia="Times New Roman"/>
        </w:rPr>
        <w:t>Серийный номер изделия_____________________________________________________</w:t>
      </w:r>
    </w:p>
    <w:p>
      <w:pPr>
        <w:spacing w:before="120"/>
        <w:rPr>
          <w:rFonts w:eastAsia="Times New Roman"/>
        </w:rPr>
      </w:pPr>
      <w:r>
        <w:rPr>
          <w:rFonts w:eastAsia="Times New Roman"/>
        </w:rPr>
        <w:t>Дата выпуска изделия________________________________________________________</w:t>
      </w:r>
    </w:p>
    <w:p>
      <w:pPr>
        <w:spacing w:before="120"/>
        <w:rPr>
          <w:rFonts w:eastAsia="Times New Roman"/>
        </w:rPr>
      </w:pPr>
      <w:r>
        <w:rPr>
          <w:rFonts w:eastAsia="Times New Roman"/>
        </w:rPr>
        <w:t>Паспорт изделия №__________________________________________________________</w:t>
      </w:r>
    </w:p>
    <w:p>
      <w:pPr>
        <w:spacing w:before="120"/>
        <w:rPr>
          <w:rFonts w:eastAsia="Times New Roman"/>
          <w:u w:val="single"/>
        </w:rPr>
      </w:pPr>
      <w:r>
        <w:rPr>
          <w:rFonts w:eastAsia="Times New Roman"/>
        </w:rPr>
        <w:t>Нормативно-технический документ____________________________________________</w:t>
      </w:r>
    </w:p>
    <w:p>
      <w:pPr>
        <w:spacing w:before="120"/>
        <w:rPr>
          <w:rFonts w:eastAsia="Times New Roman"/>
        </w:rPr>
      </w:pPr>
      <w:r>
        <w:rPr>
          <w:rFonts w:eastAsia="Times New Roman"/>
        </w:rPr>
        <w:t>Завод – изготовитель________________________________________________________</w:t>
      </w:r>
    </w:p>
    <w:p>
      <w:pPr>
        <w:spacing w:before="120"/>
        <w:rPr>
          <w:rFonts w:eastAsia="Times New Roman"/>
        </w:rPr>
      </w:pPr>
      <w:r>
        <w:rPr>
          <w:rFonts w:eastAsia="Times New Roman"/>
        </w:rPr>
        <w:t>Технические характеристики и условия эксплуатации:</w:t>
      </w:r>
    </w:p>
    <w:p>
      <w:pPr>
        <w:spacing w:before="120"/>
        <w:rPr>
          <w:rFonts w:eastAsia="Times New Roman"/>
        </w:rPr>
      </w:pPr>
      <w:r>
        <w:rPr>
          <w:rFonts w:eastAsia="Times New Roman"/>
        </w:rPr>
        <w:t>Материал корпуса___________________________________________________________</w:t>
      </w:r>
    </w:p>
    <w:p>
      <w:pPr>
        <w:spacing w:before="120"/>
        <w:rPr>
          <w:rFonts w:eastAsia="Times New Roman"/>
        </w:rPr>
      </w:pPr>
      <w:r>
        <w:rPr>
          <w:rFonts w:eastAsia="Times New Roman"/>
        </w:rPr>
        <w:t>Климатическое исполнение___________________________________________________</w:t>
      </w:r>
    </w:p>
    <w:p>
      <w:pPr>
        <w:spacing w:before="120"/>
        <w:rPr>
          <w:rFonts w:eastAsia="Times New Roman"/>
        </w:rPr>
      </w:pPr>
      <w:r>
        <w:rPr>
          <w:rFonts w:eastAsia="Times New Roman"/>
        </w:rPr>
        <w:t>Рабочая среда_______________________________________________________________</w:t>
      </w:r>
    </w:p>
    <w:p>
      <w:pPr>
        <w:spacing w:before="120"/>
        <w:rPr>
          <w:rFonts w:eastAsia="Times New Roman"/>
        </w:rPr>
      </w:pPr>
      <w:r>
        <w:rPr>
          <w:rFonts w:eastAsia="Times New Roman"/>
        </w:rPr>
        <w:t>Температура рабочей среды максимальная_______, минимальная___________________</w:t>
      </w:r>
    </w:p>
    <w:p>
      <w:pPr>
        <w:spacing w:before="120"/>
        <w:rPr>
          <w:rFonts w:eastAsia="Times New Roman"/>
        </w:rPr>
      </w:pPr>
      <w:r>
        <w:rPr>
          <w:rFonts w:eastAsia="Times New Roman"/>
        </w:rPr>
        <w:t>Температура окружающей среды максимальная_____, минимальная_________________</w:t>
      </w:r>
    </w:p>
    <w:p>
      <w:pPr>
        <w:spacing w:before="120"/>
        <w:rPr>
          <w:rFonts w:eastAsia="Times New Roman"/>
          <w:u w:val="single"/>
        </w:rPr>
      </w:pPr>
      <w:r>
        <w:rPr>
          <w:rFonts w:eastAsia="Times New Roman"/>
        </w:rPr>
        <w:t xml:space="preserve">Место отбора изделия и/или образцов </w:t>
      </w:r>
      <w:r>
        <w:rPr>
          <w:rFonts w:eastAsia="Times New Roman"/>
          <w:u w:val="single"/>
        </w:rPr>
        <w:tab/>
      </w:r>
      <w:r>
        <w:rPr>
          <w:rFonts w:eastAsia="Times New Roman"/>
        </w:rPr>
        <w:t>__________________________________________</w:t>
      </w:r>
    </w:p>
    <w:p>
      <w:pPr>
        <w:spacing w:before="120"/>
        <w:jc w:val="left"/>
        <w:rPr>
          <w:rFonts w:eastAsia="Times New Roman"/>
        </w:rPr>
      </w:pPr>
      <w:r>
        <w:rPr>
          <w:rFonts w:eastAsia="Times New Roman"/>
        </w:rPr>
        <w:t>Цель обора изделия и образцов ________________________________________________</w:t>
      </w:r>
    </w:p>
    <w:p>
      <w:pPr>
        <w:spacing w:before="120"/>
        <w:jc w:val="left"/>
        <w:rPr>
          <w:rFonts w:eastAsia="Times New Roman"/>
        </w:rPr>
      </w:pPr>
      <w:r>
        <w:rPr>
          <w:rFonts w:eastAsia="Times New Roman"/>
        </w:rPr>
        <w:t>Количество образцов и номера плавок___________________________________________</w:t>
      </w:r>
    </w:p>
    <w:p>
      <w:pPr>
        <w:spacing w:before="120"/>
        <w:rPr>
          <w:rFonts w:eastAsia="Times New Roman"/>
          <w:u w:val="single"/>
        </w:rPr>
      </w:pPr>
      <w:r>
        <w:rPr>
          <w:rFonts w:eastAsia="Times New Roman"/>
        </w:rPr>
        <w:t>Примечания:</w:t>
      </w:r>
      <w:r>
        <w:rPr>
          <w:rFonts w:eastAsia="Times New Roman"/>
          <w:u w:val="single"/>
        </w:rPr>
        <w:tab/>
        <w:t xml:space="preserve">       </w:t>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p>
    <w:p>
      <w:pPr>
        <w:rPr>
          <w:rFonts w:eastAsia="Times New Roman"/>
        </w:rPr>
      </w:pPr>
      <w:r>
        <w:rPr>
          <w:rFonts w:eastAsia="Times New Roman"/>
        </w:rPr>
        <w:t>Подписи:</w:t>
      </w:r>
    </w:p>
    <w:p>
      <w:pPr>
        <w:rPr>
          <w:rFonts w:eastAsia="Times New Roman"/>
          <w:u w:val="single"/>
        </w:rPr>
      </w:pP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p>
    <w:p>
      <w:pPr>
        <w:jc w:val="center"/>
        <w:rPr>
          <w:rFonts w:eastAsia="Times New Roman"/>
          <w:sz w:val="16"/>
          <w:szCs w:val="16"/>
        </w:rPr>
      </w:pPr>
      <w:r>
        <w:rPr>
          <w:rFonts w:eastAsia="Times New Roman"/>
          <w:sz w:val="16"/>
          <w:szCs w:val="16"/>
        </w:rPr>
        <w:t>(подпись, Ф.И.О.)</w:t>
      </w:r>
    </w:p>
    <w:p>
      <w:pPr>
        <w:rPr>
          <w:rFonts w:eastAsia="Times New Roman"/>
          <w:u w:val="single"/>
        </w:rPr>
      </w:pP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p>
    <w:p>
      <w:pPr>
        <w:jc w:val="center"/>
        <w:rPr>
          <w:rFonts w:eastAsia="Times New Roman"/>
          <w:sz w:val="16"/>
          <w:szCs w:val="16"/>
        </w:rPr>
      </w:pPr>
      <w:r>
        <w:rPr>
          <w:rFonts w:eastAsia="Times New Roman"/>
          <w:sz w:val="16"/>
          <w:szCs w:val="16"/>
        </w:rPr>
        <w:t>(подпись, Ф.И.О.)</w:t>
      </w:r>
    </w:p>
    <w:p>
      <w:pPr>
        <w:rPr>
          <w:rFonts w:eastAsia="Times New Roman"/>
          <w:u w:val="single"/>
        </w:rPr>
      </w:pP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r>
        <w:rPr>
          <w:rFonts w:eastAsia="Times New Roman"/>
          <w:u w:val="single"/>
        </w:rPr>
        <w:tab/>
      </w:r>
    </w:p>
    <w:p>
      <w:pPr>
        <w:jc w:val="center"/>
        <w:rPr>
          <w:rFonts w:eastAsia="Times New Roman"/>
          <w:sz w:val="16"/>
          <w:szCs w:val="16"/>
        </w:rPr>
      </w:pPr>
      <w:r>
        <w:rPr>
          <w:rFonts w:eastAsia="Times New Roman"/>
          <w:sz w:val="16"/>
          <w:szCs w:val="16"/>
        </w:rPr>
        <w:t>(подпись, Ф.И.О.)</w:t>
      </w:r>
    </w:p>
    <w:p>
      <w:pPr>
        <w:jc w:val="left"/>
        <w:rPr>
          <w:rFonts w:eastAsia="Times New Roman"/>
        </w:rPr>
      </w:pPr>
      <w:r>
        <w:rPr>
          <w:rFonts w:eastAsia="Times New Roman"/>
        </w:rPr>
        <w:t xml:space="preserve">Приложения:  </w:t>
      </w:r>
      <w:r>
        <w:rPr>
          <w:rFonts w:eastAsia="Times New Roman"/>
        </w:rPr>
        <w:tab/>
      </w:r>
      <w:r>
        <w:rPr>
          <w:rFonts w:eastAsia="Times New Roman"/>
        </w:rPr>
        <w:tab/>
      </w:r>
    </w:p>
    <w:p>
      <w:pPr>
        <w:jc w:val="left"/>
        <w:rPr>
          <w:rFonts w:eastAsia="Times New Roman"/>
        </w:rPr>
      </w:pPr>
      <w:r>
        <w:rPr>
          <w:rFonts w:eastAsia="Times New Roman"/>
        </w:rPr>
        <w:tab/>
      </w:r>
      <w:r>
        <w:rPr>
          <w:rFonts w:eastAsia="Times New Roman"/>
        </w:rPr>
        <w:tab/>
      </w:r>
    </w:p>
    <w:p/>
    <w:p>
      <w:pPr>
        <w:rPr>
          <w:highlight w:val="cyan"/>
        </w:rPr>
      </w:pPr>
    </w:p>
    <w:p>
      <w:pPr>
        <w:rPr>
          <w:highlight w:val="cyan"/>
        </w:rPr>
      </w:pPr>
    </w:p>
    <w:p>
      <w:pPr>
        <w:rPr>
          <w:highlight w:val="cyan"/>
        </w:rPr>
      </w:pPr>
    </w:p>
    <w:p>
      <w:pPr>
        <w:jc w:val="center"/>
        <w:rPr>
          <w:rFonts w:ascii="Arial" w:hAnsi="Arial" w:cs="Arial"/>
          <w:b/>
          <w:snapToGrid w:val="0"/>
          <w:highlight w:val="cyan"/>
        </w:rPr>
      </w:pPr>
      <w:bookmarkStart w:id="332" w:name="_ПРИЛОЖЕНИЕ_4.2._СХЕМА"/>
      <w:bookmarkStart w:id="333" w:name="_Toc484014605"/>
      <w:bookmarkEnd w:id="332"/>
    </w:p>
    <w:p>
      <w:pPr>
        <w:jc w:val="center"/>
        <w:rPr>
          <w:rFonts w:ascii="Arial" w:hAnsi="Arial" w:cs="Arial"/>
          <w:b/>
          <w:snapToGrid w:val="0"/>
        </w:rPr>
      </w:pPr>
      <w:r>
        <w:rPr>
          <w:rFonts w:ascii="Arial" w:hAnsi="Arial" w:cs="Arial"/>
          <w:b/>
          <w:snapToGrid w:val="0"/>
        </w:rPr>
        <w:lastRenderedPageBreak/>
        <w:t xml:space="preserve">ОТБОР ОБРАЗЦОВ ДЛЯ ИСПЫТАНИЯ </w:t>
      </w:r>
      <w:bookmarkEnd w:id="333"/>
      <w:r>
        <w:rPr>
          <w:rFonts w:ascii="Arial" w:hAnsi="Arial" w:cs="Arial"/>
          <w:b/>
          <w:snapToGrid w:val="0"/>
        </w:rPr>
        <w:t xml:space="preserve">ШАРОВЫХ КРАНОВ </w:t>
      </w:r>
    </w:p>
    <w:p>
      <w:pPr>
        <w:jc w:val="center"/>
        <w:rPr>
          <w:rFonts w:ascii="Arial" w:hAnsi="Arial" w:cs="Arial"/>
          <w:b/>
          <w:i/>
          <w:snapToGrid w:val="0"/>
        </w:rPr>
      </w:pPr>
      <w:r>
        <w:rPr>
          <w:rFonts w:ascii="Arial" w:hAnsi="Arial" w:cs="Arial"/>
          <w:b/>
          <w:snapToGrid w:val="0"/>
        </w:rPr>
        <w:t>(Рисунки приложены для информации)</w:t>
      </w:r>
    </w:p>
    <w:p>
      <w:pPr>
        <w:tabs>
          <w:tab w:val="left" w:pos="4230"/>
        </w:tabs>
        <w:spacing w:before="120"/>
        <w:jc w:val="center"/>
        <w:rPr>
          <w:rFonts w:eastAsia="Times New Roman"/>
          <w:kern w:val="28"/>
          <w:sz w:val="28"/>
          <w:szCs w:val="28"/>
        </w:rPr>
      </w:pPr>
      <w:r>
        <w:rPr>
          <w:rFonts w:eastAsia="Times New Roman"/>
          <w:noProof/>
          <w:kern w:val="28"/>
          <w:sz w:val="28"/>
          <w:szCs w:val="28"/>
        </w:rPr>
        <w:drawing>
          <wp:inline distT="0" distB="0" distL="0" distR="0">
            <wp:extent cx="4119880" cy="3667760"/>
            <wp:effectExtent l="0" t="0" r="0" b="88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19880" cy="3667760"/>
                    </a:xfrm>
                    <a:prstGeom prst="rect">
                      <a:avLst/>
                    </a:prstGeom>
                    <a:noFill/>
                    <a:ln>
                      <a:noFill/>
                    </a:ln>
                  </pic:spPr>
                </pic:pic>
              </a:graphicData>
            </a:graphic>
          </wp:inline>
        </w:drawing>
      </w:r>
    </w:p>
    <w:p>
      <w:pPr>
        <w:spacing w:before="120"/>
        <w:jc w:val="center"/>
        <w:rPr>
          <w:rFonts w:eastAsia="Times New Roman"/>
          <w:kern w:val="28"/>
          <w:sz w:val="28"/>
          <w:szCs w:val="28"/>
          <w:highlight w:val="cyan"/>
        </w:rPr>
      </w:pPr>
      <w:r>
        <w:rPr>
          <w:rFonts w:eastAsia="Times New Roman"/>
          <w:noProof/>
          <w:kern w:val="28"/>
          <w:sz w:val="28"/>
          <w:szCs w:val="28"/>
          <w:highlight w:val="cyan"/>
        </w:rPr>
        <w:drawing>
          <wp:inline distT="0" distB="0" distL="0" distR="0">
            <wp:extent cx="4119245" cy="4070350"/>
            <wp:effectExtent l="0" t="0" r="0" b="635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19245" cy="4070350"/>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hAnsi="Arial" w:cs="Arial"/>
          <w:b/>
          <w:sz w:val="20"/>
          <w:szCs w:val="20"/>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3</w:t>
      </w:r>
      <w:r>
        <w:rPr>
          <w:rFonts w:ascii="Arial" w:hAnsi="Arial" w:cs="Arial"/>
          <w:b/>
          <w:sz w:val="20"/>
          <w:szCs w:val="20"/>
        </w:rPr>
        <w:fldChar w:fldCharType="end"/>
      </w:r>
      <w:r>
        <w:rPr>
          <w:rFonts w:ascii="Arial" w:eastAsia="Times New Roman" w:hAnsi="Arial" w:cs="Arial"/>
          <w:b/>
          <w:kern w:val="28"/>
          <w:sz w:val="20"/>
          <w:szCs w:val="28"/>
        </w:rPr>
        <w:t xml:space="preserve"> Отбор образцов для испытаний с корпуса шаровых кранов (образцы на микроструктуру)</w:t>
      </w:r>
    </w:p>
    <w:p>
      <w:pPr>
        <w:jc w:val="center"/>
        <w:rPr>
          <w:rFonts w:ascii="Arial" w:eastAsia="Times New Roman" w:hAnsi="Arial" w:cs="Arial"/>
          <w:b/>
          <w:kern w:val="28"/>
          <w:sz w:val="20"/>
          <w:szCs w:val="28"/>
        </w:rPr>
      </w:pPr>
      <w:r>
        <w:rPr>
          <w:rFonts w:ascii="Arial" w:eastAsia="Times New Roman" w:hAnsi="Arial" w:cs="Arial"/>
          <w:b/>
          <w:noProof/>
          <w:kern w:val="28"/>
          <w:sz w:val="20"/>
          <w:szCs w:val="28"/>
        </w:rPr>
        <w:lastRenderedPageBreak/>
        <w:drawing>
          <wp:inline distT="0" distB="0" distL="0" distR="0">
            <wp:extent cx="4045942" cy="3758851"/>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48883" cy="3761583"/>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eastAsia="Times New Roman" w:hAnsi="Arial" w:cs="Arial"/>
          <w:b/>
          <w:kern w:val="28"/>
          <w:sz w:val="20"/>
          <w:szCs w:val="28"/>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4</w:t>
      </w:r>
      <w:r>
        <w:rPr>
          <w:rFonts w:ascii="Arial" w:hAnsi="Arial" w:cs="Arial"/>
          <w:b/>
          <w:sz w:val="20"/>
          <w:szCs w:val="20"/>
        </w:rPr>
        <w:fldChar w:fldCharType="end"/>
      </w:r>
      <w:r>
        <w:rPr>
          <w:rFonts w:ascii="Arial" w:eastAsia="Times New Roman" w:hAnsi="Arial" w:cs="Arial"/>
          <w:b/>
          <w:kern w:val="28"/>
          <w:sz w:val="20"/>
          <w:szCs w:val="28"/>
        </w:rPr>
        <w:t xml:space="preserve"> Отбор образцов для испытаний с корпуса шаровых кранов (образцы на растяжение, химический анализ, общую коррозию)</w:t>
      </w:r>
    </w:p>
    <w:p>
      <w:pPr>
        <w:spacing w:before="120"/>
        <w:jc w:val="center"/>
        <w:rPr>
          <w:rFonts w:eastAsia="Times New Roman"/>
          <w:w w:val="95"/>
          <w:kern w:val="28"/>
          <w:sz w:val="28"/>
          <w:szCs w:val="20"/>
        </w:rPr>
      </w:pPr>
      <w:r>
        <w:rPr>
          <w:rFonts w:eastAsia="Times New Roman"/>
          <w:noProof/>
          <w:w w:val="95"/>
          <w:kern w:val="28"/>
          <w:sz w:val="28"/>
          <w:szCs w:val="20"/>
        </w:rPr>
        <w:drawing>
          <wp:inline distT="0" distB="0" distL="0" distR="0">
            <wp:extent cx="4129629" cy="4085003"/>
            <wp:effectExtent l="0" t="0" r="444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30848" cy="4086209"/>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eastAsia="Times New Roman" w:hAnsi="Arial" w:cs="Arial"/>
          <w:b/>
          <w:kern w:val="28"/>
          <w:sz w:val="20"/>
          <w:szCs w:val="28"/>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5</w:t>
      </w:r>
      <w:r>
        <w:rPr>
          <w:rFonts w:ascii="Arial" w:hAnsi="Arial" w:cs="Arial"/>
          <w:b/>
          <w:sz w:val="20"/>
          <w:szCs w:val="20"/>
        </w:rPr>
        <w:fldChar w:fldCharType="end"/>
      </w:r>
      <w:r>
        <w:rPr>
          <w:rFonts w:ascii="Arial" w:eastAsia="Times New Roman" w:hAnsi="Arial" w:cs="Arial"/>
          <w:b/>
          <w:kern w:val="28"/>
          <w:sz w:val="20"/>
          <w:szCs w:val="28"/>
        </w:rPr>
        <w:t xml:space="preserve"> Отбор образцов для испытаний с корпуса шаровых кранов.</w:t>
      </w:r>
    </w:p>
    <w:p>
      <w:pPr>
        <w:jc w:val="center"/>
        <w:rPr>
          <w:rFonts w:ascii="Arial" w:eastAsia="Times New Roman" w:hAnsi="Arial" w:cs="Arial"/>
          <w:b/>
          <w:kern w:val="28"/>
          <w:sz w:val="20"/>
          <w:szCs w:val="28"/>
        </w:rPr>
      </w:pPr>
      <w:r>
        <w:rPr>
          <w:rFonts w:ascii="Arial" w:eastAsia="Times New Roman" w:hAnsi="Arial" w:cs="Arial"/>
          <w:b/>
          <w:kern w:val="28"/>
          <w:sz w:val="20"/>
          <w:szCs w:val="28"/>
        </w:rPr>
        <w:t>(образцы на растяжение, химический анализ, твердость)</w:t>
      </w:r>
    </w:p>
    <w:p>
      <w:pPr>
        <w:spacing w:before="120"/>
        <w:jc w:val="center"/>
        <w:rPr>
          <w:rFonts w:eastAsia="Times New Roman"/>
          <w:w w:val="95"/>
          <w:kern w:val="28"/>
          <w:sz w:val="28"/>
          <w:szCs w:val="20"/>
        </w:rPr>
      </w:pPr>
      <w:r>
        <w:rPr>
          <w:rFonts w:eastAsia="Times New Roman"/>
          <w:noProof/>
          <w:w w:val="95"/>
          <w:kern w:val="28"/>
          <w:sz w:val="28"/>
          <w:szCs w:val="20"/>
        </w:rPr>
        <w:lastRenderedPageBreak/>
        <w:drawing>
          <wp:inline distT="0" distB="0" distL="0" distR="0">
            <wp:extent cx="3659044" cy="3723791"/>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62178" cy="3726980"/>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eastAsia="Times New Roman" w:hAnsi="Arial" w:cs="Arial"/>
          <w:b/>
          <w:kern w:val="28"/>
          <w:sz w:val="20"/>
          <w:szCs w:val="28"/>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6</w:t>
      </w:r>
      <w:r>
        <w:rPr>
          <w:rFonts w:ascii="Arial" w:hAnsi="Arial" w:cs="Arial"/>
          <w:b/>
          <w:sz w:val="20"/>
          <w:szCs w:val="20"/>
        </w:rPr>
        <w:fldChar w:fldCharType="end"/>
      </w:r>
      <w:r>
        <w:rPr>
          <w:rFonts w:ascii="Arial" w:eastAsia="Times New Roman" w:hAnsi="Arial" w:cs="Arial"/>
          <w:b/>
          <w:kern w:val="28"/>
          <w:sz w:val="20"/>
          <w:szCs w:val="28"/>
        </w:rPr>
        <w:t xml:space="preserve"> Отбор образцов для испытаний с корпуса шаровых кранов.</w:t>
      </w:r>
    </w:p>
    <w:p>
      <w:pPr>
        <w:jc w:val="center"/>
        <w:rPr>
          <w:rFonts w:ascii="Arial" w:eastAsia="Times New Roman" w:hAnsi="Arial" w:cs="Arial"/>
          <w:b/>
          <w:kern w:val="28"/>
          <w:sz w:val="20"/>
          <w:szCs w:val="28"/>
        </w:rPr>
      </w:pPr>
      <w:r>
        <w:rPr>
          <w:rFonts w:ascii="Arial" w:eastAsia="Times New Roman" w:hAnsi="Arial" w:cs="Arial"/>
          <w:b/>
          <w:kern w:val="28"/>
          <w:sz w:val="20"/>
          <w:szCs w:val="28"/>
        </w:rPr>
        <w:t>(образцы на растяжение, химический анализ, СКРН)</w:t>
      </w:r>
    </w:p>
    <w:p/>
    <w:p>
      <w:pPr>
        <w:jc w:val="center"/>
        <w:rPr>
          <w:rFonts w:eastAsia="Times New Roman"/>
          <w:w w:val="95"/>
          <w:kern w:val="28"/>
          <w:sz w:val="28"/>
          <w:szCs w:val="20"/>
        </w:rPr>
      </w:pPr>
      <w:r>
        <w:rPr>
          <w:rFonts w:eastAsia="Times New Roman"/>
          <w:noProof/>
          <w:w w:val="95"/>
          <w:kern w:val="28"/>
          <w:sz w:val="28"/>
          <w:szCs w:val="20"/>
        </w:rPr>
        <w:drawing>
          <wp:inline distT="0" distB="0" distL="0" distR="0">
            <wp:extent cx="3594962" cy="4180114"/>
            <wp:effectExtent l="0" t="0" r="571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00601" cy="4186671"/>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eastAsia="Times New Roman" w:hAnsi="Arial" w:cs="Arial"/>
          <w:b/>
          <w:kern w:val="28"/>
          <w:sz w:val="20"/>
          <w:szCs w:val="28"/>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7</w:t>
      </w:r>
      <w:r>
        <w:rPr>
          <w:rFonts w:ascii="Arial" w:hAnsi="Arial" w:cs="Arial"/>
          <w:b/>
          <w:sz w:val="20"/>
          <w:szCs w:val="20"/>
        </w:rPr>
        <w:fldChar w:fldCharType="end"/>
      </w:r>
      <w:r>
        <w:rPr>
          <w:rFonts w:ascii="Arial" w:eastAsia="Times New Roman" w:hAnsi="Arial" w:cs="Arial"/>
          <w:b/>
          <w:kern w:val="28"/>
          <w:sz w:val="20"/>
          <w:szCs w:val="28"/>
        </w:rPr>
        <w:t xml:space="preserve"> Отбор образцов для испытаний с корпуса шаровых кранов.</w:t>
      </w:r>
    </w:p>
    <w:p>
      <w:pPr>
        <w:jc w:val="center"/>
        <w:rPr>
          <w:rFonts w:ascii="Arial" w:eastAsia="Times New Roman" w:hAnsi="Arial" w:cs="Arial"/>
          <w:b/>
          <w:kern w:val="28"/>
          <w:sz w:val="20"/>
          <w:szCs w:val="28"/>
        </w:rPr>
      </w:pPr>
      <w:r>
        <w:rPr>
          <w:rFonts w:ascii="Arial" w:eastAsia="Times New Roman" w:hAnsi="Arial" w:cs="Arial"/>
          <w:b/>
          <w:kern w:val="28"/>
          <w:sz w:val="20"/>
          <w:szCs w:val="28"/>
        </w:rPr>
        <w:t>(образцы на ударную вязкость и общую коррозию)</w:t>
      </w:r>
    </w:p>
    <w:p>
      <w:pPr>
        <w:spacing w:before="120"/>
        <w:jc w:val="center"/>
        <w:rPr>
          <w:rFonts w:eastAsia="Times New Roman"/>
          <w:w w:val="95"/>
          <w:kern w:val="28"/>
          <w:sz w:val="28"/>
          <w:szCs w:val="20"/>
        </w:rPr>
      </w:pPr>
      <w:r>
        <w:rPr>
          <w:noProof/>
        </w:rPr>
        <w:lastRenderedPageBreak/>
        <w:drawing>
          <wp:inline distT="0" distB="0" distL="0" distR="0">
            <wp:extent cx="3515096" cy="3515096"/>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14948" cy="3514948"/>
                    </a:xfrm>
                    <a:prstGeom prst="rect">
                      <a:avLst/>
                    </a:prstGeom>
                    <a:noFill/>
                    <a:ln>
                      <a:noFill/>
                    </a:ln>
                  </pic:spPr>
                </pic:pic>
              </a:graphicData>
            </a:graphic>
          </wp:inline>
        </w:drawing>
      </w:r>
    </w:p>
    <w:p>
      <w:pPr>
        <w:spacing w:before="60"/>
        <w:jc w:val="center"/>
        <w:rPr>
          <w:rFonts w:ascii="Arial" w:eastAsia="Times New Roman" w:hAnsi="Arial" w:cs="Arial"/>
          <w:b/>
          <w:kern w:val="28"/>
          <w:sz w:val="20"/>
          <w:szCs w:val="28"/>
        </w:rPr>
      </w:pPr>
      <w:r>
        <w:rPr>
          <w:rFonts w:ascii="Arial" w:eastAsia="Times New Roman" w:hAnsi="Arial" w:cs="Arial"/>
          <w:b/>
          <w:kern w:val="28"/>
          <w:sz w:val="20"/>
          <w:szCs w:val="28"/>
        </w:rPr>
        <w:t xml:space="preserve">Рис. </w:t>
      </w:r>
      <w:r>
        <w:rPr>
          <w:rFonts w:ascii="Arial" w:hAnsi="Arial" w:cs="Arial"/>
          <w:b/>
          <w:sz w:val="20"/>
          <w:szCs w:val="20"/>
        </w:rPr>
        <w:fldChar w:fldCharType="begin"/>
      </w:r>
      <w:r>
        <w:rPr>
          <w:rFonts w:ascii="Arial" w:hAnsi="Arial" w:cs="Arial"/>
          <w:b/>
          <w:sz w:val="20"/>
          <w:szCs w:val="20"/>
        </w:rPr>
        <w:instrText xml:space="preserve"> SEQ Рис. \* ARABIC </w:instrText>
      </w:r>
      <w:r>
        <w:rPr>
          <w:rFonts w:ascii="Arial" w:hAnsi="Arial" w:cs="Arial"/>
          <w:b/>
          <w:sz w:val="20"/>
          <w:szCs w:val="20"/>
        </w:rPr>
        <w:fldChar w:fldCharType="separate"/>
      </w:r>
      <w:r>
        <w:rPr>
          <w:rFonts w:ascii="Arial" w:hAnsi="Arial" w:cs="Arial"/>
          <w:b/>
          <w:noProof/>
          <w:sz w:val="20"/>
          <w:szCs w:val="20"/>
        </w:rPr>
        <w:t>8</w:t>
      </w:r>
      <w:r>
        <w:rPr>
          <w:rFonts w:ascii="Arial" w:hAnsi="Arial" w:cs="Arial"/>
          <w:b/>
          <w:sz w:val="20"/>
          <w:szCs w:val="20"/>
        </w:rPr>
        <w:fldChar w:fldCharType="end"/>
      </w:r>
      <w:r>
        <w:rPr>
          <w:rFonts w:ascii="Arial" w:hAnsi="Arial" w:cs="Arial"/>
          <w:b/>
          <w:sz w:val="20"/>
          <w:szCs w:val="20"/>
        </w:rPr>
        <w:t xml:space="preserve"> </w:t>
      </w:r>
      <w:r>
        <w:rPr>
          <w:rFonts w:ascii="Arial" w:eastAsia="Times New Roman" w:hAnsi="Arial" w:cs="Arial"/>
          <w:b/>
          <w:kern w:val="28"/>
          <w:sz w:val="20"/>
          <w:szCs w:val="28"/>
        </w:rPr>
        <w:t xml:space="preserve">Отбор для микроструктурных исследований материала наплавки уплотняющих поверхностей затворного узла. </w:t>
      </w:r>
    </w:p>
    <w:p>
      <w:pPr>
        <w:jc w:val="center"/>
        <w:rPr>
          <w:rFonts w:ascii="Arial" w:eastAsia="Times New Roman" w:hAnsi="Arial" w:cs="Arial"/>
          <w:b/>
          <w:kern w:val="28"/>
          <w:sz w:val="20"/>
          <w:szCs w:val="28"/>
        </w:rPr>
      </w:pPr>
      <w:r>
        <w:rPr>
          <w:rFonts w:ascii="Arial" w:eastAsia="Times New Roman" w:hAnsi="Arial" w:cs="Arial"/>
          <w:b/>
          <w:kern w:val="28"/>
          <w:sz w:val="20"/>
          <w:szCs w:val="28"/>
        </w:rPr>
        <w:t>(образцы на микроструктуру, твердость и химический анализ)</w:t>
      </w:r>
    </w:p>
    <w:p/>
    <w:p>
      <w:pPr>
        <w:jc w:val="center"/>
        <w:rPr>
          <w:rFonts w:ascii="Arial" w:eastAsia="Calibri" w:hAnsi="Arial" w:cs="Arial"/>
          <w:b/>
        </w:rPr>
        <w:sectPr>
          <w:pgSz w:w="11906" w:h="16838"/>
          <w:pgMar w:top="510" w:right="1021" w:bottom="567" w:left="1247" w:header="737" w:footer="680" w:gutter="0"/>
          <w:cols w:space="708"/>
          <w:docGrid w:linePitch="360"/>
        </w:sectPr>
      </w:pPr>
    </w:p>
    <w:p>
      <w:pPr>
        <w:rPr>
          <w:rFonts w:ascii="Arial" w:hAnsi="Arial" w:cs="Arial"/>
          <w:b/>
          <w:i/>
          <w:snapToGrid w:val="0"/>
        </w:rPr>
      </w:pPr>
      <w:bookmarkStart w:id="334" w:name="_ПРИЛОЖЕНИЕ_4.3._ПРОГРАММА"/>
      <w:bookmarkStart w:id="335" w:name="_Toc484014606"/>
      <w:bookmarkEnd w:id="334"/>
      <w:r>
        <w:rPr>
          <w:rFonts w:ascii="Arial" w:hAnsi="Arial" w:cs="Arial"/>
          <w:b/>
          <w:snapToGrid w:val="0"/>
        </w:rPr>
        <w:lastRenderedPageBreak/>
        <w:t>ПРОГРАММА РАБОТ ПО ИСПЫТАНИЮ ШАРАВОГО КРАНА ИЗ СТАЛИ БЕЗ СПЕЦИАЛЬНЫХ ТРЕБОВАНИЙ К СТОЙКОСТИ ПРОТИВ СУЛЬФИДНОГО КОРРОЗИОННОГО РАСТРЕСКИВАНИЯ</w:t>
      </w:r>
      <w:bookmarkEnd w:id="335"/>
    </w:p>
    <w:p>
      <w:pPr>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0"/>
        <w:gridCol w:w="4944"/>
      </w:tblGrid>
      <w:tr>
        <w:trPr>
          <w:trHeight w:val="276"/>
        </w:trPr>
        <w:tc>
          <w:tcPr>
            <w:tcW w:w="4910" w:type="dxa"/>
            <w:tcBorders>
              <w:top w:val="single" w:sz="4" w:space="0" w:color="auto"/>
              <w:left w:val="single" w:sz="4" w:space="0" w:color="auto"/>
              <w:bottom w:val="single" w:sz="4" w:space="0" w:color="auto"/>
              <w:right w:val="single" w:sz="4" w:space="0" w:color="auto"/>
            </w:tcBorders>
            <w:hideMark/>
          </w:tcPr>
          <w:p>
            <w:pPr>
              <w:rPr>
                <w:rFonts w:eastAsia="Calibri"/>
                <w:b/>
                <w:noProof/>
                <w:sz w:val="22"/>
              </w:rPr>
            </w:pPr>
            <w:r>
              <w:rPr>
                <w:rFonts w:eastAsia="Calibri"/>
                <w:b/>
                <w:noProof/>
              </w:rPr>
              <w:t>УТВЕРЖДАЮ:</w:t>
            </w:r>
          </w:p>
        </w:tc>
        <w:tc>
          <w:tcPr>
            <w:tcW w:w="4944" w:type="dxa"/>
            <w:tcBorders>
              <w:top w:val="single" w:sz="4" w:space="0" w:color="auto"/>
              <w:left w:val="single" w:sz="4" w:space="0" w:color="auto"/>
              <w:bottom w:val="single" w:sz="4" w:space="0" w:color="auto"/>
              <w:right w:val="single" w:sz="4" w:space="0" w:color="auto"/>
            </w:tcBorders>
            <w:hideMark/>
          </w:tcPr>
          <w:p>
            <w:pPr>
              <w:rPr>
                <w:rFonts w:eastAsia="Calibri"/>
                <w:b/>
                <w:noProof/>
                <w:sz w:val="22"/>
              </w:rPr>
            </w:pPr>
            <w:r>
              <w:rPr>
                <w:rFonts w:eastAsia="Calibri"/>
                <w:b/>
                <w:noProof/>
              </w:rPr>
              <w:t>СОГЛАСОВАНО:</w:t>
            </w:r>
          </w:p>
        </w:tc>
      </w:tr>
      <w:tr>
        <w:trPr>
          <w:trHeight w:val="560"/>
        </w:trPr>
        <w:tc>
          <w:tcPr>
            <w:tcW w:w="4910" w:type="dxa"/>
            <w:tcBorders>
              <w:top w:val="single" w:sz="4" w:space="0" w:color="auto"/>
              <w:left w:val="single" w:sz="4" w:space="0" w:color="auto"/>
              <w:bottom w:val="single" w:sz="4" w:space="0" w:color="auto"/>
              <w:right w:val="single" w:sz="4" w:space="0" w:color="auto"/>
            </w:tcBorders>
            <w:hideMark/>
          </w:tcPr>
          <w:p>
            <w:pPr>
              <w:rPr>
                <w:rFonts w:eastAsia="Calibri"/>
              </w:rPr>
            </w:pPr>
            <w:r>
              <w:rPr>
                <w:rFonts w:eastAsia="Calibri"/>
              </w:rPr>
              <w:t>Наименование независимой испытательной лаборатории</w:t>
            </w:r>
          </w:p>
          <w:p>
            <w:pPr>
              <w:rPr>
                <w:rFonts w:eastAsia="Calibri"/>
                <w:b/>
                <w:noProof/>
                <w:sz w:val="22"/>
              </w:rPr>
            </w:pPr>
            <w:r>
              <w:rPr>
                <w:rFonts w:eastAsia="Calibri"/>
              </w:rPr>
              <w:t>(должность, ФИО, подпись, дата)</w:t>
            </w:r>
          </w:p>
        </w:tc>
        <w:tc>
          <w:tcPr>
            <w:tcW w:w="4944" w:type="dxa"/>
            <w:tcBorders>
              <w:top w:val="single" w:sz="4" w:space="0" w:color="auto"/>
              <w:left w:val="single" w:sz="4" w:space="0" w:color="auto"/>
              <w:bottom w:val="single" w:sz="4" w:space="0" w:color="auto"/>
              <w:right w:val="single" w:sz="4" w:space="0" w:color="auto"/>
            </w:tcBorders>
            <w:hideMark/>
          </w:tcPr>
          <w:p>
            <w:pPr>
              <w:rPr>
                <w:rFonts w:eastAsia="Calibri"/>
              </w:rPr>
            </w:pPr>
            <w:r>
              <w:rPr>
                <w:rFonts w:eastAsia="Calibri"/>
              </w:rPr>
              <w:t>Наименование завода-изготовителя кранов</w:t>
            </w:r>
          </w:p>
          <w:p>
            <w:pPr>
              <w:rPr>
                <w:rFonts w:eastAsia="Calibri"/>
                <w:b/>
                <w:noProof/>
                <w:sz w:val="22"/>
              </w:rPr>
            </w:pPr>
            <w:r>
              <w:rPr>
                <w:rFonts w:eastAsia="Calibri"/>
              </w:rPr>
              <w:t>(должность, ФИО, подпись, дата)</w:t>
            </w:r>
          </w:p>
        </w:tc>
      </w:tr>
    </w:tbl>
    <w:p>
      <w:pPr>
        <w:jc w:val="center"/>
        <w:rPr>
          <w:szCs w:val="20"/>
        </w:rPr>
      </w:pPr>
    </w:p>
    <w:p>
      <w:pPr>
        <w:jc w:val="center"/>
        <w:rPr>
          <w:b/>
          <w:szCs w:val="20"/>
        </w:rPr>
      </w:pPr>
      <w:r>
        <w:rPr>
          <w:b/>
          <w:szCs w:val="20"/>
        </w:rPr>
        <w:t>ПРОГРАММА РАБОТ</w:t>
      </w:r>
    </w:p>
    <w:p>
      <w:pPr>
        <w:jc w:val="center"/>
        <w:rPr>
          <w:rFonts w:eastAsia="Calibri"/>
        </w:rPr>
      </w:pPr>
      <w:r>
        <w:rPr>
          <w:rFonts w:eastAsia="Calibri"/>
        </w:rPr>
        <w:t xml:space="preserve">по определению возможности применения в Обществах групп ПАО «НК «Роснефть» </w:t>
      </w:r>
      <w:r>
        <w:rPr>
          <w:rFonts w:eastAsia="Times New Roman"/>
        </w:rPr>
        <w:t xml:space="preserve">шаровых кранов, </w:t>
      </w:r>
      <w:r>
        <w:rPr>
          <w:rFonts w:eastAsia="Calibri"/>
        </w:rPr>
        <w:t>изготовленных из отливок, поковок, штамповок, проката</w:t>
      </w:r>
    </w:p>
    <w:p>
      <w:pPr>
        <w:jc w:val="center"/>
        <w:rPr>
          <w:rFonts w:eastAsia="Calibri"/>
        </w:rPr>
      </w:pPr>
      <w:r>
        <w:rPr>
          <w:rFonts w:eastAsia="Calibri"/>
        </w:rPr>
        <w:t>(</w:t>
      </w:r>
      <w:r>
        <w:rPr>
          <w:rFonts w:eastAsia="Calibri"/>
          <w:b/>
          <w:u w:val="single"/>
        </w:rPr>
        <w:t>без специальных требований к стойкости против сульфидного коррозионного растрескивания</w:t>
      </w:r>
      <w:r>
        <w:rPr>
          <w:rFonts w:eastAsia="Calibri"/>
        </w:rPr>
        <w:t>)</w:t>
      </w:r>
    </w:p>
    <w:p>
      <w:pPr>
        <w:jc w:val="center"/>
        <w:rPr>
          <w:rFonts w:eastAsia="Calibri"/>
          <w:u w:val="single"/>
        </w:rPr>
      </w:pP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p>
    <w:p>
      <w:pPr>
        <w:jc w:val="center"/>
        <w:rPr>
          <w:rFonts w:eastAsia="Calibri"/>
        </w:rPr>
      </w:pPr>
      <w:r>
        <w:rPr>
          <w:rFonts w:eastAsia="Calibri"/>
          <w:sz w:val="18"/>
        </w:rPr>
        <w:t>наименование завода-изготовителя кранов</w:t>
      </w:r>
    </w:p>
    <w:p>
      <w:pPr>
        <w:ind w:left="-709"/>
        <w:rPr>
          <w:rFonts w:eastAsia="Calibri"/>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04"/>
        <w:gridCol w:w="2268"/>
        <w:gridCol w:w="1417"/>
      </w:tblGrid>
      <w:tr>
        <w:trPr>
          <w:tblHeader/>
        </w:trPr>
        <w:tc>
          <w:tcPr>
            <w:tcW w:w="6204" w:type="dxa"/>
            <w:tcBorders>
              <w:top w:val="single" w:sz="12" w:space="0" w:color="auto"/>
              <w:left w:val="single" w:sz="12" w:space="0" w:color="auto"/>
              <w:bottom w:val="single" w:sz="12" w:space="0" w:color="auto"/>
              <w:right w:val="single" w:sz="4" w:space="0" w:color="auto"/>
            </w:tcBorders>
            <w:shd w:val="clear" w:color="auto" w:fill="FFD200"/>
            <w:vAlign w:val="center"/>
            <w:hideMark/>
          </w:tcPr>
          <w:p>
            <w:pPr>
              <w:jc w:val="center"/>
              <w:rPr>
                <w:rFonts w:ascii="Arial" w:eastAsia="Calibri" w:hAnsi="Arial" w:cs="Arial"/>
                <w:b/>
                <w:sz w:val="16"/>
                <w:szCs w:val="20"/>
              </w:rPr>
            </w:pPr>
            <w:r>
              <w:rPr>
                <w:rFonts w:ascii="Arial" w:eastAsia="Calibri" w:hAnsi="Arial" w:cs="Arial"/>
                <w:b/>
                <w:sz w:val="16"/>
                <w:szCs w:val="20"/>
              </w:rPr>
              <w:t>ЭТАПЫ РАБОТЫ:</w:t>
            </w:r>
          </w:p>
        </w:tc>
        <w:tc>
          <w:tcPr>
            <w:tcW w:w="2268" w:type="dxa"/>
            <w:tcBorders>
              <w:top w:val="single" w:sz="12" w:space="0" w:color="auto"/>
              <w:left w:val="single" w:sz="4" w:space="0" w:color="auto"/>
              <w:bottom w:val="single" w:sz="12" w:space="0" w:color="auto"/>
              <w:right w:val="single" w:sz="4" w:space="0" w:color="auto"/>
            </w:tcBorders>
            <w:shd w:val="clear" w:color="auto" w:fill="FFD200"/>
            <w:vAlign w:val="center"/>
            <w:hideMark/>
          </w:tcPr>
          <w:p>
            <w:pPr>
              <w:jc w:val="center"/>
              <w:rPr>
                <w:rFonts w:ascii="Arial" w:eastAsia="Calibri" w:hAnsi="Arial" w:cs="Arial"/>
                <w:b/>
                <w:sz w:val="16"/>
                <w:szCs w:val="20"/>
              </w:rPr>
            </w:pPr>
            <w:r>
              <w:rPr>
                <w:rFonts w:ascii="Arial" w:eastAsia="Calibri" w:hAnsi="Arial" w:cs="Arial"/>
                <w:b/>
                <w:sz w:val="16"/>
                <w:szCs w:val="20"/>
              </w:rPr>
              <w:t>ОТВЕТСТВЕННЫЕ</w:t>
            </w:r>
          </w:p>
        </w:tc>
        <w:tc>
          <w:tcPr>
            <w:tcW w:w="1417" w:type="dxa"/>
            <w:tcBorders>
              <w:top w:val="single" w:sz="12" w:space="0" w:color="auto"/>
              <w:left w:val="single" w:sz="4" w:space="0" w:color="auto"/>
              <w:bottom w:val="single" w:sz="12" w:space="0" w:color="auto"/>
              <w:right w:val="single" w:sz="12" w:space="0" w:color="auto"/>
            </w:tcBorders>
            <w:shd w:val="clear" w:color="auto" w:fill="FFD200"/>
            <w:vAlign w:val="center"/>
            <w:hideMark/>
          </w:tcPr>
          <w:p>
            <w:pPr>
              <w:jc w:val="center"/>
              <w:rPr>
                <w:rFonts w:ascii="Arial" w:eastAsia="Calibri" w:hAnsi="Arial" w:cs="Arial"/>
                <w:b/>
                <w:sz w:val="16"/>
                <w:szCs w:val="20"/>
              </w:rPr>
            </w:pPr>
            <w:r>
              <w:rPr>
                <w:rFonts w:ascii="Arial" w:eastAsia="Calibri" w:hAnsi="Arial" w:cs="Arial"/>
                <w:b/>
                <w:sz w:val="16"/>
                <w:szCs w:val="20"/>
              </w:rPr>
              <w:t>СРОК ВЫПОЛНЕНИЯ</w:t>
            </w:r>
          </w:p>
        </w:tc>
      </w:tr>
      <w:tr>
        <w:trPr>
          <w:tblHeader/>
        </w:trPr>
        <w:tc>
          <w:tcPr>
            <w:tcW w:w="6204" w:type="dxa"/>
            <w:tcBorders>
              <w:top w:val="single" w:sz="12" w:space="0" w:color="auto"/>
              <w:left w:val="single" w:sz="12"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1</w:t>
            </w:r>
          </w:p>
        </w:tc>
        <w:tc>
          <w:tcPr>
            <w:tcW w:w="2268" w:type="dxa"/>
            <w:tcBorders>
              <w:top w:val="single" w:sz="12" w:space="0" w:color="auto"/>
              <w:left w:val="single" w:sz="4"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2</w:t>
            </w:r>
          </w:p>
        </w:tc>
        <w:tc>
          <w:tcPr>
            <w:tcW w:w="1417" w:type="dxa"/>
            <w:tcBorders>
              <w:top w:val="single" w:sz="12" w:space="0" w:color="auto"/>
              <w:left w:val="single" w:sz="4" w:space="0" w:color="auto"/>
              <w:bottom w:val="single" w:sz="12" w:space="0" w:color="auto"/>
              <w:right w:val="single" w:sz="12"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3</w:t>
            </w:r>
          </w:p>
        </w:tc>
      </w:tr>
      <w:tr>
        <w:tc>
          <w:tcPr>
            <w:tcW w:w="6204" w:type="dxa"/>
            <w:tcBorders>
              <w:top w:val="single" w:sz="12" w:space="0" w:color="auto"/>
              <w:left w:val="single" w:sz="12"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Завод-изготовитель кранов предоставляет из партии готовых изделий, прошедших цикл приемо-сдаточных испытаний, одно изделие (шаровой кран).</w:t>
            </w:r>
          </w:p>
          <w:p>
            <w:pPr>
              <w:contextualSpacing/>
              <w:jc w:val="left"/>
              <w:rPr>
                <w:rFonts w:eastAsia="Times New Roman"/>
                <w:sz w:val="20"/>
                <w:szCs w:val="20"/>
              </w:rPr>
            </w:pPr>
          </w:p>
          <w:p>
            <w:pPr>
              <w:contextualSpacing/>
              <w:jc w:val="left"/>
              <w:rPr>
                <w:rFonts w:eastAsia="Times New Roman"/>
                <w:sz w:val="20"/>
                <w:szCs w:val="20"/>
              </w:rPr>
            </w:pPr>
            <w:r>
              <w:rPr>
                <w:rFonts w:eastAsia="Times New Roman"/>
                <w:sz w:val="20"/>
                <w:szCs w:val="20"/>
              </w:rPr>
              <w:t>Кран в количестве 1 (одной) единицы передается в независимую испытательную лабораторию для проведения комплекса исследований</w:t>
            </w:r>
          </w:p>
        </w:tc>
        <w:tc>
          <w:tcPr>
            <w:tcW w:w="2268" w:type="dxa"/>
            <w:tcBorders>
              <w:top w:val="single" w:sz="12" w:space="0" w:color="auto"/>
              <w:left w:val="single" w:sz="4"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Наименование завода-изготовителя крана</w:t>
            </w:r>
          </w:p>
        </w:tc>
        <w:tc>
          <w:tcPr>
            <w:tcW w:w="1417" w:type="dxa"/>
            <w:tcBorders>
              <w:top w:val="single" w:sz="12" w:space="0" w:color="auto"/>
              <w:left w:val="single" w:sz="4" w:space="0" w:color="auto"/>
              <w:bottom w:val="single" w:sz="4" w:space="0" w:color="auto"/>
              <w:right w:val="single" w:sz="12" w:space="0" w:color="auto"/>
            </w:tcBorders>
            <w:hideMark/>
          </w:tcPr>
          <w:p>
            <w:pPr>
              <w:jc w:val="left"/>
              <w:rPr>
                <w:rFonts w:eastAsia="Calibri"/>
                <w:sz w:val="20"/>
                <w:szCs w:val="20"/>
              </w:rPr>
            </w:pPr>
            <w:r>
              <w:rPr>
                <w:rFonts w:eastAsia="Calibri"/>
                <w:sz w:val="20"/>
                <w:szCs w:val="20"/>
              </w:rPr>
              <w:t xml:space="preserve">Сроки выполнения указываются </w:t>
            </w:r>
          </w:p>
          <w:p>
            <w:pPr>
              <w:jc w:val="left"/>
              <w:rPr>
                <w:rFonts w:eastAsia="Calibri"/>
                <w:b/>
                <w:sz w:val="20"/>
                <w:szCs w:val="20"/>
              </w:rPr>
            </w:pPr>
            <w:r>
              <w:rPr>
                <w:rFonts w:eastAsia="Calibri"/>
                <w:sz w:val="20"/>
                <w:szCs w:val="20"/>
              </w:rPr>
              <w:t>заводом-изготовителем кранов</w:t>
            </w:r>
          </w:p>
        </w:tc>
      </w:tr>
      <w:tr>
        <w:tc>
          <w:tcPr>
            <w:tcW w:w="6204" w:type="dxa"/>
            <w:tcBorders>
              <w:top w:val="single" w:sz="4" w:space="0" w:color="auto"/>
              <w:left w:val="single" w:sz="12" w:space="0" w:color="auto"/>
              <w:bottom w:val="single" w:sz="4" w:space="0" w:color="auto"/>
              <w:right w:val="single" w:sz="4" w:space="0" w:color="auto"/>
            </w:tcBorders>
            <w:hideMark/>
          </w:tcPr>
          <w:p>
            <w:pPr>
              <w:contextualSpacing/>
              <w:jc w:val="left"/>
              <w:rPr>
                <w:rFonts w:eastAsia="Times New Roman"/>
                <w:b/>
                <w:sz w:val="20"/>
                <w:szCs w:val="20"/>
              </w:rPr>
            </w:pPr>
            <w:r>
              <w:rPr>
                <w:rFonts w:eastAsia="Times New Roman"/>
                <w:sz w:val="20"/>
                <w:szCs w:val="20"/>
              </w:rPr>
              <w:t>Завод-изготовитель кранов предоставляет образцы - свидетели от 10-ти различных плавок (для зарубежных заводов изготовителей – 29 комплектов образцов-свидетелей различных плавок), используемой для изготовления шаровых кранов.</w:t>
            </w:r>
          </w:p>
          <w:p>
            <w:pPr>
              <w:numPr>
                <w:ilvl w:val="0"/>
                <w:numId w:val="64"/>
              </w:numPr>
              <w:spacing w:before="120"/>
              <w:ind w:left="538" w:hanging="357"/>
              <w:jc w:val="left"/>
              <w:rPr>
                <w:rFonts w:eastAsia="Calibri"/>
                <w:sz w:val="20"/>
                <w:szCs w:val="20"/>
              </w:rPr>
            </w:pPr>
            <w:r>
              <w:rPr>
                <w:rFonts w:eastAsia="Calibri"/>
                <w:sz w:val="20"/>
                <w:szCs w:val="20"/>
              </w:rPr>
              <w:t>образцы 6-ти различных плавок стали передаются в испытательную лабораторию завода-изготовителя кранов,</w:t>
            </w:r>
          </w:p>
          <w:p>
            <w:pPr>
              <w:numPr>
                <w:ilvl w:val="0"/>
                <w:numId w:val="64"/>
              </w:numPr>
              <w:spacing w:before="120"/>
              <w:ind w:left="538" w:hanging="357"/>
              <w:jc w:val="left"/>
              <w:rPr>
                <w:rFonts w:eastAsia="Calibri"/>
                <w:sz w:val="20"/>
                <w:szCs w:val="20"/>
              </w:rPr>
            </w:pPr>
            <w:r>
              <w:rPr>
                <w:rFonts w:eastAsia="Calibri"/>
                <w:sz w:val="20"/>
                <w:szCs w:val="20"/>
              </w:rPr>
              <w:t>образцы 4-х различных плавок стали передаются в независимую испытательную лабораторию.</w:t>
            </w:r>
          </w:p>
          <w:p>
            <w:pPr>
              <w:jc w:val="left"/>
              <w:rPr>
                <w:rFonts w:eastAsia="Calibri"/>
                <w:sz w:val="20"/>
                <w:szCs w:val="20"/>
              </w:rPr>
            </w:pPr>
          </w:p>
          <w:p>
            <w:pPr>
              <w:jc w:val="left"/>
              <w:rPr>
                <w:rFonts w:eastAsia="Calibri"/>
                <w:sz w:val="20"/>
                <w:szCs w:val="20"/>
              </w:rPr>
            </w:pPr>
            <w:r>
              <w:rPr>
                <w:rFonts w:eastAsia="Calibri"/>
                <w:sz w:val="20"/>
                <w:szCs w:val="20"/>
              </w:rPr>
              <w:t>Образцы-свидетели должны быть термически обработаны на заводе-изготовителе кранов по режиму аналогичному режиму термической обработки для готового изделия</w:t>
            </w:r>
          </w:p>
        </w:tc>
        <w:tc>
          <w:tcPr>
            <w:tcW w:w="2268" w:type="dxa"/>
            <w:tcBorders>
              <w:top w:val="single" w:sz="4"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t>Наименование завода-изготовителя кранов</w:t>
            </w:r>
          </w:p>
          <w:p>
            <w:pPr>
              <w:jc w:val="left"/>
              <w:rPr>
                <w:rFonts w:eastAsia="Calibri"/>
                <w:sz w:val="20"/>
                <w:szCs w:val="20"/>
              </w:rPr>
            </w:pPr>
          </w:p>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hideMark/>
          </w:tcPr>
          <w:p>
            <w:pPr>
              <w:jc w:val="left"/>
              <w:rPr>
                <w:rFonts w:eastAsia="Calibri"/>
                <w:sz w:val="20"/>
                <w:szCs w:val="20"/>
              </w:rPr>
            </w:pPr>
            <w:r>
              <w:rPr>
                <w:rFonts w:eastAsia="Calibri"/>
                <w:sz w:val="20"/>
                <w:szCs w:val="20"/>
              </w:rPr>
              <w:t>Сроки выполнения указываются</w:t>
            </w:r>
          </w:p>
          <w:p>
            <w:pPr>
              <w:jc w:val="left"/>
              <w:rPr>
                <w:rFonts w:eastAsia="Calibri"/>
                <w:b/>
                <w:sz w:val="20"/>
                <w:szCs w:val="20"/>
              </w:rPr>
            </w:pPr>
            <w:r>
              <w:rPr>
                <w:rFonts w:eastAsia="Calibri"/>
                <w:sz w:val="20"/>
                <w:szCs w:val="20"/>
              </w:rPr>
              <w:t>заводом-изготовителем кранов и независимой испытательной лабораторией</w:t>
            </w:r>
          </w:p>
        </w:tc>
      </w:tr>
      <w:tr>
        <w:tc>
          <w:tcPr>
            <w:tcW w:w="6204" w:type="dxa"/>
            <w:tcBorders>
              <w:top w:val="single" w:sz="4" w:space="0" w:color="auto"/>
              <w:left w:val="single" w:sz="12"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 xml:space="preserve">Проведение полного комплекса исследований на соответствие НД РФ, требований </w:t>
            </w:r>
            <w:r>
              <w:rPr>
                <w:rFonts w:eastAsia="Times New Roman"/>
                <w:sz w:val="20"/>
                <w:szCs w:val="20"/>
              </w:rPr>
              <w:t>настоящих Методических указаний</w:t>
            </w:r>
            <w:r>
              <w:rPr>
                <w:rFonts w:eastAsia="Calibri"/>
                <w:sz w:val="20"/>
                <w:szCs w:val="20"/>
              </w:rPr>
              <w:t xml:space="preserve"> в независимой испытательной лаборатории одного готового изделия (шаровых кранов) из стали:</w:t>
            </w:r>
          </w:p>
          <w:p>
            <w:pPr>
              <w:numPr>
                <w:ilvl w:val="0"/>
                <w:numId w:val="64"/>
              </w:numPr>
              <w:spacing w:before="120"/>
              <w:ind w:left="538" w:hanging="357"/>
              <w:jc w:val="left"/>
              <w:rPr>
                <w:rFonts w:eastAsia="Calibri"/>
                <w:sz w:val="20"/>
                <w:szCs w:val="20"/>
              </w:rPr>
            </w:pPr>
            <w:r>
              <w:rPr>
                <w:rFonts w:eastAsia="Calibri"/>
                <w:sz w:val="20"/>
                <w:szCs w:val="20"/>
              </w:rPr>
              <w:t>химический анализ;</w:t>
            </w:r>
          </w:p>
          <w:p>
            <w:pPr>
              <w:numPr>
                <w:ilvl w:val="0"/>
                <w:numId w:val="64"/>
              </w:numPr>
              <w:spacing w:before="120"/>
              <w:ind w:left="538" w:hanging="357"/>
              <w:jc w:val="left"/>
              <w:rPr>
                <w:rFonts w:eastAsia="Calibri"/>
                <w:sz w:val="20"/>
                <w:szCs w:val="20"/>
              </w:rPr>
            </w:pPr>
            <w:r>
              <w:rPr>
                <w:rFonts w:eastAsia="Calibri"/>
                <w:sz w:val="20"/>
                <w:szCs w:val="20"/>
              </w:rPr>
              <w:t>оценка микроструктуры (макроструктуры) основного металла;</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на растяжение;</w:t>
            </w:r>
          </w:p>
          <w:p>
            <w:pPr>
              <w:numPr>
                <w:ilvl w:val="0"/>
                <w:numId w:val="64"/>
              </w:numPr>
              <w:spacing w:before="120"/>
              <w:ind w:left="538" w:hanging="357"/>
              <w:jc w:val="left"/>
              <w:rPr>
                <w:rFonts w:eastAsia="Calibri"/>
                <w:sz w:val="20"/>
                <w:szCs w:val="20"/>
              </w:rPr>
            </w:pPr>
            <w:r>
              <w:rPr>
                <w:rFonts w:eastAsia="Calibri"/>
                <w:sz w:val="20"/>
                <w:szCs w:val="20"/>
              </w:rPr>
              <w:t>измерение твердости;</w:t>
            </w:r>
          </w:p>
          <w:p>
            <w:pPr>
              <w:numPr>
                <w:ilvl w:val="0"/>
                <w:numId w:val="64"/>
              </w:numPr>
              <w:spacing w:before="120"/>
              <w:ind w:left="538" w:hanging="357"/>
              <w:jc w:val="left"/>
              <w:rPr>
                <w:rFonts w:eastAsia="Calibri"/>
                <w:sz w:val="20"/>
                <w:szCs w:val="20"/>
              </w:rPr>
            </w:pPr>
            <w:r>
              <w:rPr>
                <w:rFonts w:eastAsia="Calibri"/>
                <w:sz w:val="20"/>
                <w:szCs w:val="20"/>
              </w:rPr>
              <w:t>оценка загрязненности металла неметаллическими включениями</w:t>
            </w:r>
          </w:p>
        </w:tc>
        <w:tc>
          <w:tcPr>
            <w:tcW w:w="2268" w:type="dxa"/>
            <w:tcBorders>
              <w:top w:val="single" w:sz="4" w:space="0" w:color="auto"/>
              <w:left w:val="single" w:sz="4"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hideMark/>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r>
        <w:tc>
          <w:tcPr>
            <w:tcW w:w="6204" w:type="dxa"/>
            <w:tcBorders>
              <w:top w:val="single" w:sz="4" w:space="0" w:color="auto"/>
              <w:left w:val="single" w:sz="12"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 xml:space="preserve">Проведение испытаний образцов-свидетелей 6-ти различных плавок </w:t>
            </w:r>
            <w:r>
              <w:rPr>
                <w:rFonts w:eastAsia="Calibri"/>
                <w:sz w:val="20"/>
                <w:szCs w:val="20"/>
              </w:rPr>
              <w:lastRenderedPageBreak/>
              <w:t>из стали в лаборатории завода-изготовителя кранов:</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на одноосное растяжение;</w:t>
            </w:r>
          </w:p>
          <w:p>
            <w:pPr>
              <w:numPr>
                <w:ilvl w:val="0"/>
                <w:numId w:val="64"/>
              </w:numPr>
              <w:spacing w:before="120"/>
              <w:ind w:left="538" w:hanging="357"/>
              <w:jc w:val="left"/>
              <w:rPr>
                <w:rFonts w:eastAsia="Calibri"/>
                <w:sz w:val="20"/>
                <w:szCs w:val="20"/>
              </w:rPr>
            </w:pPr>
            <w:r>
              <w:rPr>
                <w:rFonts w:eastAsia="Calibri"/>
                <w:sz w:val="20"/>
                <w:szCs w:val="20"/>
              </w:rPr>
              <w:t>химический анализ</w:t>
            </w:r>
          </w:p>
        </w:tc>
        <w:tc>
          <w:tcPr>
            <w:tcW w:w="2268" w:type="dxa"/>
            <w:tcBorders>
              <w:top w:val="single" w:sz="4" w:space="0" w:color="auto"/>
              <w:left w:val="single" w:sz="4"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lastRenderedPageBreak/>
              <w:t>Наименование завода-</w:t>
            </w:r>
            <w:r>
              <w:rPr>
                <w:rFonts w:eastAsia="Calibri"/>
                <w:sz w:val="20"/>
                <w:szCs w:val="20"/>
              </w:rPr>
              <w:lastRenderedPageBreak/>
              <w:t>изготовителя кранов</w:t>
            </w:r>
          </w:p>
        </w:tc>
        <w:tc>
          <w:tcPr>
            <w:tcW w:w="1417" w:type="dxa"/>
            <w:tcBorders>
              <w:top w:val="single" w:sz="4" w:space="0" w:color="auto"/>
              <w:left w:val="single" w:sz="4" w:space="0" w:color="auto"/>
              <w:bottom w:val="single" w:sz="4" w:space="0" w:color="auto"/>
              <w:right w:val="single" w:sz="12" w:space="0" w:color="auto"/>
            </w:tcBorders>
            <w:hideMark/>
          </w:tcPr>
          <w:p>
            <w:pPr>
              <w:jc w:val="left"/>
              <w:rPr>
                <w:rFonts w:eastAsia="Calibri"/>
                <w:sz w:val="20"/>
                <w:szCs w:val="20"/>
              </w:rPr>
            </w:pPr>
            <w:r>
              <w:rPr>
                <w:rFonts w:eastAsia="Calibri"/>
                <w:sz w:val="20"/>
                <w:szCs w:val="20"/>
              </w:rPr>
              <w:lastRenderedPageBreak/>
              <w:t xml:space="preserve">Сроки </w:t>
            </w:r>
            <w:r>
              <w:rPr>
                <w:rFonts w:eastAsia="Calibri"/>
                <w:sz w:val="20"/>
                <w:szCs w:val="20"/>
              </w:rPr>
              <w:lastRenderedPageBreak/>
              <w:t>выполнения указываются</w:t>
            </w:r>
          </w:p>
          <w:p>
            <w:pPr>
              <w:jc w:val="left"/>
              <w:rPr>
                <w:rFonts w:eastAsia="Calibri"/>
                <w:sz w:val="20"/>
                <w:szCs w:val="20"/>
              </w:rPr>
            </w:pPr>
            <w:r>
              <w:rPr>
                <w:rFonts w:eastAsia="Calibri"/>
                <w:sz w:val="20"/>
                <w:szCs w:val="20"/>
              </w:rPr>
              <w:t>заводом-изготовителем кранов</w:t>
            </w:r>
          </w:p>
        </w:tc>
      </w:tr>
      <w:tr>
        <w:trPr>
          <w:trHeight w:val="563"/>
        </w:trPr>
        <w:tc>
          <w:tcPr>
            <w:tcW w:w="6204" w:type="dxa"/>
            <w:tcBorders>
              <w:top w:val="single" w:sz="4" w:space="0" w:color="auto"/>
              <w:left w:val="single" w:sz="12"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lastRenderedPageBreak/>
              <w:t>Проведение испытаний образцов-свидетелей 4-х различных плавок из стали в независимой испытательной лаборатории:</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4"/>
              </w:numPr>
              <w:spacing w:before="120"/>
              <w:ind w:left="538" w:hanging="357"/>
              <w:jc w:val="left"/>
              <w:rPr>
                <w:rFonts w:eastAsia="Calibri"/>
                <w:sz w:val="20"/>
                <w:szCs w:val="20"/>
              </w:rPr>
            </w:pPr>
            <w:r>
              <w:rPr>
                <w:rFonts w:eastAsia="Calibri"/>
                <w:sz w:val="20"/>
                <w:szCs w:val="20"/>
              </w:rPr>
              <w:t>испытание образцов на одноосное растяжение;</w:t>
            </w:r>
          </w:p>
          <w:p>
            <w:pPr>
              <w:numPr>
                <w:ilvl w:val="0"/>
                <w:numId w:val="64"/>
              </w:numPr>
              <w:spacing w:before="120"/>
              <w:ind w:left="538" w:hanging="357"/>
              <w:jc w:val="left"/>
              <w:rPr>
                <w:rFonts w:eastAsia="Calibri"/>
                <w:sz w:val="20"/>
                <w:szCs w:val="20"/>
              </w:rPr>
            </w:pPr>
            <w:r>
              <w:rPr>
                <w:rFonts w:eastAsia="Calibri"/>
                <w:sz w:val="20"/>
                <w:szCs w:val="20"/>
              </w:rPr>
              <w:t>химический анализ;</w:t>
            </w:r>
          </w:p>
          <w:p>
            <w:pPr>
              <w:numPr>
                <w:ilvl w:val="0"/>
                <w:numId w:val="64"/>
              </w:numPr>
              <w:spacing w:before="120"/>
              <w:ind w:left="538" w:hanging="357"/>
              <w:jc w:val="left"/>
              <w:rPr>
                <w:rFonts w:eastAsia="Calibri"/>
                <w:sz w:val="20"/>
                <w:szCs w:val="20"/>
              </w:rPr>
            </w:pPr>
            <w:r>
              <w:rPr>
                <w:rFonts w:eastAsia="Calibri"/>
                <w:sz w:val="20"/>
                <w:szCs w:val="20"/>
              </w:rPr>
              <w:t>выборочный контроль микроструктуры (макроструктуры).</w:t>
            </w:r>
          </w:p>
          <w:p>
            <w:pPr>
              <w:jc w:val="left"/>
              <w:rPr>
                <w:rFonts w:eastAsia="Calibri"/>
                <w:sz w:val="20"/>
                <w:szCs w:val="20"/>
              </w:rPr>
            </w:pPr>
          </w:p>
          <w:p>
            <w:pPr>
              <w:jc w:val="left"/>
              <w:rPr>
                <w:rFonts w:eastAsia="Calibri"/>
                <w:sz w:val="20"/>
                <w:szCs w:val="20"/>
              </w:rPr>
            </w:pPr>
            <w:r>
              <w:rPr>
                <w:rFonts w:eastAsia="Calibri"/>
                <w:sz w:val="20"/>
                <w:szCs w:val="20"/>
              </w:rPr>
              <w:t xml:space="preserve">В случае, если результаты механических испытаний </w:t>
            </w:r>
            <w:r>
              <w:rPr>
                <w:rFonts w:eastAsia="Calibri"/>
                <w:b/>
                <w:i/>
                <w:sz w:val="20"/>
                <w:szCs w:val="20"/>
              </w:rPr>
              <w:t>н</w:t>
            </w:r>
            <w:r>
              <w:rPr>
                <w:rFonts w:eastAsia="Calibri"/>
                <w:b/>
                <w:i/>
                <w:iCs/>
                <w:sz w:val="20"/>
                <w:szCs w:val="20"/>
                <w:shd w:val="clear" w:color="auto" w:fill="FFFFFF"/>
              </w:rPr>
              <w:t>еудовлетворительные</w:t>
            </w:r>
            <w:r>
              <w:rPr>
                <w:rFonts w:eastAsia="Calibri"/>
                <w:sz w:val="20"/>
                <w:szCs w:val="20"/>
              </w:rPr>
              <w:t>, оценка микроструктуры (макроструктуры) образцов-свидетелей проводится в обязательном порядке</w:t>
            </w:r>
          </w:p>
        </w:tc>
        <w:tc>
          <w:tcPr>
            <w:tcW w:w="2268" w:type="dxa"/>
            <w:tcBorders>
              <w:top w:val="single" w:sz="4" w:space="0" w:color="auto"/>
              <w:left w:val="single" w:sz="4" w:space="0" w:color="auto"/>
              <w:bottom w:val="single" w:sz="4" w:space="0" w:color="auto"/>
              <w:right w:val="single" w:sz="4" w:space="0" w:color="auto"/>
            </w:tcBorders>
            <w:hideMark/>
          </w:tcPr>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hideMark/>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r>
        <w:trPr>
          <w:trHeight w:val="563"/>
        </w:trPr>
        <w:tc>
          <w:tcPr>
            <w:tcW w:w="6204" w:type="dxa"/>
            <w:tcBorders>
              <w:top w:val="single" w:sz="4" w:space="0" w:color="auto"/>
              <w:left w:val="single" w:sz="12" w:space="0" w:color="auto"/>
              <w:bottom w:val="single" w:sz="12" w:space="0" w:color="auto"/>
              <w:right w:val="single" w:sz="4" w:space="0" w:color="auto"/>
            </w:tcBorders>
            <w:hideMark/>
          </w:tcPr>
          <w:p>
            <w:pPr>
              <w:contextualSpacing/>
              <w:jc w:val="left"/>
              <w:rPr>
                <w:rFonts w:eastAsia="Times New Roman"/>
                <w:sz w:val="20"/>
                <w:szCs w:val="20"/>
              </w:rPr>
            </w:pPr>
            <w:r>
              <w:rPr>
                <w:rFonts w:eastAsia="Times New Roman"/>
                <w:sz w:val="20"/>
                <w:szCs w:val="20"/>
              </w:rPr>
              <w:t xml:space="preserve">Анализ результатов испытаний шарового крана из стали на соответствие требований НД РФ, </w:t>
            </w:r>
            <w:r>
              <w:rPr>
                <w:rFonts w:eastAsia="Calibri"/>
                <w:sz w:val="20"/>
                <w:szCs w:val="20"/>
              </w:rPr>
              <w:t xml:space="preserve">требований </w:t>
            </w:r>
            <w:r>
              <w:rPr>
                <w:rFonts w:eastAsia="Times New Roman"/>
                <w:sz w:val="20"/>
                <w:szCs w:val="20"/>
              </w:rPr>
              <w:t>настоящих Методических указаний.</w:t>
            </w:r>
          </w:p>
          <w:p>
            <w:pPr>
              <w:contextualSpacing/>
              <w:jc w:val="left"/>
              <w:rPr>
                <w:rFonts w:eastAsia="Calibri"/>
                <w:sz w:val="20"/>
                <w:szCs w:val="20"/>
              </w:rPr>
            </w:pPr>
            <w:r>
              <w:rPr>
                <w:rFonts w:eastAsia="Calibri"/>
                <w:sz w:val="20"/>
                <w:szCs w:val="20"/>
              </w:rPr>
              <w:t>Предоставление ПАО «НК «Роснефть» сводного заключения/отчета по результатам комплексных исследований (испытаний) готового изделия (шарового крана) и образцов-свидетелей из стали о соответствии методики, состава и объемов проведенных испытаний материала основных деталей корпуса, определенного завода-изготовителя основных деталей корпуса арматуры, а также полученных результатов испытаний, требованиям настоящих Методических указаний и возможности применения арматуры из данного материала основных деталей корпуса, определенного завода-изготовителя основных деталей корпуса арматуры на объектах Компании ПАО «НК «Роснефть», с обязательным указанием допустимого перечня рабочих сред в соответствии с классификацией по Таблице 8 настоящих Методических указаний, допустимого климатического исполнения</w:t>
            </w:r>
          </w:p>
        </w:tc>
        <w:tc>
          <w:tcPr>
            <w:tcW w:w="2268" w:type="dxa"/>
            <w:tcBorders>
              <w:top w:val="single" w:sz="4" w:space="0" w:color="auto"/>
              <w:left w:val="single" w:sz="4" w:space="0" w:color="auto"/>
              <w:bottom w:val="single" w:sz="12" w:space="0" w:color="auto"/>
              <w:right w:val="single" w:sz="4" w:space="0" w:color="auto"/>
            </w:tcBorders>
            <w:hideMark/>
          </w:tcPr>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12" w:space="0" w:color="auto"/>
              <w:right w:val="single" w:sz="12" w:space="0" w:color="auto"/>
            </w:tcBorders>
            <w:hideMark/>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bl>
    <w:p>
      <w:pPr>
        <w:rPr>
          <w:rFonts w:eastAsia="Calibri"/>
        </w:rPr>
      </w:pPr>
    </w:p>
    <w:p>
      <w:pPr>
        <w:rPr>
          <w:rFonts w:ascii="Arial" w:eastAsia="Calibri" w:hAnsi="Arial" w:cs="Arial"/>
          <w:b/>
        </w:rPr>
        <w:sectPr>
          <w:pgSz w:w="11906" w:h="16838"/>
          <w:pgMar w:top="510" w:right="1021" w:bottom="567" w:left="1247" w:header="737" w:footer="680" w:gutter="0"/>
          <w:cols w:space="708"/>
          <w:docGrid w:linePitch="360"/>
        </w:sectPr>
      </w:pPr>
    </w:p>
    <w:p>
      <w:pPr>
        <w:jc w:val="center"/>
        <w:rPr>
          <w:rFonts w:ascii="Arial" w:hAnsi="Arial" w:cs="Arial"/>
          <w:b/>
          <w:i/>
          <w:snapToGrid w:val="0"/>
        </w:rPr>
      </w:pPr>
      <w:bookmarkStart w:id="336" w:name="_Toc484014607"/>
      <w:r>
        <w:rPr>
          <w:rFonts w:ascii="Arial" w:hAnsi="Arial" w:cs="Arial"/>
          <w:b/>
          <w:snapToGrid w:val="0"/>
        </w:rPr>
        <w:lastRenderedPageBreak/>
        <w:t>ПРОГРАММА РАБОТ ПО ИСПЫТАНИЮ ШАРОВОГО КРАНА ИЗ СТАЛЕЙ СТОЙКИХ К КОРРОЗИОННОМУ РАСТРЕСКИВАНИЮ</w:t>
      </w:r>
      <w:bookmarkEnd w:id="336"/>
    </w:p>
    <w:p>
      <w:pPr>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4645"/>
      </w:tblGrid>
      <w:tr>
        <w:trPr>
          <w:trHeight w:val="276"/>
        </w:trPr>
        <w:tc>
          <w:tcPr>
            <w:tcW w:w="4961" w:type="dxa"/>
            <w:shd w:val="clear" w:color="auto" w:fill="auto"/>
          </w:tcPr>
          <w:p>
            <w:pPr>
              <w:rPr>
                <w:rFonts w:eastAsia="Calibri"/>
                <w:b/>
                <w:noProof/>
              </w:rPr>
            </w:pPr>
            <w:r>
              <w:rPr>
                <w:rFonts w:eastAsia="Calibri"/>
                <w:b/>
                <w:noProof/>
              </w:rPr>
              <w:t>УТВЕРЖДАЮ:</w:t>
            </w:r>
          </w:p>
        </w:tc>
        <w:tc>
          <w:tcPr>
            <w:tcW w:w="4645" w:type="dxa"/>
            <w:shd w:val="clear" w:color="auto" w:fill="auto"/>
          </w:tcPr>
          <w:p>
            <w:pPr>
              <w:rPr>
                <w:rFonts w:eastAsia="Calibri"/>
                <w:b/>
                <w:noProof/>
              </w:rPr>
            </w:pPr>
            <w:r>
              <w:rPr>
                <w:rFonts w:eastAsia="Calibri"/>
                <w:b/>
                <w:noProof/>
              </w:rPr>
              <w:t>СОГЛАСОВАНО:</w:t>
            </w:r>
          </w:p>
        </w:tc>
      </w:tr>
      <w:tr>
        <w:trPr>
          <w:trHeight w:val="560"/>
        </w:trPr>
        <w:tc>
          <w:tcPr>
            <w:tcW w:w="4961" w:type="dxa"/>
            <w:shd w:val="clear" w:color="auto" w:fill="auto"/>
          </w:tcPr>
          <w:p>
            <w:pPr>
              <w:rPr>
                <w:rFonts w:eastAsia="Calibri"/>
              </w:rPr>
            </w:pPr>
            <w:r>
              <w:rPr>
                <w:rFonts w:eastAsia="Calibri"/>
              </w:rPr>
              <w:t>Наименование независимой испытательной лаборатории</w:t>
            </w:r>
          </w:p>
          <w:p>
            <w:pPr>
              <w:rPr>
                <w:rFonts w:eastAsia="Calibri"/>
                <w:b/>
                <w:noProof/>
              </w:rPr>
            </w:pPr>
            <w:r>
              <w:rPr>
                <w:rFonts w:eastAsia="Calibri"/>
              </w:rPr>
              <w:t>(должность, ФИО, подпись, дата)</w:t>
            </w:r>
          </w:p>
        </w:tc>
        <w:tc>
          <w:tcPr>
            <w:tcW w:w="4645" w:type="dxa"/>
            <w:shd w:val="clear" w:color="auto" w:fill="auto"/>
          </w:tcPr>
          <w:p>
            <w:pPr>
              <w:rPr>
                <w:rFonts w:eastAsia="Calibri"/>
              </w:rPr>
            </w:pPr>
            <w:r>
              <w:rPr>
                <w:rFonts w:eastAsia="Calibri"/>
              </w:rPr>
              <w:t>Наименование завода-изготовителя кранов</w:t>
            </w:r>
          </w:p>
          <w:p>
            <w:pPr>
              <w:rPr>
                <w:rFonts w:eastAsia="Calibri"/>
              </w:rPr>
            </w:pPr>
          </w:p>
          <w:p>
            <w:pPr>
              <w:rPr>
                <w:rFonts w:eastAsia="Calibri"/>
                <w:b/>
                <w:noProof/>
              </w:rPr>
            </w:pPr>
            <w:r>
              <w:rPr>
                <w:rFonts w:eastAsia="Calibri"/>
              </w:rPr>
              <w:t>(должность, ФИО, подпись, дата)</w:t>
            </w:r>
          </w:p>
        </w:tc>
      </w:tr>
    </w:tbl>
    <w:p>
      <w:pPr>
        <w:jc w:val="center"/>
        <w:rPr>
          <w:b/>
          <w:sz w:val="28"/>
          <w:szCs w:val="20"/>
        </w:rPr>
      </w:pPr>
    </w:p>
    <w:p>
      <w:pPr>
        <w:jc w:val="center"/>
        <w:rPr>
          <w:b/>
          <w:sz w:val="28"/>
          <w:szCs w:val="20"/>
        </w:rPr>
      </w:pPr>
      <w:r>
        <w:rPr>
          <w:b/>
          <w:sz w:val="28"/>
          <w:szCs w:val="20"/>
        </w:rPr>
        <w:t>ПРОГРАММА РАБОТ</w:t>
      </w:r>
    </w:p>
    <w:p>
      <w:pPr>
        <w:jc w:val="center"/>
        <w:rPr>
          <w:rFonts w:eastAsia="Calibri"/>
        </w:rPr>
      </w:pPr>
      <w:r>
        <w:rPr>
          <w:rFonts w:eastAsia="Calibri"/>
        </w:rPr>
        <w:t>по определению возможности применения в Обществах групп ПАО «НК «Роснефть» шаровых кранов из сталей, изготовленных из отливок, поковок, штамповок, проката</w:t>
      </w:r>
    </w:p>
    <w:p>
      <w:pPr>
        <w:jc w:val="center"/>
        <w:rPr>
          <w:rFonts w:eastAsia="Calibri"/>
        </w:rPr>
      </w:pPr>
      <w:r>
        <w:rPr>
          <w:rFonts w:eastAsia="Calibri"/>
        </w:rPr>
        <w:t>(</w:t>
      </w:r>
      <w:r>
        <w:rPr>
          <w:rFonts w:eastAsia="Calibri"/>
          <w:b/>
        </w:rPr>
        <w:t>стойких к коррозионному растрескиванию</w:t>
      </w:r>
      <w:r>
        <w:rPr>
          <w:rFonts w:eastAsia="Calibri"/>
        </w:rPr>
        <w:t xml:space="preserve">) </w:t>
      </w:r>
    </w:p>
    <w:p>
      <w:pPr>
        <w:jc w:val="center"/>
        <w:rPr>
          <w:rFonts w:eastAsia="Calibri"/>
          <w:u w:val="single"/>
        </w:rPr>
      </w:pP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p>
    <w:p>
      <w:pPr>
        <w:jc w:val="center"/>
        <w:rPr>
          <w:rFonts w:eastAsia="Calibri"/>
        </w:rPr>
      </w:pPr>
      <w:r>
        <w:rPr>
          <w:rFonts w:eastAsia="Calibri"/>
          <w:sz w:val="18"/>
        </w:rPr>
        <w:t>наименование завода-изготовителя кранов</w:t>
      </w:r>
    </w:p>
    <w:p>
      <w:pPr>
        <w:ind w:left="-709"/>
        <w:rPr>
          <w:rFonts w:eastAsia="Calibri"/>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04"/>
        <w:gridCol w:w="2268"/>
        <w:gridCol w:w="1417"/>
      </w:tblGrid>
      <w:tr>
        <w:trPr>
          <w:tblHeader/>
        </w:trPr>
        <w:tc>
          <w:tcPr>
            <w:tcW w:w="6204" w:type="dxa"/>
            <w:tcBorders>
              <w:top w:val="single" w:sz="12" w:space="0" w:color="auto"/>
              <w:left w:val="single" w:sz="12"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ЭТАПЫ РАБОТЫ:</w:t>
            </w:r>
          </w:p>
        </w:tc>
        <w:tc>
          <w:tcPr>
            <w:tcW w:w="2268" w:type="dxa"/>
            <w:tcBorders>
              <w:top w:val="single" w:sz="12" w:space="0" w:color="auto"/>
              <w:left w:val="single" w:sz="4"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ОТВЕТСТВЕННЫЕ</w:t>
            </w:r>
          </w:p>
        </w:tc>
        <w:tc>
          <w:tcPr>
            <w:tcW w:w="1417" w:type="dxa"/>
            <w:tcBorders>
              <w:top w:val="single" w:sz="12" w:space="0" w:color="auto"/>
              <w:left w:val="single" w:sz="4" w:space="0" w:color="auto"/>
              <w:bottom w:val="single" w:sz="12" w:space="0" w:color="auto"/>
              <w:right w:val="single" w:sz="12"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СРОК ВЫПОЛНЕНИЯ</w:t>
            </w:r>
          </w:p>
        </w:tc>
      </w:tr>
      <w:tr>
        <w:trPr>
          <w:tblHeader/>
        </w:trPr>
        <w:tc>
          <w:tcPr>
            <w:tcW w:w="6204" w:type="dxa"/>
            <w:tcBorders>
              <w:top w:val="single" w:sz="12" w:space="0" w:color="auto"/>
              <w:left w:val="single" w:sz="12"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1</w:t>
            </w:r>
          </w:p>
        </w:tc>
        <w:tc>
          <w:tcPr>
            <w:tcW w:w="2268" w:type="dxa"/>
            <w:tcBorders>
              <w:top w:val="single" w:sz="12" w:space="0" w:color="auto"/>
              <w:left w:val="single" w:sz="4" w:space="0" w:color="auto"/>
              <w:bottom w:val="single" w:sz="12" w:space="0" w:color="auto"/>
              <w:right w:val="single" w:sz="4"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2</w:t>
            </w:r>
          </w:p>
        </w:tc>
        <w:tc>
          <w:tcPr>
            <w:tcW w:w="1417" w:type="dxa"/>
            <w:tcBorders>
              <w:top w:val="single" w:sz="12" w:space="0" w:color="auto"/>
              <w:left w:val="single" w:sz="4" w:space="0" w:color="auto"/>
              <w:bottom w:val="single" w:sz="12" w:space="0" w:color="auto"/>
              <w:right w:val="single" w:sz="12" w:space="0" w:color="auto"/>
            </w:tcBorders>
            <w:shd w:val="clear" w:color="auto" w:fill="FFD200"/>
            <w:vAlign w:val="center"/>
          </w:tcPr>
          <w:p>
            <w:pPr>
              <w:jc w:val="center"/>
              <w:rPr>
                <w:rFonts w:ascii="Arial" w:eastAsia="Calibri" w:hAnsi="Arial" w:cs="Arial"/>
                <w:b/>
                <w:sz w:val="16"/>
                <w:szCs w:val="20"/>
              </w:rPr>
            </w:pPr>
            <w:r>
              <w:rPr>
                <w:rFonts w:ascii="Arial" w:eastAsia="Calibri" w:hAnsi="Arial" w:cs="Arial"/>
                <w:b/>
                <w:sz w:val="16"/>
                <w:szCs w:val="20"/>
              </w:rPr>
              <w:t>3</w:t>
            </w:r>
          </w:p>
        </w:tc>
      </w:tr>
      <w:tr>
        <w:tc>
          <w:tcPr>
            <w:tcW w:w="6204" w:type="dxa"/>
            <w:tcBorders>
              <w:top w:val="single" w:sz="12" w:space="0" w:color="auto"/>
              <w:left w:val="single" w:sz="12" w:space="0" w:color="auto"/>
              <w:bottom w:val="single" w:sz="4" w:space="0" w:color="auto"/>
              <w:right w:val="single" w:sz="4" w:space="0" w:color="auto"/>
            </w:tcBorders>
          </w:tcPr>
          <w:p>
            <w:pPr>
              <w:jc w:val="left"/>
              <w:rPr>
                <w:rFonts w:eastAsia="Calibri"/>
                <w:sz w:val="20"/>
                <w:szCs w:val="20"/>
              </w:rPr>
            </w:pPr>
            <w:r>
              <w:rPr>
                <w:rFonts w:eastAsia="Calibri"/>
                <w:sz w:val="20"/>
                <w:szCs w:val="20"/>
              </w:rPr>
              <w:t>Завод-изготовитель кранов предоставляет из партии готовых изделий, прошедших цикл приемо-сдаточных испытаний, одно изделие (шарового крана) из стали стойкой к коррозионному растрескиванию.</w:t>
            </w:r>
          </w:p>
          <w:p>
            <w:pPr>
              <w:contextualSpacing/>
              <w:jc w:val="left"/>
              <w:rPr>
                <w:rFonts w:eastAsia="Times New Roman"/>
                <w:sz w:val="20"/>
                <w:szCs w:val="20"/>
              </w:rPr>
            </w:pPr>
          </w:p>
          <w:p>
            <w:pPr>
              <w:contextualSpacing/>
              <w:jc w:val="left"/>
              <w:rPr>
                <w:rFonts w:eastAsia="Times New Roman"/>
                <w:sz w:val="20"/>
                <w:szCs w:val="20"/>
              </w:rPr>
            </w:pPr>
            <w:r>
              <w:rPr>
                <w:rFonts w:eastAsia="Times New Roman"/>
                <w:sz w:val="20"/>
                <w:szCs w:val="20"/>
              </w:rPr>
              <w:t>Кран в количестве 1 (одной) единицы передается в независимую испытательную лабораторию для проведения комплекса исследований</w:t>
            </w:r>
          </w:p>
        </w:tc>
        <w:tc>
          <w:tcPr>
            <w:tcW w:w="2268" w:type="dxa"/>
            <w:tcBorders>
              <w:top w:val="single" w:sz="12"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t>Наименование завода-изготовителя кранов</w:t>
            </w:r>
          </w:p>
        </w:tc>
        <w:tc>
          <w:tcPr>
            <w:tcW w:w="1417" w:type="dxa"/>
            <w:tcBorders>
              <w:top w:val="single" w:sz="12" w:space="0" w:color="auto"/>
              <w:left w:val="single" w:sz="4" w:space="0" w:color="auto"/>
              <w:bottom w:val="single" w:sz="4" w:space="0" w:color="auto"/>
              <w:right w:val="single" w:sz="12" w:space="0" w:color="auto"/>
            </w:tcBorders>
          </w:tcPr>
          <w:p>
            <w:pPr>
              <w:jc w:val="left"/>
              <w:rPr>
                <w:rFonts w:eastAsia="Calibri"/>
                <w:sz w:val="20"/>
                <w:szCs w:val="20"/>
              </w:rPr>
            </w:pPr>
            <w:r>
              <w:rPr>
                <w:rFonts w:eastAsia="Calibri"/>
                <w:sz w:val="20"/>
                <w:szCs w:val="20"/>
              </w:rPr>
              <w:t xml:space="preserve">Сроки выполнения указываются </w:t>
            </w:r>
          </w:p>
          <w:p>
            <w:pPr>
              <w:jc w:val="left"/>
              <w:rPr>
                <w:rFonts w:eastAsia="Calibri"/>
                <w:b/>
                <w:sz w:val="20"/>
                <w:szCs w:val="20"/>
              </w:rPr>
            </w:pPr>
            <w:r>
              <w:rPr>
                <w:rFonts w:eastAsia="Calibri"/>
                <w:sz w:val="20"/>
                <w:szCs w:val="20"/>
              </w:rPr>
              <w:t>заводом-изготовителем крана</w:t>
            </w:r>
          </w:p>
        </w:tc>
      </w:tr>
      <w:tr>
        <w:tc>
          <w:tcPr>
            <w:tcW w:w="6204" w:type="dxa"/>
            <w:tcBorders>
              <w:top w:val="single" w:sz="4" w:space="0" w:color="auto"/>
              <w:left w:val="single" w:sz="12" w:space="0" w:color="auto"/>
              <w:bottom w:val="single" w:sz="4" w:space="0" w:color="auto"/>
              <w:right w:val="single" w:sz="4" w:space="0" w:color="auto"/>
            </w:tcBorders>
          </w:tcPr>
          <w:p>
            <w:pPr>
              <w:contextualSpacing/>
              <w:jc w:val="left"/>
              <w:rPr>
                <w:rFonts w:eastAsia="Times New Roman"/>
                <w:sz w:val="20"/>
                <w:szCs w:val="20"/>
              </w:rPr>
            </w:pPr>
            <w:r>
              <w:rPr>
                <w:rFonts w:eastAsia="Times New Roman"/>
                <w:sz w:val="20"/>
                <w:szCs w:val="20"/>
              </w:rPr>
              <w:t xml:space="preserve">Завод-изготовитель </w:t>
            </w:r>
            <w:r>
              <w:rPr>
                <w:rFonts w:eastAsia="Calibri"/>
                <w:sz w:val="20"/>
                <w:szCs w:val="20"/>
              </w:rPr>
              <w:t>кранов</w:t>
            </w:r>
            <w:r>
              <w:rPr>
                <w:rFonts w:eastAsia="Times New Roman"/>
                <w:sz w:val="20"/>
                <w:szCs w:val="20"/>
              </w:rPr>
              <w:t xml:space="preserve"> предоставляет образцы-свидетели из стали стойкой к коррозионному растрескиванию от 10-ти различных плавок (для зарубежных заводов изготовителей – 29 комплектов образцов-свидетелей различных плавок), используемой для изготовления шаровых кранов.</w:t>
            </w:r>
          </w:p>
          <w:p>
            <w:pPr>
              <w:numPr>
                <w:ilvl w:val="0"/>
                <w:numId w:val="65"/>
              </w:numPr>
              <w:spacing w:before="120"/>
              <w:ind w:left="538" w:hanging="357"/>
              <w:jc w:val="left"/>
              <w:rPr>
                <w:rFonts w:eastAsia="Calibri"/>
                <w:sz w:val="20"/>
                <w:szCs w:val="20"/>
              </w:rPr>
            </w:pPr>
            <w:r>
              <w:rPr>
                <w:rFonts w:eastAsia="Calibri"/>
                <w:sz w:val="20"/>
                <w:szCs w:val="20"/>
              </w:rPr>
              <w:t>образцы 6-ти различных плавок из стали стойкой к коррозионному растрескиванию передаются в испытательную лабораторию завода-изготовителя кранов;</w:t>
            </w:r>
          </w:p>
          <w:p>
            <w:pPr>
              <w:numPr>
                <w:ilvl w:val="0"/>
                <w:numId w:val="65"/>
              </w:numPr>
              <w:spacing w:before="120"/>
              <w:ind w:left="538" w:hanging="357"/>
              <w:jc w:val="left"/>
              <w:rPr>
                <w:rFonts w:eastAsia="Calibri"/>
                <w:sz w:val="20"/>
                <w:szCs w:val="20"/>
              </w:rPr>
            </w:pPr>
            <w:r>
              <w:rPr>
                <w:rFonts w:eastAsia="Calibri"/>
                <w:sz w:val="20"/>
                <w:szCs w:val="20"/>
              </w:rPr>
              <w:t>образцы 4-ти различных плавок из стали стойкой к коррозионному растрескиванию передаются в независимую испытательную лабораторию.</w:t>
            </w:r>
          </w:p>
          <w:p>
            <w:pPr>
              <w:jc w:val="left"/>
              <w:rPr>
                <w:rFonts w:eastAsia="Calibri"/>
                <w:sz w:val="20"/>
                <w:szCs w:val="20"/>
              </w:rPr>
            </w:pPr>
          </w:p>
          <w:p>
            <w:pPr>
              <w:jc w:val="left"/>
              <w:rPr>
                <w:rFonts w:eastAsia="Calibri"/>
                <w:sz w:val="20"/>
                <w:szCs w:val="20"/>
              </w:rPr>
            </w:pPr>
            <w:r>
              <w:rPr>
                <w:rFonts w:eastAsia="Calibri"/>
                <w:sz w:val="20"/>
                <w:szCs w:val="20"/>
              </w:rPr>
              <w:t>Образцы-свидетели должны быть термически обработаны на заводе-изготовителе кранов по режиму аналогичному режиму термической обработки для готового изделия</w:t>
            </w:r>
          </w:p>
        </w:tc>
        <w:tc>
          <w:tcPr>
            <w:tcW w:w="2268" w:type="dxa"/>
            <w:tcBorders>
              <w:top w:val="single" w:sz="4"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t>Наименование завода-изготовителя кранов</w:t>
            </w:r>
          </w:p>
          <w:p>
            <w:pPr>
              <w:jc w:val="left"/>
              <w:rPr>
                <w:rFonts w:eastAsia="Calibri"/>
                <w:sz w:val="20"/>
                <w:szCs w:val="20"/>
              </w:rPr>
            </w:pPr>
          </w:p>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tcPr>
          <w:p>
            <w:pPr>
              <w:jc w:val="left"/>
              <w:rPr>
                <w:rFonts w:eastAsia="Calibri"/>
                <w:sz w:val="20"/>
                <w:szCs w:val="20"/>
              </w:rPr>
            </w:pPr>
            <w:r>
              <w:rPr>
                <w:rFonts w:eastAsia="Calibri"/>
                <w:sz w:val="20"/>
                <w:szCs w:val="20"/>
              </w:rPr>
              <w:t>Сроки выполнения указываются</w:t>
            </w:r>
          </w:p>
          <w:p>
            <w:pPr>
              <w:jc w:val="left"/>
              <w:rPr>
                <w:rFonts w:eastAsia="Calibri"/>
                <w:b/>
                <w:sz w:val="20"/>
                <w:szCs w:val="20"/>
              </w:rPr>
            </w:pPr>
            <w:r>
              <w:rPr>
                <w:rFonts w:eastAsia="Calibri"/>
                <w:sz w:val="20"/>
                <w:szCs w:val="20"/>
              </w:rPr>
              <w:t>заводом-изготовителем кранов и независимой испытательной лабораторией</w:t>
            </w:r>
          </w:p>
        </w:tc>
      </w:tr>
      <w:tr>
        <w:tc>
          <w:tcPr>
            <w:tcW w:w="6204" w:type="dxa"/>
            <w:tcBorders>
              <w:top w:val="single" w:sz="4" w:space="0" w:color="auto"/>
              <w:left w:val="single" w:sz="12" w:space="0" w:color="auto"/>
              <w:bottom w:val="single" w:sz="4" w:space="0" w:color="auto"/>
              <w:right w:val="single" w:sz="4" w:space="0" w:color="auto"/>
            </w:tcBorders>
          </w:tcPr>
          <w:p>
            <w:pPr>
              <w:jc w:val="left"/>
              <w:rPr>
                <w:rFonts w:eastAsia="Calibri"/>
                <w:sz w:val="20"/>
                <w:szCs w:val="20"/>
              </w:rPr>
            </w:pPr>
            <w:r>
              <w:rPr>
                <w:rFonts w:eastAsia="Calibri"/>
                <w:sz w:val="20"/>
                <w:szCs w:val="20"/>
              </w:rPr>
              <w:t xml:space="preserve">Проведение полного комплекса исследований на соответствие НД РФ, требований </w:t>
            </w:r>
            <w:r>
              <w:rPr>
                <w:rFonts w:eastAsia="Times New Roman"/>
                <w:sz w:val="20"/>
                <w:szCs w:val="20"/>
              </w:rPr>
              <w:t>настоящих Методических указаний</w:t>
            </w:r>
            <w:r>
              <w:rPr>
                <w:rFonts w:eastAsia="Calibri"/>
                <w:sz w:val="20"/>
                <w:szCs w:val="20"/>
              </w:rPr>
              <w:t xml:space="preserve"> в независимой испытательной лаборатории одного готового изделия (шарового крана) из стали стойкой к коррозионному растрескиванию:</w:t>
            </w:r>
          </w:p>
          <w:p>
            <w:pPr>
              <w:numPr>
                <w:ilvl w:val="0"/>
                <w:numId w:val="65"/>
              </w:numPr>
              <w:spacing w:before="120"/>
              <w:ind w:left="538" w:hanging="357"/>
              <w:jc w:val="left"/>
              <w:rPr>
                <w:rFonts w:eastAsia="Calibri"/>
                <w:sz w:val="20"/>
                <w:szCs w:val="20"/>
              </w:rPr>
            </w:pPr>
            <w:r>
              <w:rPr>
                <w:rFonts w:eastAsia="Calibri"/>
                <w:sz w:val="20"/>
                <w:szCs w:val="20"/>
              </w:rPr>
              <w:t>химический анализ;</w:t>
            </w:r>
          </w:p>
          <w:p>
            <w:pPr>
              <w:numPr>
                <w:ilvl w:val="0"/>
                <w:numId w:val="65"/>
              </w:numPr>
              <w:spacing w:before="120"/>
              <w:ind w:left="538" w:hanging="357"/>
              <w:jc w:val="left"/>
              <w:rPr>
                <w:rFonts w:eastAsia="Calibri"/>
                <w:sz w:val="20"/>
                <w:szCs w:val="20"/>
              </w:rPr>
            </w:pPr>
            <w:r>
              <w:rPr>
                <w:rFonts w:eastAsia="Calibri"/>
                <w:sz w:val="20"/>
                <w:szCs w:val="20"/>
              </w:rPr>
              <w:t>оценка микроструктуры (макроструктуры) основного металла;</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на растяжение;</w:t>
            </w:r>
          </w:p>
          <w:p>
            <w:pPr>
              <w:numPr>
                <w:ilvl w:val="0"/>
                <w:numId w:val="65"/>
              </w:numPr>
              <w:spacing w:before="120"/>
              <w:ind w:left="538" w:hanging="357"/>
              <w:jc w:val="left"/>
              <w:rPr>
                <w:rFonts w:eastAsia="Calibri"/>
                <w:sz w:val="20"/>
                <w:szCs w:val="20"/>
              </w:rPr>
            </w:pPr>
            <w:r>
              <w:rPr>
                <w:rFonts w:eastAsia="Calibri"/>
                <w:sz w:val="20"/>
                <w:szCs w:val="20"/>
              </w:rPr>
              <w:t>измерение твердости;</w:t>
            </w:r>
          </w:p>
          <w:p>
            <w:pPr>
              <w:numPr>
                <w:ilvl w:val="0"/>
                <w:numId w:val="65"/>
              </w:numPr>
              <w:spacing w:before="120"/>
              <w:ind w:left="538" w:hanging="357"/>
              <w:jc w:val="left"/>
              <w:rPr>
                <w:rFonts w:eastAsia="Calibri"/>
                <w:sz w:val="20"/>
                <w:szCs w:val="20"/>
              </w:rPr>
            </w:pPr>
            <w:r>
              <w:rPr>
                <w:rFonts w:eastAsia="Calibri"/>
                <w:sz w:val="20"/>
                <w:szCs w:val="20"/>
              </w:rPr>
              <w:t xml:space="preserve">оценка загрязненности металла неметаллическими </w:t>
            </w:r>
            <w:r>
              <w:rPr>
                <w:rFonts w:eastAsia="Calibri"/>
                <w:sz w:val="20"/>
                <w:szCs w:val="20"/>
              </w:rPr>
              <w:lastRenderedPageBreak/>
              <w:t>включениями;</w:t>
            </w:r>
          </w:p>
          <w:p>
            <w:pPr>
              <w:numPr>
                <w:ilvl w:val="0"/>
                <w:numId w:val="65"/>
              </w:numPr>
              <w:spacing w:before="120"/>
              <w:ind w:left="538" w:hanging="357"/>
              <w:jc w:val="left"/>
              <w:rPr>
                <w:rFonts w:eastAsia="Calibri"/>
                <w:sz w:val="20"/>
                <w:szCs w:val="20"/>
              </w:rPr>
            </w:pPr>
            <w:r>
              <w:rPr>
                <w:rFonts w:eastAsia="Calibri"/>
                <w:sz w:val="20"/>
                <w:szCs w:val="20"/>
              </w:rPr>
              <w:t>испытания на стойкость к ВР;</w:t>
            </w:r>
          </w:p>
          <w:p>
            <w:pPr>
              <w:numPr>
                <w:ilvl w:val="0"/>
                <w:numId w:val="65"/>
              </w:numPr>
              <w:spacing w:before="120"/>
              <w:ind w:left="538" w:hanging="357"/>
              <w:jc w:val="left"/>
              <w:rPr>
                <w:rFonts w:eastAsia="Calibri"/>
                <w:sz w:val="20"/>
                <w:szCs w:val="20"/>
              </w:rPr>
            </w:pPr>
            <w:r>
              <w:rPr>
                <w:rFonts w:eastAsia="Calibri"/>
                <w:sz w:val="20"/>
                <w:szCs w:val="20"/>
              </w:rPr>
              <w:t>испытания на стойкость к СКРН,</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на стойкость к общей коррозии в сероводородной среде</w:t>
            </w:r>
          </w:p>
        </w:tc>
        <w:tc>
          <w:tcPr>
            <w:tcW w:w="2268" w:type="dxa"/>
            <w:tcBorders>
              <w:top w:val="single" w:sz="4"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lastRenderedPageBreak/>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r>
        <w:tc>
          <w:tcPr>
            <w:tcW w:w="6204" w:type="dxa"/>
            <w:tcBorders>
              <w:top w:val="single" w:sz="4" w:space="0" w:color="auto"/>
              <w:left w:val="single" w:sz="12" w:space="0" w:color="auto"/>
              <w:bottom w:val="single" w:sz="4" w:space="0" w:color="auto"/>
              <w:right w:val="single" w:sz="4" w:space="0" w:color="auto"/>
            </w:tcBorders>
          </w:tcPr>
          <w:p>
            <w:pPr>
              <w:jc w:val="left"/>
              <w:rPr>
                <w:rFonts w:eastAsia="Calibri"/>
                <w:sz w:val="20"/>
                <w:szCs w:val="20"/>
              </w:rPr>
            </w:pPr>
            <w:r>
              <w:rPr>
                <w:rFonts w:eastAsia="Calibri"/>
                <w:sz w:val="20"/>
                <w:szCs w:val="20"/>
              </w:rPr>
              <w:lastRenderedPageBreak/>
              <w:t>Проведение испытаний образцов-свидетелей 6-ти различных плавок из стали стойкой к коррозионному растрескиванию в лаборатории завода-изготовителя кранов:</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на одноосное растяжение;</w:t>
            </w:r>
          </w:p>
          <w:p>
            <w:pPr>
              <w:numPr>
                <w:ilvl w:val="0"/>
                <w:numId w:val="65"/>
              </w:numPr>
              <w:spacing w:before="120"/>
              <w:ind w:left="538" w:hanging="357"/>
              <w:jc w:val="left"/>
              <w:rPr>
                <w:rFonts w:eastAsia="Calibri"/>
                <w:sz w:val="20"/>
                <w:szCs w:val="20"/>
              </w:rPr>
            </w:pPr>
            <w:r>
              <w:rPr>
                <w:rFonts w:eastAsia="Calibri"/>
                <w:sz w:val="20"/>
                <w:szCs w:val="20"/>
              </w:rPr>
              <w:t>химический анализ</w:t>
            </w:r>
          </w:p>
        </w:tc>
        <w:tc>
          <w:tcPr>
            <w:tcW w:w="2268" w:type="dxa"/>
            <w:tcBorders>
              <w:top w:val="single" w:sz="4"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t>Наименование завода-изготовителя кранов</w:t>
            </w:r>
          </w:p>
        </w:tc>
        <w:tc>
          <w:tcPr>
            <w:tcW w:w="1417" w:type="dxa"/>
            <w:tcBorders>
              <w:top w:val="single" w:sz="4" w:space="0" w:color="auto"/>
              <w:left w:val="single" w:sz="4" w:space="0" w:color="auto"/>
              <w:bottom w:val="single" w:sz="4" w:space="0" w:color="auto"/>
              <w:right w:val="single" w:sz="12" w:space="0" w:color="auto"/>
            </w:tcBorders>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заводом-изготовителем кранов</w:t>
            </w:r>
          </w:p>
        </w:tc>
      </w:tr>
      <w:tr>
        <w:trPr>
          <w:trHeight w:val="563"/>
        </w:trPr>
        <w:tc>
          <w:tcPr>
            <w:tcW w:w="6204" w:type="dxa"/>
            <w:tcBorders>
              <w:top w:val="single" w:sz="4" w:space="0" w:color="auto"/>
              <w:left w:val="single" w:sz="12" w:space="0" w:color="auto"/>
              <w:bottom w:val="single" w:sz="4" w:space="0" w:color="auto"/>
              <w:right w:val="single" w:sz="4" w:space="0" w:color="auto"/>
            </w:tcBorders>
          </w:tcPr>
          <w:p>
            <w:pPr>
              <w:jc w:val="left"/>
              <w:rPr>
                <w:rFonts w:eastAsia="Calibri"/>
                <w:sz w:val="20"/>
                <w:szCs w:val="20"/>
              </w:rPr>
            </w:pPr>
            <w:r>
              <w:rPr>
                <w:rFonts w:eastAsia="Calibri"/>
                <w:sz w:val="20"/>
                <w:szCs w:val="20"/>
              </w:rPr>
              <w:t>Проведение испытаний образцов-свидетелей 4-х различных плавок из стали стойкой к коррозионному растрескиванию в независимой испытательной лаборатории:</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KCU сварного соединения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KCV основных деталей кранов и крепежных деталей на ударную вязкость;</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на одноосное растяжение;</w:t>
            </w:r>
          </w:p>
          <w:p>
            <w:pPr>
              <w:numPr>
                <w:ilvl w:val="0"/>
                <w:numId w:val="65"/>
              </w:numPr>
              <w:spacing w:before="120"/>
              <w:ind w:left="538" w:hanging="357"/>
              <w:jc w:val="left"/>
              <w:rPr>
                <w:rFonts w:eastAsia="Calibri"/>
                <w:sz w:val="20"/>
                <w:szCs w:val="20"/>
              </w:rPr>
            </w:pPr>
            <w:r>
              <w:rPr>
                <w:rFonts w:eastAsia="Calibri"/>
                <w:sz w:val="20"/>
                <w:szCs w:val="20"/>
              </w:rPr>
              <w:t>химический анализ;</w:t>
            </w:r>
          </w:p>
          <w:p>
            <w:pPr>
              <w:numPr>
                <w:ilvl w:val="0"/>
                <w:numId w:val="65"/>
              </w:numPr>
              <w:spacing w:before="120"/>
              <w:ind w:left="538" w:hanging="357"/>
              <w:jc w:val="left"/>
              <w:rPr>
                <w:rFonts w:eastAsia="Calibri"/>
                <w:sz w:val="20"/>
                <w:szCs w:val="20"/>
              </w:rPr>
            </w:pPr>
            <w:r>
              <w:rPr>
                <w:rFonts w:eastAsia="Calibri"/>
                <w:sz w:val="20"/>
                <w:szCs w:val="20"/>
              </w:rPr>
              <w:t>испытание образцов на стойкость к общей коррозии в углекислотной среде;</w:t>
            </w:r>
          </w:p>
          <w:p>
            <w:pPr>
              <w:numPr>
                <w:ilvl w:val="0"/>
                <w:numId w:val="65"/>
              </w:numPr>
              <w:spacing w:before="120"/>
              <w:ind w:left="538" w:hanging="357"/>
              <w:jc w:val="left"/>
              <w:rPr>
                <w:rFonts w:eastAsia="Calibri"/>
                <w:sz w:val="20"/>
                <w:szCs w:val="20"/>
              </w:rPr>
            </w:pPr>
            <w:r>
              <w:rPr>
                <w:rFonts w:eastAsia="Calibri"/>
                <w:sz w:val="20"/>
                <w:szCs w:val="20"/>
              </w:rPr>
              <w:t>выборочный контроль микроструктуры (макроструктуры).</w:t>
            </w:r>
          </w:p>
          <w:p>
            <w:pPr>
              <w:widowControl w:val="0"/>
              <w:jc w:val="left"/>
              <w:rPr>
                <w:rFonts w:eastAsia="Calibri"/>
                <w:sz w:val="20"/>
                <w:szCs w:val="20"/>
              </w:rPr>
            </w:pPr>
          </w:p>
          <w:p>
            <w:pPr>
              <w:jc w:val="left"/>
              <w:rPr>
                <w:rFonts w:eastAsia="Calibri"/>
                <w:sz w:val="20"/>
                <w:szCs w:val="20"/>
              </w:rPr>
            </w:pPr>
            <w:r>
              <w:rPr>
                <w:rFonts w:eastAsia="Calibri"/>
                <w:sz w:val="20"/>
                <w:szCs w:val="20"/>
              </w:rPr>
              <w:t xml:space="preserve">В случае, если результаты механических или коррозионных испытаний </w:t>
            </w:r>
            <w:r>
              <w:rPr>
                <w:rFonts w:eastAsia="Calibri"/>
                <w:b/>
                <w:i/>
                <w:iCs/>
                <w:sz w:val="20"/>
                <w:szCs w:val="20"/>
                <w:shd w:val="clear" w:color="auto" w:fill="FFFFFF"/>
              </w:rPr>
              <w:t>неудовлетворительные</w:t>
            </w:r>
            <w:r>
              <w:rPr>
                <w:rFonts w:eastAsia="Calibri"/>
                <w:sz w:val="20"/>
                <w:szCs w:val="20"/>
              </w:rPr>
              <w:t>, оценка микроструктуры (макроструктуры) образцов-свидетелей проводится в обязательном порядке</w:t>
            </w:r>
          </w:p>
        </w:tc>
        <w:tc>
          <w:tcPr>
            <w:tcW w:w="2268" w:type="dxa"/>
            <w:tcBorders>
              <w:top w:val="single" w:sz="4" w:space="0" w:color="auto"/>
              <w:left w:val="single" w:sz="4" w:space="0" w:color="auto"/>
              <w:bottom w:val="single" w:sz="4" w:space="0" w:color="auto"/>
              <w:right w:val="single" w:sz="4" w:space="0" w:color="auto"/>
            </w:tcBorders>
          </w:tcPr>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4" w:space="0" w:color="auto"/>
              <w:right w:val="single" w:sz="12" w:space="0" w:color="auto"/>
            </w:tcBorders>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r>
        <w:trPr>
          <w:trHeight w:val="563"/>
        </w:trPr>
        <w:tc>
          <w:tcPr>
            <w:tcW w:w="6204" w:type="dxa"/>
            <w:tcBorders>
              <w:top w:val="single" w:sz="4" w:space="0" w:color="auto"/>
              <w:left w:val="single" w:sz="12" w:space="0" w:color="auto"/>
              <w:bottom w:val="single" w:sz="12" w:space="0" w:color="auto"/>
              <w:right w:val="single" w:sz="4" w:space="0" w:color="auto"/>
            </w:tcBorders>
          </w:tcPr>
          <w:p>
            <w:pPr>
              <w:contextualSpacing/>
              <w:jc w:val="left"/>
              <w:rPr>
                <w:rFonts w:eastAsia="Times New Roman"/>
                <w:sz w:val="20"/>
                <w:szCs w:val="20"/>
              </w:rPr>
            </w:pPr>
            <w:r>
              <w:rPr>
                <w:rFonts w:eastAsia="Times New Roman"/>
                <w:sz w:val="20"/>
                <w:szCs w:val="20"/>
              </w:rPr>
              <w:t xml:space="preserve">Анализ результатов испытаний шаровых кранов из стали стойкой к коррозионному растрескиванию на соответствие требований НД РФ, </w:t>
            </w:r>
            <w:r>
              <w:rPr>
                <w:rFonts w:eastAsia="Calibri"/>
                <w:sz w:val="20"/>
                <w:szCs w:val="20"/>
              </w:rPr>
              <w:t xml:space="preserve">требований </w:t>
            </w:r>
            <w:r>
              <w:rPr>
                <w:rFonts w:eastAsia="Times New Roman"/>
                <w:sz w:val="20"/>
                <w:szCs w:val="20"/>
              </w:rPr>
              <w:t>настоящих Методических указаний.</w:t>
            </w:r>
          </w:p>
          <w:p>
            <w:pPr>
              <w:jc w:val="left"/>
              <w:rPr>
                <w:rFonts w:eastAsia="Calibri"/>
                <w:sz w:val="20"/>
                <w:szCs w:val="20"/>
              </w:rPr>
            </w:pPr>
            <w:r>
              <w:rPr>
                <w:rFonts w:eastAsia="Calibri"/>
                <w:sz w:val="20"/>
                <w:szCs w:val="20"/>
              </w:rPr>
              <w:t>Предоставление ПАО «НК «Роснефть» сводного заключения/отчета по результатам комплексных исследований (испытаний) готового изделия (шарового крана) и образцов-свидетелей из стали стойкой к коррозионному растрескиванию о соответствии методики, состава и объемов проведенных испытаний материала основных деталей корпуса, определенного завода-изготовителя основных деталей корпуса арматуры, а также полученных результатов испытаний, требованиям настоящих Методических указаний и возможности применения арматуры из данного материала основных деталей корпуса, определенного завода-изготовителя основных деталей корпуса арматуры на объектах Компании ПАО «НК «Роснефть», с обязательным указанием допустимого перечня рабочих сред в соответствии с классификацией по Таблице 8 настоящих Методических указаний, допустимого климатического исполнения</w:t>
            </w:r>
          </w:p>
        </w:tc>
        <w:tc>
          <w:tcPr>
            <w:tcW w:w="2268" w:type="dxa"/>
            <w:tcBorders>
              <w:top w:val="single" w:sz="4" w:space="0" w:color="auto"/>
              <w:left w:val="single" w:sz="4" w:space="0" w:color="auto"/>
              <w:bottom w:val="single" w:sz="12" w:space="0" w:color="auto"/>
              <w:right w:val="single" w:sz="4" w:space="0" w:color="auto"/>
            </w:tcBorders>
          </w:tcPr>
          <w:p>
            <w:pPr>
              <w:jc w:val="left"/>
              <w:rPr>
                <w:rFonts w:eastAsia="Calibri"/>
                <w:sz w:val="20"/>
                <w:szCs w:val="20"/>
              </w:rPr>
            </w:pPr>
            <w:r>
              <w:rPr>
                <w:rFonts w:eastAsia="Calibri"/>
                <w:sz w:val="20"/>
                <w:szCs w:val="20"/>
              </w:rPr>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417" w:type="dxa"/>
            <w:tcBorders>
              <w:top w:val="single" w:sz="4" w:space="0" w:color="auto"/>
              <w:left w:val="single" w:sz="4" w:space="0" w:color="auto"/>
              <w:bottom w:val="single" w:sz="12" w:space="0" w:color="auto"/>
              <w:right w:val="single" w:sz="12" w:space="0" w:color="auto"/>
            </w:tcBorders>
          </w:tcPr>
          <w:p>
            <w:pPr>
              <w:jc w:val="left"/>
              <w:rPr>
                <w:rFonts w:eastAsia="Calibri"/>
                <w:sz w:val="20"/>
                <w:szCs w:val="20"/>
              </w:rPr>
            </w:pPr>
            <w:r>
              <w:rPr>
                <w:rFonts w:eastAsia="Calibri"/>
                <w:sz w:val="20"/>
                <w:szCs w:val="20"/>
              </w:rPr>
              <w:t>Сроки выполнения указываются</w:t>
            </w:r>
          </w:p>
          <w:p>
            <w:pPr>
              <w:jc w:val="left"/>
              <w:rPr>
                <w:rFonts w:eastAsia="Calibri"/>
                <w:sz w:val="20"/>
                <w:szCs w:val="20"/>
              </w:rPr>
            </w:pPr>
            <w:r>
              <w:rPr>
                <w:rFonts w:eastAsia="Calibri"/>
                <w:sz w:val="20"/>
                <w:szCs w:val="20"/>
              </w:rPr>
              <w:t>независимой испытательной лабораторией</w:t>
            </w:r>
          </w:p>
        </w:tc>
      </w:tr>
    </w:tbl>
    <w:p>
      <w:pPr>
        <w:rPr>
          <w:rFonts w:ascii="Arial" w:eastAsia="Calibri" w:hAnsi="Arial" w:cs="Arial"/>
          <w:b/>
        </w:rPr>
        <w:sectPr>
          <w:pgSz w:w="11906" w:h="16838"/>
          <w:pgMar w:top="510" w:right="1021" w:bottom="567" w:left="1247" w:header="737" w:footer="680" w:gutter="0"/>
          <w:cols w:space="708"/>
          <w:docGrid w:linePitch="360"/>
        </w:sectPr>
      </w:pPr>
    </w:p>
    <w:p>
      <w:pPr>
        <w:jc w:val="center"/>
        <w:rPr>
          <w:rFonts w:ascii="Arial" w:hAnsi="Arial" w:cs="Arial"/>
          <w:b/>
          <w:i/>
          <w:snapToGrid w:val="0"/>
        </w:rPr>
      </w:pPr>
      <w:bookmarkStart w:id="337" w:name="_Toc484014610"/>
      <w:r>
        <w:rPr>
          <w:rFonts w:ascii="Arial" w:hAnsi="Arial" w:cs="Arial"/>
          <w:b/>
          <w:snapToGrid w:val="0"/>
        </w:rPr>
        <w:lastRenderedPageBreak/>
        <w:t xml:space="preserve">ПРОГРАММА РАБОТ ПО ИСПЫТАНИЮ ШАРОВОГО КРАНА ИЗ СТАЛИ ВЫСОКОЛЕГИРОВАННОЙ (НЕРЖАВЕЮЩЕЙ) </w:t>
      </w:r>
      <w:bookmarkEnd w:id="337"/>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1"/>
        <w:gridCol w:w="4803"/>
      </w:tblGrid>
      <w:tr>
        <w:trPr>
          <w:trHeight w:val="276"/>
        </w:trPr>
        <w:tc>
          <w:tcPr>
            <w:tcW w:w="5051" w:type="dxa"/>
            <w:tcBorders>
              <w:top w:val="single" w:sz="4" w:space="0" w:color="auto"/>
              <w:left w:val="single" w:sz="4" w:space="0" w:color="auto"/>
              <w:bottom w:val="single" w:sz="4" w:space="0" w:color="auto"/>
              <w:right w:val="single" w:sz="4" w:space="0" w:color="auto"/>
            </w:tcBorders>
            <w:hideMark/>
          </w:tcPr>
          <w:p>
            <w:pPr>
              <w:rPr>
                <w:rFonts w:eastAsia="Calibri"/>
                <w:b/>
                <w:noProof/>
                <w:sz w:val="22"/>
              </w:rPr>
            </w:pPr>
            <w:r>
              <w:rPr>
                <w:rFonts w:eastAsia="Calibri"/>
                <w:b/>
                <w:noProof/>
              </w:rPr>
              <w:t>УТВЕРЖДАЮ:</w:t>
            </w:r>
          </w:p>
        </w:tc>
        <w:tc>
          <w:tcPr>
            <w:tcW w:w="4803" w:type="dxa"/>
            <w:tcBorders>
              <w:top w:val="single" w:sz="4" w:space="0" w:color="auto"/>
              <w:left w:val="single" w:sz="4" w:space="0" w:color="auto"/>
              <w:bottom w:val="single" w:sz="4" w:space="0" w:color="auto"/>
              <w:right w:val="single" w:sz="4" w:space="0" w:color="auto"/>
            </w:tcBorders>
            <w:hideMark/>
          </w:tcPr>
          <w:p>
            <w:pPr>
              <w:rPr>
                <w:rFonts w:eastAsia="Calibri"/>
                <w:b/>
                <w:noProof/>
                <w:sz w:val="22"/>
              </w:rPr>
            </w:pPr>
            <w:r>
              <w:rPr>
                <w:rFonts w:eastAsia="Calibri"/>
                <w:b/>
                <w:noProof/>
              </w:rPr>
              <w:t>СОГЛАСОВАНО:</w:t>
            </w:r>
          </w:p>
        </w:tc>
      </w:tr>
      <w:tr>
        <w:trPr>
          <w:trHeight w:val="560"/>
        </w:trPr>
        <w:tc>
          <w:tcPr>
            <w:tcW w:w="5051" w:type="dxa"/>
            <w:tcBorders>
              <w:top w:val="single" w:sz="4" w:space="0" w:color="auto"/>
              <w:left w:val="single" w:sz="4" w:space="0" w:color="auto"/>
              <w:bottom w:val="single" w:sz="4" w:space="0" w:color="auto"/>
              <w:right w:val="single" w:sz="4" w:space="0" w:color="auto"/>
            </w:tcBorders>
            <w:hideMark/>
          </w:tcPr>
          <w:p>
            <w:pPr>
              <w:rPr>
                <w:rFonts w:eastAsia="Calibri"/>
              </w:rPr>
            </w:pPr>
            <w:r>
              <w:rPr>
                <w:rFonts w:eastAsia="Calibri"/>
              </w:rPr>
              <w:t>Наименование независимой испытательной лаборатории</w:t>
            </w:r>
          </w:p>
          <w:p>
            <w:pPr>
              <w:rPr>
                <w:rFonts w:eastAsia="Calibri"/>
                <w:b/>
                <w:noProof/>
                <w:sz w:val="22"/>
              </w:rPr>
            </w:pPr>
            <w:r>
              <w:rPr>
                <w:rFonts w:eastAsia="Calibri"/>
              </w:rPr>
              <w:t>(должность, ФИО, подпись, дата)</w:t>
            </w:r>
          </w:p>
        </w:tc>
        <w:tc>
          <w:tcPr>
            <w:tcW w:w="4803" w:type="dxa"/>
            <w:tcBorders>
              <w:top w:val="single" w:sz="4" w:space="0" w:color="auto"/>
              <w:left w:val="single" w:sz="4" w:space="0" w:color="auto"/>
              <w:bottom w:val="single" w:sz="4" w:space="0" w:color="auto"/>
              <w:right w:val="single" w:sz="4" w:space="0" w:color="auto"/>
            </w:tcBorders>
            <w:hideMark/>
          </w:tcPr>
          <w:p>
            <w:pPr>
              <w:rPr>
                <w:rFonts w:eastAsia="Calibri"/>
                <w:b/>
                <w:noProof/>
                <w:sz w:val="22"/>
              </w:rPr>
            </w:pPr>
            <w:r>
              <w:rPr>
                <w:rFonts w:eastAsia="Calibri"/>
              </w:rPr>
              <w:t>Наименование завода-изготовителя кранов (должность, ФИО, подпись, дата)</w:t>
            </w:r>
          </w:p>
        </w:tc>
      </w:tr>
    </w:tbl>
    <w:p>
      <w:pPr>
        <w:spacing w:before="240"/>
        <w:jc w:val="center"/>
        <w:rPr>
          <w:rFonts w:eastAsia="Calibri"/>
          <w:b/>
          <w:sz w:val="28"/>
          <w:szCs w:val="28"/>
        </w:rPr>
      </w:pPr>
      <w:r>
        <w:rPr>
          <w:rFonts w:eastAsia="Calibri"/>
          <w:b/>
          <w:sz w:val="28"/>
          <w:szCs w:val="28"/>
        </w:rPr>
        <w:t>ПРОГРАММА РАБОТ</w:t>
      </w:r>
    </w:p>
    <w:p>
      <w:pPr>
        <w:jc w:val="center"/>
        <w:rPr>
          <w:rFonts w:eastAsia="Calibri"/>
        </w:rPr>
      </w:pPr>
      <w:r>
        <w:rPr>
          <w:rFonts w:eastAsia="Calibri"/>
        </w:rPr>
        <w:t>по определению возможности применения в Обществах групп ПАО «НК «Роснефть» шаровых кранов из сталей высоколегированных (нержавеющих), изготовленных из отливок, поковок, штамповок, проката</w:t>
      </w:r>
    </w:p>
    <w:p>
      <w:pPr>
        <w:jc w:val="center"/>
        <w:rPr>
          <w:rFonts w:eastAsia="Calibri"/>
          <w:u w:val="single"/>
        </w:rPr>
      </w:pP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r>
        <w:rPr>
          <w:rFonts w:eastAsia="Calibri"/>
          <w:u w:val="single"/>
        </w:rPr>
        <w:tab/>
      </w:r>
    </w:p>
    <w:p>
      <w:pPr>
        <w:jc w:val="center"/>
        <w:rPr>
          <w:rFonts w:eastAsia="Calibri"/>
          <w:sz w:val="20"/>
        </w:rPr>
      </w:pPr>
      <w:r>
        <w:rPr>
          <w:rFonts w:eastAsia="Calibri"/>
          <w:sz w:val="20"/>
        </w:rPr>
        <w:t xml:space="preserve">наименование завода-изготовителя </w:t>
      </w:r>
      <w:r>
        <w:rPr>
          <w:rFonts w:eastAsia="Calibri"/>
          <w:sz w:val="20"/>
          <w:szCs w:val="20"/>
        </w:rPr>
        <w:t>кранов</w:t>
      </w:r>
    </w:p>
    <w:p>
      <w:pPr>
        <w:jc w:val="center"/>
        <w:rPr>
          <w:rFonts w:eastAsia="Calibri"/>
          <w:sz w:val="18"/>
          <w:u w:val="single"/>
        </w:rPr>
      </w:pPr>
    </w:p>
    <w:tbl>
      <w:tblPr>
        <w:tblW w:w="10121" w:type="dxa"/>
        <w:jc w:val="center"/>
        <w:tblInd w:w="108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6272"/>
        <w:gridCol w:w="2338"/>
        <w:gridCol w:w="1511"/>
      </w:tblGrid>
      <w:tr>
        <w:trPr>
          <w:tblHeader/>
          <w:jc w:val="center"/>
        </w:trPr>
        <w:tc>
          <w:tcPr>
            <w:tcW w:w="6442" w:type="dxa"/>
            <w:tcBorders>
              <w:bottom w:val="single" w:sz="12" w:space="0" w:color="auto"/>
            </w:tcBorders>
            <w:shd w:val="clear" w:color="auto" w:fill="FFD200"/>
            <w:vAlign w:val="center"/>
            <w:hideMark/>
          </w:tcPr>
          <w:p>
            <w:pPr>
              <w:jc w:val="center"/>
              <w:rPr>
                <w:rFonts w:ascii="Arial" w:eastAsia="Calibri" w:hAnsi="Arial" w:cs="Arial"/>
                <w:b/>
                <w:sz w:val="16"/>
                <w:szCs w:val="16"/>
              </w:rPr>
            </w:pPr>
            <w:r>
              <w:rPr>
                <w:rFonts w:ascii="Arial" w:eastAsia="Calibri" w:hAnsi="Arial" w:cs="Arial"/>
                <w:b/>
                <w:sz w:val="16"/>
                <w:szCs w:val="16"/>
              </w:rPr>
              <w:t>ЭТАПЫ РАБОТЫ:</w:t>
            </w:r>
          </w:p>
        </w:tc>
        <w:tc>
          <w:tcPr>
            <w:tcW w:w="2364" w:type="dxa"/>
            <w:tcBorders>
              <w:bottom w:val="single" w:sz="12" w:space="0" w:color="auto"/>
            </w:tcBorders>
            <w:shd w:val="clear" w:color="auto" w:fill="FFD200"/>
            <w:vAlign w:val="center"/>
            <w:hideMark/>
          </w:tcPr>
          <w:p>
            <w:pPr>
              <w:jc w:val="center"/>
              <w:rPr>
                <w:rFonts w:ascii="Arial" w:eastAsia="Calibri" w:hAnsi="Arial" w:cs="Arial"/>
                <w:b/>
                <w:sz w:val="16"/>
                <w:szCs w:val="16"/>
              </w:rPr>
            </w:pPr>
            <w:r>
              <w:rPr>
                <w:rFonts w:ascii="Arial" w:eastAsia="Calibri" w:hAnsi="Arial" w:cs="Arial"/>
                <w:b/>
                <w:sz w:val="16"/>
                <w:szCs w:val="16"/>
              </w:rPr>
              <w:t>ОТВЕТСТВЕННЫЕ</w:t>
            </w:r>
          </w:p>
        </w:tc>
        <w:tc>
          <w:tcPr>
            <w:tcW w:w="1315" w:type="dxa"/>
            <w:tcBorders>
              <w:bottom w:val="single" w:sz="12" w:space="0" w:color="auto"/>
            </w:tcBorders>
            <w:shd w:val="clear" w:color="auto" w:fill="FFD200"/>
            <w:vAlign w:val="center"/>
            <w:hideMark/>
          </w:tcPr>
          <w:p>
            <w:pPr>
              <w:jc w:val="center"/>
              <w:rPr>
                <w:rFonts w:ascii="Arial" w:eastAsia="Calibri" w:hAnsi="Arial" w:cs="Arial"/>
                <w:b/>
                <w:sz w:val="16"/>
                <w:szCs w:val="16"/>
              </w:rPr>
            </w:pPr>
            <w:r>
              <w:rPr>
                <w:rFonts w:ascii="Arial" w:eastAsia="Calibri" w:hAnsi="Arial" w:cs="Arial"/>
                <w:b/>
                <w:sz w:val="16"/>
                <w:szCs w:val="16"/>
              </w:rPr>
              <w:t>СРОК ВЫПОЛНЕНИЯ</w:t>
            </w:r>
          </w:p>
        </w:tc>
      </w:tr>
      <w:tr>
        <w:trPr>
          <w:tblHeader/>
          <w:jc w:val="center"/>
        </w:trPr>
        <w:tc>
          <w:tcPr>
            <w:tcW w:w="6442" w:type="dxa"/>
            <w:tcBorders>
              <w:top w:val="single" w:sz="12" w:space="0" w:color="auto"/>
              <w:bottom w:val="single" w:sz="12" w:space="0" w:color="auto"/>
            </w:tcBorders>
            <w:shd w:val="clear" w:color="auto" w:fill="FFD200"/>
            <w:vAlign w:val="center"/>
          </w:tcPr>
          <w:p>
            <w:pPr>
              <w:jc w:val="center"/>
              <w:rPr>
                <w:rFonts w:ascii="Arial" w:eastAsia="Calibri" w:hAnsi="Arial" w:cs="Arial"/>
                <w:b/>
                <w:sz w:val="16"/>
                <w:szCs w:val="16"/>
              </w:rPr>
            </w:pPr>
            <w:r>
              <w:rPr>
                <w:rFonts w:ascii="Arial" w:eastAsia="Calibri" w:hAnsi="Arial" w:cs="Arial"/>
                <w:b/>
                <w:sz w:val="16"/>
                <w:szCs w:val="16"/>
              </w:rPr>
              <w:t>1</w:t>
            </w:r>
          </w:p>
        </w:tc>
        <w:tc>
          <w:tcPr>
            <w:tcW w:w="2364" w:type="dxa"/>
            <w:tcBorders>
              <w:top w:val="single" w:sz="12" w:space="0" w:color="auto"/>
              <w:bottom w:val="single" w:sz="12" w:space="0" w:color="auto"/>
            </w:tcBorders>
            <w:shd w:val="clear" w:color="auto" w:fill="FFD200"/>
            <w:vAlign w:val="center"/>
          </w:tcPr>
          <w:p>
            <w:pPr>
              <w:jc w:val="center"/>
              <w:rPr>
                <w:rFonts w:ascii="Arial" w:eastAsia="Calibri" w:hAnsi="Arial" w:cs="Arial"/>
                <w:b/>
                <w:sz w:val="16"/>
                <w:szCs w:val="16"/>
              </w:rPr>
            </w:pPr>
            <w:r>
              <w:rPr>
                <w:rFonts w:ascii="Arial" w:eastAsia="Calibri" w:hAnsi="Arial" w:cs="Arial"/>
                <w:b/>
                <w:sz w:val="16"/>
                <w:szCs w:val="16"/>
              </w:rPr>
              <w:t>2</w:t>
            </w:r>
          </w:p>
        </w:tc>
        <w:tc>
          <w:tcPr>
            <w:tcW w:w="1315" w:type="dxa"/>
            <w:tcBorders>
              <w:top w:val="single" w:sz="12" w:space="0" w:color="auto"/>
              <w:bottom w:val="single" w:sz="12" w:space="0" w:color="auto"/>
            </w:tcBorders>
            <w:shd w:val="clear" w:color="auto" w:fill="FFD200"/>
            <w:vAlign w:val="center"/>
          </w:tcPr>
          <w:p>
            <w:pPr>
              <w:jc w:val="center"/>
              <w:rPr>
                <w:rFonts w:ascii="Arial" w:eastAsia="Calibri" w:hAnsi="Arial" w:cs="Arial"/>
                <w:b/>
                <w:sz w:val="16"/>
                <w:szCs w:val="16"/>
              </w:rPr>
            </w:pPr>
            <w:r>
              <w:rPr>
                <w:rFonts w:ascii="Arial" w:eastAsia="Calibri" w:hAnsi="Arial" w:cs="Arial"/>
                <w:b/>
                <w:sz w:val="16"/>
                <w:szCs w:val="16"/>
              </w:rPr>
              <w:t>3</w:t>
            </w:r>
          </w:p>
        </w:tc>
      </w:tr>
      <w:tr>
        <w:trPr>
          <w:jc w:val="center"/>
        </w:trPr>
        <w:tc>
          <w:tcPr>
            <w:tcW w:w="6442" w:type="dxa"/>
            <w:tcBorders>
              <w:top w:val="single" w:sz="12" w:space="0" w:color="auto"/>
            </w:tcBorders>
            <w:vAlign w:val="center"/>
            <w:hideMark/>
          </w:tcPr>
          <w:p>
            <w:pPr>
              <w:jc w:val="left"/>
              <w:rPr>
                <w:rFonts w:eastAsia="Times New Roman"/>
                <w:sz w:val="20"/>
                <w:szCs w:val="20"/>
              </w:rPr>
            </w:pPr>
            <w:r>
              <w:rPr>
                <w:rFonts w:eastAsia="Calibri"/>
                <w:sz w:val="20"/>
                <w:szCs w:val="20"/>
              </w:rPr>
              <w:t>Завод-изготовитель кранов предоставляет из партии готовых изделий, прошедших цикл приемо-сдаточных испытаний, одно изделие (шаровой кран) из стали высоколегированной (нержавеющей).</w:t>
            </w:r>
          </w:p>
          <w:p>
            <w:pPr>
              <w:contextualSpacing/>
              <w:jc w:val="left"/>
              <w:rPr>
                <w:rFonts w:eastAsia="Times New Roman"/>
                <w:sz w:val="20"/>
                <w:szCs w:val="20"/>
              </w:rPr>
            </w:pPr>
            <w:r>
              <w:rPr>
                <w:rFonts w:eastAsia="Times New Roman"/>
                <w:sz w:val="20"/>
                <w:szCs w:val="20"/>
              </w:rPr>
              <w:t>К в количестве 1 (одной) единицы передается в независимую испытательную лабораторию для проведения комплекса исследований.</w:t>
            </w:r>
          </w:p>
        </w:tc>
        <w:tc>
          <w:tcPr>
            <w:tcW w:w="2364" w:type="dxa"/>
            <w:tcBorders>
              <w:top w:val="single" w:sz="12" w:space="0" w:color="auto"/>
            </w:tcBorders>
            <w:hideMark/>
          </w:tcPr>
          <w:p>
            <w:pPr>
              <w:jc w:val="left"/>
              <w:rPr>
                <w:rFonts w:eastAsia="Times New Roman"/>
                <w:sz w:val="20"/>
                <w:szCs w:val="20"/>
              </w:rPr>
            </w:pPr>
            <w:r>
              <w:rPr>
                <w:rFonts w:eastAsia="Calibri"/>
                <w:sz w:val="20"/>
                <w:szCs w:val="20"/>
              </w:rPr>
              <w:t>Наименование завода-изготовителя кранов</w:t>
            </w:r>
          </w:p>
        </w:tc>
        <w:tc>
          <w:tcPr>
            <w:tcW w:w="1315" w:type="dxa"/>
            <w:tcBorders>
              <w:top w:val="single" w:sz="12" w:space="0" w:color="auto"/>
            </w:tcBorders>
            <w:hideMark/>
          </w:tcPr>
          <w:p>
            <w:pPr>
              <w:jc w:val="left"/>
              <w:rPr>
                <w:rFonts w:eastAsia="Times New Roman"/>
                <w:sz w:val="20"/>
                <w:szCs w:val="20"/>
              </w:rPr>
            </w:pPr>
            <w:r>
              <w:rPr>
                <w:rFonts w:eastAsia="Calibri"/>
                <w:sz w:val="20"/>
                <w:szCs w:val="20"/>
              </w:rPr>
              <w:t xml:space="preserve">Сроки выполнения указываются </w:t>
            </w:r>
          </w:p>
          <w:p>
            <w:pPr>
              <w:jc w:val="left"/>
              <w:rPr>
                <w:rFonts w:eastAsia="Times New Roman"/>
                <w:b/>
                <w:sz w:val="20"/>
                <w:szCs w:val="20"/>
              </w:rPr>
            </w:pPr>
            <w:r>
              <w:rPr>
                <w:rFonts w:eastAsia="Calibri"/>
                <w:sz w:val="20"/>
                <w:szCs w:val="20"/>
              </w:rPr>
              <w:t>заводом-изготовителем кранов</w:t>
            </w:r>
          </w:p>
        </w:tc>
      </w:tr>
      <w:tr>
        <w:trPr>
          <w:jc w:val="center"/>
        </w:trPr>
        <w:tc>
          <w:tcPr>
            <w:tcW w:w="6442" w:type="dxa"/>
            <w:vAlign w:val="center"/>
            <w:hideMark/>
          </w:tcPr>
          <w:p>
            <w:pPr>
              <w:contextualSpacing/>
              <w:jc w:val="left"/>
              <w:rPr>
                <w:rFonts w:eastAsia="Times New Roman"/>
                <w:sz w:val="20"/>
                <w:szCs w:val="20"/>
              </w:rPr>
            </w:pPr>
            <w:r>
              <w:rPr>
                <w:rFonts w:eastAsia="Times New Roman"/>
                <w:sz w:val="20"/>
                <w:szCs w:val="20"/>
              </w:rPr>
              <w:t>Проведение полного комплекса исследований на соответствие НД РФ, требований</w:t>
            </w:r>
            <w:r>
              <w:rPr>
                <w:rFonts w:eastAsia="Calibri"/>
                <w:sz w:val="20"/>
                <w:szCs w:val="20"/>
              </w:rPr>
              <w:t xml:space="preserve"> </w:t>
            </w:r>
            <w:r>
              <w:rPr>
                <w:rFonts w:eastAsia="Times New Roman"/>
                <w:sz w:val="20"/>
                <w:szCs w:val="20"/>
              </w:rPr>
              <w:t>настоящих Методических указаний</w:t>
            </w:r>
            <w:r>
              <w:rPr>
                <w:rFonts w:eastAsia="Calibri"/>
                <w:sz w:val="20"/>
                <w:szCs w:val="20"/>
              </w:rPr>
              <w:t xml:space="preserve"> </w:t>
            </w:r>
            <w:r>
              <w:rPr>
                <w:rFonts w:eastAsia="Times New Roman"/>
                <w:sz w:val="20"/>
                <w:szCs w:val="20"/>
              </w:rPr>
              <w:t>в испытательной лаборатории одного готового изделия (шаровой кран) из стали высоколегированной (нержавеющей):</w:t>
            </w:r>
          </w:p>
          <w:p>
            <w:pPr>
              <w:numPr>
                <w:ilvl w:val="0"/>
                <w:numId w:val="66"/>
              </w:numPr>
              <w:spacing w:before="120"/>
              <w:ind w:left="464" w:hanging="283"/>
              <w:jc w:val="left"/>
              <w:rPr>
                <w:rFonts w:eastAsia="Calibri"/>
                <w:sz w:val="20"/>
                <w:szCs w:val="20"/>
              </w:rPr>
            </w:pPr>
            <w:r>
              <w:rPr>
                <w:rFonts w:eastAsia="Calibri"/>
                <w:sz w:val="20"/>
                <w:szCs w:val="20"/>
              </w:rPr>
              <w:t>химический анализ материала деталей изделия (</w:t>
            </w:r>
            <w:r>
              <w:rPr>
                <w:rFonts w:eastAsia="Times New Roman"/>
                <w:sz w:val="20"/>
                <w:szCs w:val="20"/>
              </w:rPr>
              <w:t>шаровой кран</w:t>
            </w:r>
            <w:r>
              <w:rPr>
                <w:rFonts w:eastAsia="Calibri"/>
                <w:sz w:val="20"/>
                <w:szCs w:val="20"/>
              </w:rPr>
              <w:t>);</w:t>
            </w:r>
          </w:p>
          <w:p>
            <w:pPr>
              <w:numPr>
                <w:ilvl w:val="0"/>
                <w:numId w:val="66"/>
              </w:numPr>
              <w:spacing w:before="120"/>
              <w:ind w:left="464" w:hanging="283"/>
              <w:jc w:val="left"/>
              <w:rPr>
                <w:rFonts w:eastAsia="Calibri"/>
                <w:sz w:val="20"/>
                <w:szCs w:val="20"/>
              </w:rPr>
            </w:pPr>
            <w:r>
              <w:rPr>
                <w:rFonts w:eastAsia="Calibri"/>
                <w:sz w:val="20"/>
                <w:szCs w:val="20"/>
              </w:rPr>
              <w:t>оценка микроструктуры (каждой составной детали изделия);</w:t>
            </w:r>
          </w:p>
          <w:p>
            <w:pPr>
              <w:numPr>
                <w:ilvl w:val="0"/>
                <w:numId w:val="66"/>
              </w:numPr>
              <w:spacing w:before="120"/>
              <w:ind w:left="464" w:hanging="283"/>
              <w:jc w:val="left"/>
              <w:rPr>
                <w:rFonts w:eastAsia="Calibri"/>
                <w:bCs/>
                <w:noProof/>
                <w:sz w:val="20"/>
                <w:szCs w:val="20"/>
              </w:rPr>
            </w:pPr>
            <w:r>
              <w:rPr>
                <w:rFonts w:eastAsia="Calibri"/>
                <w:sz w:val="20"/>
                <w:szCs w:val="20"/>
              </w:rPr>
              <w:t>изготовление и испытание образцов на одноосное растяжение по ГОСТ 1497;</w:t>
            </w:r>
          </w:p>
          <w:p>
            <w:pPr>
              <w:numPr>
                <w:ilvl w:val="0"/>
                <w:numId w:val="66"/>
              </w:numPr>
              <w:spacing w:before="120"/>
              <w:ind w:left="464" w:hanging="283"/>
              <w:jc w:val="left"/>
              <w:rPr>
                <w:rFonts w:eastAsia="Calibri"/>
                <w:sz w:val="20"/>
                <w:szCs w:val="20"/>
              </w:rPr>
            </w:pPr>
            <w:r>
              <w:rPr>
                <w:rFonts w:eastAsia="Calibri"/>
                <w:sz w:val="20"/>
                <w:szCs w:val="20"/>
              </w:rPr>
              <w:t>измерение твердости по ГОСТ 9013;</w:t>
            </w:r>
          </w:p>
          <w:p>
            <w:pPr>
              <w:numPr>
                <w:ilvl w:val="0"/>
                <w:numId w:val="66"/>
              </w:numPr>
              <w:spacing w:before="120"/>
              <w:ind w:left="464" w:hanging="283"/>
              <w:jc w:val="left"/>
              <w:rPr>
                <w:rFonts w:eastAsia="Calibri"/>
                <w:sz w:val="20"/>
                <w:szCs w:val="20"/>
              </w:rPr>
            </w:pPr>
            <w:r>
              <w:rPr>
                <w:rFonts w:eastAsia="Calibri"/>
                <w:sz w:val="20"/>
                <w:szCs w:val="20"/>
              </w:rPr>
              <w:t>оценка загрязненности металла неметаллическими включениями по ГОСТ 1778;</w:t>
            </w:r>
          </w:p>
          <w:p>
            <w:pPr>
              <w:numPr>
                <w:ilvl w:val="0"/>
                <w:numId w:val="66"/>
              </w:numPr>
              <w:spacing w:before="120"/>
              <w:ind w:left="464" w:hanging="283"/>
              <w:jc w:val="left"/>
              <w:rPr>
                <w:rFonts w:eastAsia="Times New Roman"/>
                <w:sz w:val="20"/>
                <w:szCs w:val="20"/>
              </w:rPr>
            </w:pPr>
            <w:r>
              <w:rPr>
                <w:rFonts w:eastAsia="Calibri"/>
                <w:sz w:val="20"/>
                <w:szCs w:val="20"/>
              </w:rPr>
              <w:t>изготовление и испытание образцов на стойкость к МКК (только для сталей аустенитного, ферритного, аустенитно-ферритного, аустенитно-мартенситного классов) по ГОСТ 6032</w:t>
            </w:r>
          </w:p>
        </w:tc>
        <w:tc>
          <w:tcPr>
            <w:tcW w:w="2364" w:type="dxa"/>
            <w:hideMark/>
          </w:tcPr>
          <w:p>
            <w:pPr>
              <w:jc w:val="left"/>
              <w:rPr>
                <w:rFonts w:eastAsia="Times New Roman"/>
                <w:sz w:val="20"/>
                <w:szCs w:val="20"/>
              </w:rPr>
            </w:pPr>
            <w:r>
              <w:rPr>
                <w:rFonts w:eastAsia="Calibri"/>
                <w:sz w:val="20"/>
                <w:szCs w:val="20"/>
              </w:rPr>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315" w:type="dxa"/>
            <w:hideMark/>
          </w:tcPr>
          <w:p>
            <w:pPr>
              <w:jc w:val="left"/>
              <w:rPr>
                <w:rFonts w:eastAsia="Times New Roman"/>
                <w:sz w:val="20"/>
                <w:szCs w:val="20"/>
              </w:rPr>
            </w:pPr>
            <w:r>
              <w:rPr>
                <w:rFonts w:eastAsia="Calibri"/>
                <w:sz w:val="20"/>
                <w:szCs w:val="20"/>
              </w:rPr>
              <w:t>Сроки выполнения указываются</w:t>
            </w:r>
          </w:p>
          <w:p>
            <w:pPr>
              <w:jc w:val="left"/>
              <w:rPr>
                <w:rFonts w:eastAsia="Times New Roman"/>
                <w:sz w:val="20"/>
                <w:szCs w:val="20"/>
              </w:rPr>
            </w:pPr>
            <w:r>
              <w:rPr>
                <w:rFonts w:eastAsia="Calibri"/>
                <w:sz w:val="20"/>
                <w:szCs w:val="20"/>
              </w:rPr>
              <w:t>независимой испытательной лабораторией</w:t>
            </w:r>
          </w:p>
        </w:tc>
      </w:tr>
      <w:tr>
        <w:trPr>
          <w:trHeight w:val="559"/>
          <w:jc w:val="center"/>
        </w:trPr>
        <w:tc>
          <w:tcPr>
            <w:tcW w:w="6442" w:type="dxa"/>
            <w:vAlign w:val="center"/>
            <w:hideMark/>
          </w:tcPr>
          <w:p>
            <w:pPr>
              <w:contextualSpacing/>
              <w:jc w:val="left"/>
              <w:rPr>
                <w:rFonts w:eastAsia="Times New Roman"/>
                <w:sz w:val="20"/>
                <w:szCs w:val="20"/>
              </w:rPr>
            </w:pPr>
            <w:r>
              <w:rPr>
                <w:rFonts w:eastAsia="Times New Roman"/>
                <w:sz w:val="20"/>
                <w:szCs w:val="20"/>
              </w:rPr>
              <w:t xml:space="preserve">Анализ результатов испытаний шарового крана из стали высоколегированной (нержавеющей) на соответствие требований </w:t>
            </w:r>
            <w:r>
              <w:rPr>
                <w:rFonts w:eastAsia="Times New Roman"/>
                <w:sz w:val="20"/>
                <w:szCs w:val="20"/>
              </w:rPr>
              <w:br/>
              <w:t xml:space="preserve">НД РФ, </w:t>
            </w:r>
            <w:r>
              <w:rPr>
                <w:rFonts w:eastAsia="Calibri"/>
                <w:sz w:val="20"/>
                <w:szCs w:val="20"/>
              </w:rPr>
              <w:t xml:space="preserve">требований </w:t>
            </w:r>
            <w:r>
              <w:rPr>
                <w:rFonts w:eastAsia="Times New Roman"/>
                <w:sz w:val="20"/>
                <w:szCs w:val="20"/>
              </w:rPr>
              <w:t>настоящих Методических указаний.</w:t>
            </w:r>
          </w:p>
          <w:p>
            <w:pPr>
              <w:jc w:val="left"/>
              <w:rPr>
                <w:rFonts w:eastAsia="Times New Roman"/>
                <w:sz w:val="20"/>
                <w:szCs w:val="20"/>
              </w:rPr>
            </w:pPr>
            <w:r>
              <w:rPr>
                <w:rFonts w:eastAsia="Calibri"/>
                <w:sz w:val="20"/>
                <w:szCs w:val="20"/>
              </w:rPr>
              <w:t>Предоставление ПАО «НК «Роснефть» сводного заключения/отчета по результатам комплексных исследований (испытаний) готового изделия (шаровой кран) из стали высоколегированной (нержавеющей) о соответствии методики, состава и объемов проведенных испытаний материала основных деталей корпуса, определенного завода-изготовителя основных деталей корпуса арматуры, а также полученных результатов испытаний, требованиям настоящих Методических указаний и возможности применения арматуры из данного материала основных деталей корпуса, определенного завода-изготовителя основных деталей корпуса арматуры на объектах Компании ПАО «НК «Роснефть», с обязательным указанием допустимого перечня рабочих сред в соответствии с классификацией по Таблице 8 настоящих Методических указаний, допустимого климатического исполнения</w:t>
            </w:r>
          </w:p>
        </w:tc>
        <w:tc>
          <w:tcPr>
            <w:tcW w:w="2364" w:type="dxa"/>
          </w:tcPr>
          <w:p>
            <w:pPr>
              <w:jc w:val="left"/>
              <w:rPr>
                <w:rFonts w:eastAsia="Times New Roman"/>
                <w:sz w:val="20"/>
                <w:szCs w:val="20"/>
              </w:rPr>
            </w:pPr>
            <w:r>
              <w:rPr>
                <w:rFonts w:eastAsia="Calibri"/>
                <w:sz w:val="20"/>
                <w:szCs w:val="20"/>
              </w:rPr>
              <w:t xml:space="preserve">Наименование независимой испытательной лаборатории, аккредитованной в соответствии с требованиями </w:t>
            </w:r>
            <w:r>
              <w:rPr>
                <w:rFonts w:eastAsia="Calibri"/>
                <w:sz w:val="20"/>
                <w:szCs w:val="20"/>
              </w:rPr>
              <w:br/>
              <w:t>ГОСТ ИСО/МЭК 17025</w:t>
            </w:r>
          </w:p>
        </w:tc>
        <w:tc>
          <w:tcPr>
            <w:tcW w:w="1315" w:type="dxa"/>
            <w:hideMark/>
          </w:tcPr>
          <w:p>
            <w:pPr>
              <w:jc w:val="left"/>
              <w:rPr>
                <w:rFonts w:eastAsia="Times New Roman"/>
                <w:sz w:val="20"/>
                <w:szCs w:val="20"/>
              </w:rPr>
            </w:pPr>
            <w:r>
              <w:rPr>
                <w:rFonts w:eastAsia="Calibri"/>
                <w:sz w:val="20"/>
                <w:szCs w:val="20"/>
              </w:rPr>
              <w:t>Сроки выполнения указываются</w:t>
            </w:r>
          </w:p>
          <w:p>
            <w:pPr>
              <w:jc w:val="left"/>
              <w:rPr>
                <w:rFonts w:eastAsia="Times New Roman"/>
                <w:sz w:val="20"/>
                <w:szCs w:val="20"/>
              </w:rPr>
            </w:pPr>
            <w:r>
              <w:rPr>
                <w:rFonts w:eastAsia="Calibri"/>
                <w:sz w:val="20"/>
                <w:szCs w:val="20"/>
              </w:rPr>
              <w:t>независимой испытательной лабораторией</w:t>
            </w:r>
          </w:p>
        </w:tc>
      </w:tr>
    </w:tbl>
    <w:p>
      <w:pPr>
        <w:ind w:left="567"/>
        <w:sectPr>
          <w:pgSz w:w="11906" w:h="16838"/>
          <w:pgMar w:top="510" w:right="1021" w:bottom="567" w:left="1247" w:header="737" w:footer="680" w:gutter="0"/>
          <w:cols w:space="708"/>
          <w:docGrid w:linePitch="360"/>
        </w:sectPr>
      </w:pPr>
    </w:p>
    <w:p>
      <w:pPr>
        <w:pStyle w:val="M"/>
        <w:numPr>
          <w:ilvl w:val="0"/>
          <w:numId w:val="69"/>
        </w:numPr>
        <w:tabs>
          <w:tab w:val="left" w:pos="567"/>
        </w:tabs>
        <w:ind w:left="0" w:firstLine="0"/>
        <w:rPr>
          <w:rFonts w:ascii="Arial" w:hAnsi="Arial" w:cs="Arial"/>
          <w:b/>
        </w:rPr>
      </w:pPr>
      <w:bookmarkStart w:id="338" w:name="_Toc400350857"/>
      <w:bookmarkStart w:id="339" w:name="_Toc456196425"/>
      <w:r>
        <w:rPr>
          <w:rFonts w:ascii="Arial" w:hAnsi="Arial" w:cs="Arial"/>
          <w:b/>
        </w:rPr>
        <w:lastRenderedPageBreak/>
        <w:t>ТРЕБОВАНИЯ К ПРОВЕДЕНИЮ ИСПЫТАНИЙ</w:t>
      </w:r>
      <w:bookmarkEnd w:id="338"/>
      <w:bookmarkEnd w:id="339"/>
    </w:p>
    <w:p/>
    <w:p>
      <w:r>
        <w:t>Требования к проведению испытаний, методике и объеме контроля, а также требования по оформлению результатов контроля должны соответствовать Таблице 45.</w:t>
      </w:r>
    </w:p>
    <w:p/>
    <w:p>
      <w:pPr>
        <w:keepNext/>
        <w:widowControl w:val="0"/>
        <w:jc w:val="right"/>
        <w:rPr>
          <w:rFonts w:ascii="Arial" w:eastAsia="Times New Roman" w:hAnsi="Arial"/>
          <w:b/>
          <w:sz w:val="20"/>
        </w:rPr>
      </w:pPr>
      <w:r>
        <w:rPr>
          <w:rFonts w:ascii="Arial" w:eastAsia="Times New Roman" w:hAnsi="Arial"/>
          <w:b/>
          <w:sz w:val="20"/>
        </w:rPr>
        <w:t xml:space="preserve">Таблица </w:t>
      </w:r>
      <w:r>
        <w:rPr>
          <w:rFonts w:ascii="Arial" w:eastAsia="Times New Roman" w:hAnsi="Arial"/>
          <w:b/>
          <w:sz w:val="20"/>
        </w:rPr>
        <w:fldChar w:fldCharType="begin"/>
      </w:r>
      <w:r>
        <w:rPr>
          <w:rFonts w:ascii="Arial" w:eastAsia="Times New Roman" w:hAnsi="Arial"/>
          <w:b/>
          <w:sz w:val="20"/>
        </w:rPr>
        <w:instrText xml:space="preserve"> SEQ Таблица \* ARABIC </w:instrText>
      </w:r>
      <w:r>
        <w:rPr>
          <w:rFonts w:ascii="Arial" w:eastAsia="Times New Roman" w:hAnsi="Arial"/>
          <w:b/>
          <w:sz w:val="20"/>
        </w:rPr>
        <w:fldChar w:fldCharType="separate"/>
      </w:r>
      <w:r>
        <w:rPr>
          <w:rFonts w:ascii="Arial" w:eastAsia="Times New Roman" w:hAnsi="Arial"/>
          <w:b/>
          <w:noProof/>
          <w:sz w:val="20"/>
        </w:rPr>
        <w:t>45</w:t>
      </w:r>
      <w:r>
        <w:rPr>
          <w:rFonts w:ascii="Arial" w:eastAsia="Times New Roman" w:hAnsi="Arial"/>
          <w:b/>
          <w:sz w:val="20"/>
        </w:rPr>
        <w:fldChar w:fldCharType="end"/>
      </w:r>
    </w:p>
    <w:p>
      <w:pPr>
        <w:spacing w:after="60"/>
        <w:jc w:val="right"/>
        <w:rPr>
          <w:rFonts w:ascii="Arial" w:eastAsia="Times New Roman" w:hAnsi="Arial" w:cs="Arial"/>
          <w:b/>
          <w:noProof/>
          <w:kern w:val="28"/>
          <w:sz w:val="20"/>
          <w:szCs w:val="20"/>
        </w:rPr>
      </w:pPr>
      <w:r>
        <w:rPr>
          <w:rFonts w:ascii="Arial" w:hAnsi="Arial" w:cs="Arial"/>
          <w:b/>
          <w:sz w:val="20"/>
          <w:szCs w:val="20"/>
        </w:rPr>
        <w:t>Требования по проведению испытаний, методике и объеме контроля, а также требования по оформлению результатов контроля</w:t>
      </w:r>
    </w:p>
    <w:tbl>
      <w:tblPr>
        <w:tblStyle w:val="111"/>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82"/>
        <w:gridCol w:w="2032"/>
        <w:gridCol w:w="3342"/>
        <w:gridCol w:w="2614"/>
        <w:gridCol w:w="4359"/>
        <w:gridCol w:w="3048"/>
      </w:tblGrid>
      <w:tr>
        <w:trPr>
          <w:tblHeader/>
        </w:trPr>
        <w:tc>
          <w:tcPr>
            <w:tcW w:w="182"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 П/П</w:t>
            </w:r>
          </w:p>
        </w:tc>
        <w:tc>
          <w:tcPr>
            <w:tcW w:w="636"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НАИМЕНОВАНИЕ ИСПЫТАНИЙ</w:t>
            </w:r>
          </w:p>
        </w:tc>
        <w:tc>
          <w:tcPr>
            <w:tcW w:w="1046"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МЕТОДИКА КОНТРОЛЯ</w:t>
            </w:r>
          </w:p>
        </w:tc>
        <w:tc>
          <w:tcPr>
            <w:tcW w:w="818"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ОБЪЕМ КОНТРОЛЯ</w:t>
            </w:r>
          </w:p>
        </w:tc>
        <w:tc>
          <w:tcPr>
            <w:tcW w:w="1364"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ТРЕБОВАНИЯ К РЕЗУЛЬТАТАМ КОНТРОЛЯ</w:t>
            </w:r>
          </w:p>
        </w:tc>
        <w:tc>
          <w:tcPr>
            <w:tcW w:w="955" w:type="pct"/>
            <w:tcBorders>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ОФОРМЛЕНИЕ РЕЗУЛЬТАТОВ КОНТРОЛЯ</w:t>
            </w:r>
          </w:p>
        </w:tc>
      </w:tr>
      <w:tr>
        <w:trPr>
          <w:tblHeader/>
        </w:trPr>
        <w:tc>
          <w:tcPr>
            <w:tcW w:w="182"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1</w:t>
            </w:r>
          </w:p>
        </w:tc>
        <w:tc>
          <w:tcPr>
            <w:tcW w:w="636"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2</w:t>
            </w:r>
          </w:p>
        </w:tc>
        <w:tc>
          <w:tcPr>
            <w:tcW w:w="1046"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3</w:t>
            </w:r>
          </w:p>
        </w:tc>
        <w:tc>
          <w:tcPr>
            <w:tcW w:w="818"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4</w:t>
            </w:r>
          </w:p>
        </w:tc>
        <w:tc>
          <w:tcPr>
            <w:tcW w:w="1364"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5</w:t>
            </w:r>
          </w:p>
        </w:tc>
        <w:tc>
          <w:tcPr>
            <w:tcW w:w="955" w:type="pct"/>
            <w:tcBorders>
              <w:top w:val="single" w:sz="12" w:space="0" w:color="auto"/>
              <w:bottom w:val="single" w:sz="12" w:space="0" w:color="auto"/>
            </w:tcBorders>
            <w:shd w:val="clear" w:color="auto" w:fill="FFD200"/>
            <w:vAlign w:val="center"/>
          </w:tcPr>
          <w:p>
            <w:pPr>
              <w:jc w:val="center"/>
              <w:rPr>
                <w:rFonts w:ascii="Arial" w:hAnsi="Arial" w:cs="Arial"/>
                <w:b/>
                <w:sz w:val="16"/>
                <w:szCs w:val="16"/>
              </w:rPr>
            </w:pPr>
            <w:r>
              <w:rPr>
                <w:rFonts w:ascii="Arial" w:hAnsi="Arial" w:cs="Arial"/>
                <w:b/>
                <w:sz w:val="16"/>
                <w:szCs w:val="16"/>
              </w:rPr>
              <w:t>6</w:t>
            </w:r>
          </w:p>
        </w:tc>
      </w:tr>
      <w:tr>
        <w:tc>
          <w:tcPr>
            <w:tcW w:w="182" w:type="pct"/>
            <w:tcBorders>
              <w:top w:val="single" w:sz="12" w:space="0" w:color="auto"/>
            </w:tcBorders>
          </w:tcPr>
          <w:p>
            <w:pPr>
              <w:numPr>
                <w:ilvl w:val="0"/>
                <w:numId w:val="39"/>
              </w:numPr>
              <w:ind w:left="0" w:firstLine="0"/>
              <w:rPr>
                <w:sz w:val="20"/>
                <w:szCs w:val="20"/>
              </w:rPr>
            </w:pPr>
          </w:p>
        </w:tc>
        <w:tc>
          <w:tcPr>
            <w:tcW w:w="636" w:type="pct"/>
            <w:tcBorders>
              <w:top w:val="single" w:sz="12" w:space="0" w:color="auto"/>
            </w:tcBorders>
          </w:tcPr>
          <w:p>
            <w:pPr>
              <w:jc w:val="left"/>
              <w:rPr>
                <w:sz w:val="20"/>
                <w:szCs w:val="20"/>
              </w:rPr>
            </w:pPr>
            <w:r>
              <w:rPr>
                <w:sz w:val="20"/>
                <w:szCs w:val="20"/>
              </w:rPr>
              <w:t xml:space="preserve">Химический анализ металла деталей изделия и образцов </w:t>
            </w:r>
          </w:p>
          <w:p>
            <w:pPr>
              <w:jc w:val="left"/>
              <w:rPr>
                <w:sz w:val="20"/>
                <w:szCs w:val="20"/>
              </w:rPr>
            </w:pPr>
          </w:p>
          <w:p>
            <w:pPr>
              <w:jc w:val="left"/>
              <w:rPr>
                <w:sz w:val="20"/>
                <w:szCs w:val="20"/>
              </w:rPr>
            </w:pPr>
          </w:p>
        </w:tc>
        <w:tc>
          <w:tcPr>
            <w:tcW w:w="1046" w:type="pct"/>
            <w:tcBorders>
              <w:top w:val="single" w:sz="12" w:space="0" w:color="auto"/>
            </w:tcBorders>
          </w:tcPr>
          <w:p>
            <w:pPr>
              <w:jc w:val="left"/>
              <w:rPr>
                <w:sz w:val="20"/>
                <w:szCs w:val="20"/>
              </w:rPr>
            </w:pPr>
            <w:r>
              <w:rPr>
                <w:sz w:val="20"/>
                <w:szCs w:val="20"/>
              </w:rPr>
              <w:t xml:space="preserve">Контроль заготовок основного металла производится для количественного определения содержания химических элементов в соответствии с ГОСТ 7565, </w:t>
            </w:r>
            <w:r>
              <w:rPr>
                <w:sz w:val="20"/>
                <w:szCs w:val="20"/>
              </w:rPr>
              <w:br/>
              <w:t>ГОСТ 18895. Пробы для химического анализа металла отбираются по ГОСТ 7565</w:t>
            </w:r>
          </w:p>
        </w:tc>
        <w:tc>
          <w:tcPr>
            <w:tcW w:w="818" w:type="pct"/>
            <w:tcBorders>
              <w:top w:val="single" w:sz="12" w:space="0" w:color="auto"/>
            </w:tcBorders>
          </w:tcPr>
          <w:p>
            <w:pPr>
              <w:jc w:val="left"/>
              <w:rPr>
                <w:sz w:val="20"/>
                <w:szCs w:val="20"/>
              </w:rPr>
            </w:pPr>
            <w:r>
              <w:rPr>
                <w:sz w:val="20"/>
                <w:szCs w:val="20"/>
              </w:rPr>
              <w:t>Контрольный химический анализ основного металла заготовок производится на пробах, предназначенных для определения механических свойств</w:t>
            </w:r>
          </w:p>
        </w:tc>
        <w:tc>
          <w:tcPr>
            <w:tcW w:w="1364" w:type="pct"/>
            <w:tcBorders>
              <w:top w:val="single" w:sz="12" w:space="0" w:color="auto"/>
            </w:tcBorders>
          </w:tcPr>
          <w:p>
            <w:pPr>
              <w:jc w:val="left"/>
              <w:rPr>
                <w:sz w:val="20"/>
                <w:szCs w:val="20"/>
              </w:rPr>
            </w:pPr>
            <w:r>
              <w:rPr>
                <w:sz w:val="20"/>
                <w:szCs w:val="20"/>
              </w:rPr>
              <w:t xml:space="preserve">Марки сталей должны быть проверены по сертификатам на соответствие требованиям ГОСТ на материал, требований завода–изготовителя </w:t>
            </w:r>
            <w:r>
              <w:rPr>
                <w:rFonts w:eastAsia="Calibri"/>
                <w:sz w:val="20"/>
                <w:szCs w:val="20"/>
              </w:rPr>
              <w:t>кранов</w:t>
            </w:r>
            <w:r>
              <w:rPr>
                <w:sz w:val="20"/>
                <w:szCs w:val="20"/>
              </w:rPr>
              <w:t>.</w:t>
            </w:r>
          </w:p>
          <w:p>
            <w:pPr>
              <w:jc w:val="left"/>
              <w:rPr>
                <w:sz w:val="20"/>
                <w:szCs w:val="20"/>
              </w:rPr>
            </w:pPr>
            <w:r>
              <w:rPr>
                <w:sz w:val="20"/>
                <w:szCs w:val="20"/>
              </w:rPr>
              <w:t xml:space="preserve">Результаты химического анализа отливок должны соответствовать требованиям </w:t>
            </w:r>
            <w:r>
              <w:rPr>
                <w:sz w:val="20"/>
                <w:szCs w:val="20"/>
              </w:rPr>
              <w:br/>
              <w:t>СТ ЦКБА 014, ГОСТ 18895</w:t>
            </w:r>
          </w:p>
        </w:tc>
        <w:tc>
          <w:tcPr>
            <w:tcW w:w="955" w:type="pct"/>
            <w:tcBorders>
              <w:top w:val="single" w:sz="12" w:space="0" w:color="auto"/>
            </w:tcBorders>
          </w:tcPr>
          <w:p>
            <w:pPr>
              <w:jc w:val="left"/>
              <w:rPr>
                <w:sz w:val="20"/>
                <w:szCs w:val="20"/>
              </w:rPr>
            </w:pPr>
            <w:r>
              <w:rPr>
                <w:sz w:val="20"/>
                <w:szCs w:val="20"/>
              </w:rPr>
              <w:t>Химический состав металла заносится в технологический паспорт, а также в паспорт на арматуру</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Химический анализ наплавленного металла и металла шва</w:t>
            </w:r>
          </w:p>
          <w:p>
            <w:pPr>
              <w:jc w:val="left"/>
              <w:rPr>
                <w:sz w:val="20"/>
                <w:szCs w:val="20"/>
              </w:rPr>
            </w:pPr>
          </w:p>
          <w:p>
            <w:pPr>
              <w:jc w:val="left"/>
              <w:rPr>
                <w:sz w:val="20"/>
                <w:szCs w:val="20"/>
              </w:rPr>
            </w:pPr>
          </w:p>
        </w:tc>
        <w:tc>
          <w:tcPr>
            <w:tcW w:w="1046" w:type="pct"/>
          </w:tcPr>
          <w:p>
            <w:pPr>
              <w:jc w:val="left"/>
              <w:rPr>
                <w:sz w:val="20"/>
                <w:szCs w:val="20"/>
              </w:rPr>
            </w:pPr>
            <w:r>
              <w:rPr>
                <w:sz w:val="20"/>
                <w:szCs w:val="20"/>
              </w:rPr>
              <w:t>Контрольный химический состав металла шва производится в соответствии с СТ ЦКБА 025. Пробы для химического анализа металла, наплавленного твердыми износостойкими материалами, отбираются в соответствии с требованиями СТ ЦКБА 053</w:t>
            </w:r>
          </w:p>
        </w:tc>
        <w:tc>
          <w:tcPr>
            <w:tcW w:w="818" w:type="pct"/>
          </w:tcPr>
          <w:p>
            <w:pPr>
              <w:jc w:val="left"/>
              <w:rPr>
                <w:sz w:val="20"/>
                <w:szCs w:val="20"/>
              </w:rPr>
            </w:pPr>
            <w:r>
              <w:rPr>
                <w:sz w:val="20"/>
                <w:szCs w:val="20"/>
              </w:rPr>
              <w:t>Химический анализ наплавленных поверхностей проводится не менее чем в 4 точках, по 3 анализа</w:t>
            </w:r>
          </w:p>
        </w:tc>
        <w:tc>
          <w:tcPr>
            <w:tcW w:w="1364" w:type="pct"/>
          </w:tcPr>
          <w:p>
            <w:pPr>
              <w:jc w:val="left"/>
              <w:rPr>
                <w:sz w:val="20"/>
                <w:szCs w:val="20"/>
              </w:rPr>
            </w:pPr>
            <w:r>
              <w:rPr>
                <w:sz w:val="20"/>
                <w:szCs w:val="20"/>
              </w:rPr>
              <w:t xml:space="preserve">Сертификатные данные или контрольная проверка химического состава, химического анализа сварочных и наплавочных материалов должны быть проверены на соответствие их требованиям НД. Результаты контроля должны соответствовать требованиям </w:t>
            </w:r>
            <w:r>
              <w:rPr>
                <w:sz w:val="20"/>
                <w:szCs w:val="20"/>
              </w:rPr>
              <w:br/>
              <w:t>ГОСТ 18895</w:t>
            </w:r>
          </w:p>
        </w:tc>
        <w:tc>
          <w:tcPr>
            <w:tcW w:w="955" w:type="pct"/>
          </w:tcPr>
          <w:p>
            <w:pPr>
              <w:jc w:val="left"/>
              <w:rPr>
                <w:sz w:val="20"/>
                <w:szCs w:val="20"/>
              </w:rPr>
            </w:pPr>
            <w:r>
              <w:rPr>
                <w:sz w:val="20"/>
                <w:szCs w:val="20"/>
              </w:rPr>
              <w:t xml:space="preserve">Результаты контроля заносятся в журнал в установленном на заводе-изготовителе </w:t>
            </w:r>
            <w:r>
              <w:rPr>
                <w:rFonts w:eastAsia="Calibri"/>
                <w:sz w:val="20"/>
                <w:szCs w:val="20"/>
              </w:rPr>
              <w:t>кранов</w:t>
            </w:r>
            <w:r>
              <w:rPr>
                <w:sz w:val="20"/>
                <w:szCs w:val="20"/>
              </w:rPr>
              <w:t xml:space="preserve"> порядке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Испытание на растяжение при нормальной температуре</w:t>
            </w:r>
          </w:p>
          <w:p>
            <w:pPr>
              <w:jc w:val="left"/>
              <w:rPr>
                <w:sz w:val="20"/>
                <w:szCs w:val="20"/>
              </w:rPr>
            </w:pPr>
          </w:p>
        </w:tc>
        <w:tc>
          <w:tcPr>
            <w:tcW w:w="1046" w:type="pct"/>
          </w:tcPr>
          <w:p>
            <w:pPr>
              <w:jc w:val="left"/>
              <w:rPr>
                <w:sz w:val="20"/>
                <w:szCs w:val="20"/>
              </w:rPr>
            </w:pPr>
            <w:r>
              <w:rPr>
                <w:sz w:val="20"/>
                <w:szCs w:val="20"/>
              </w:rPr>
              <w:t xml:space="preserve">Контроль заготовок основного металла должен производиться в соответствии с требованиями </w:t>
            </w:r>
            <w:r>
              <w:rPr>
                <w:sz w:val="20"/>
                <w:szCs w:val="20"/>
              </w:rPr>
              <w:br/>
              <w:t xml:space="preserve">СТ ЦКБА 010, ГОСТ 1497, </w:t>
            </w:r>
            <w:r>
              <w:rPr>
                <w:sz w:val="20"/>
                <w:szCs w:val="20"/>
              </w:rPr>
              <w:br/>
              <w:t>ГОСТ Р ИСО 10006, отливок - в соответствии с требованиями</w:t>
            </w:r>
            <w:r>
              <w:rPr>
                <w:sz w:val="20"/>
                <w:szCs w:val="20"/>
              </w:rPr>
              <w:br/>
              <w:t xml:space="preserve">СТ ЦКБА 014, металла шва и сварного соединения - в соответствии с требованиями </w:t>
            </w:r>
            <w:r>
              <w:rPr>
                <w:sz w:val="20"/>
                <w:szCs w:val="20"/>
              </w:rPr>
              <w:br/>
              <w:t>СТ ЦКБА 025</w:t>
            </w:r>
          </w:p>
          <w:p>
            <w:pPr>
              <w:jc w:val="left"/>
              <w:rPr>
                <w:sz w:val="20"/>
                <w:szCs w:val="20"/>
              </w:rPr>
            </w:pPr>
          </w:p>
        </w:tc>
        <w:tc>
          <w:tcPr>
            <w:tcW w:w="818" w:type="pct"/>
          </w:tcPr>
          <w:p>
            <w:pPr>
              <w:jc w:val="left"/>
              <w:rPr>
                <w:sz w:val="20"/>
                <w:szCs w:val="20"/>
              </w:rPr>
            </w:pPr>
            <w:r>
              <w:rPr>
                <w:sz w:val="20"/>
                <w:szCs w:val="20"/>
              </w:rPr>
              <w:t xml:space="preserve">Объем контроля должен соответствовать требованиям </w:t>
            </w:r>
            <w:r>
              <w:rPr>
                <w:sz w:val="20"/>
                <w:szCs w:val="20"/>
              </w:rPr>
              <w:br/>
              <w:t xml:space="preserve">СТ ЦКБА 010, </w:t>
            </w:r>
            <w:r>
              <w:rPr>
                <w:sz w:val="20"/>
                <w:szCs w:val="20"/>
              </w:rPr>
              <w:br/>
              <w:t xml:space="preserve">СТ ЦКБА 012, </w:t>
            </w:r>
            <w:r>
              <w:rPr>
                <w:sz w:val="20"/>
                <w:szCs w:val="20"/>
              </w:rPr>
              <w:br/>
              <w:t xml:space="preserve">СТ ЦКБА 014, </w:t>
            </w:r>
            <w:r>
              <w:rPr>
                <w:sz w:val="20"/>
                <w:szCs w:val="20"/>
              </w:rPr>
              <w:br/>
              <w:t xml:space="preserve">СТ ЦКБА 052, </w:t>
            </w:r>
            <w:r>
              <w:rPr>
                <w:sz w:val="20"/>
                <w:szCs w:val="20"/>
              </w:rPr>
              <w:br/>
              <w:t xml:space="preserve">ГОСТ или требований завода–изготовителя </w:t>
            </w:r>
            <w:r>
              <w:rPr>
                <w:rFonts w:eastAsia="Calibri"/>
                <w:sz w:val="20"/>
                <w:szCs w:val="20"/>
              </w:rPr>
              <w:t>кранов</w:t>
            </w:r>
            <w:r>
              <w:rPr>
                <w:sz w:val="20"/>
                <w:szCs w:val="20"/>
              </w:rPr>
              <w:t xml:space="preserve"> на материал</w:t>
            </w:r>
          </w:p>
          <w:p>
            <w:pPr>
              <w:jc w:val="left"/>
              <w:rPr>
                <w:sz w:val="20"/>
                <w:szCs w:val="20"/>
              </w:rPr>
            </w:pPr>
          </w:p>
        </w:tc>
        <w:tc>
          <w:tcPr>
            <w:tcW w:w="1364" w:type="pct"/>
          </w:tcPr>
          <w:p>
            <w:pPr>
              <w:jc w:val="left"/>
              <w:rPr>
                <w:sz w:val="20"/>
                <w:szCs w:val="20"/>
              </w:rPr>
            </w:pPr>
            <w:r>
              <w:rPr>
                <w:sz w:val="20"/>
                <w:szCs w:val="20"/>
              </w:rPr>
              <w:t xml:space="preserve">Результаты контроля заготовок основного металла должны соответствовать требованиям ГОСТ или требований завода–изготовителя </w:t>
            </w:r>
            <w:r>
              <w:rPr>
                <w:rFonts w:eastAsia="Calibri"/>
                <w:sz w:val="20"/>
                <w:szCs w:val="20"/>
              </w:rPr>
              <w:t>кранов</w:t>
            </w:r>
            <w:r>
              <w:rPr>
                <w:sz w:val="20"/>
                <w:szCs w:val="20"/>
              </w:rPr>
              <w:t xml:space="preserve"> на материал. При проведении испытаний основного металла сдаточными являются характеристики σ</w:t>
            </w:r>
            <w:r>
              <w:rPr>
                <w:sz w:val="20"/>
                <w:szCs w:val="20"/>
                <w:vertAlign w:val="subscript"/>
              </w:rPr>
              <w:t>0,2</w:t>
            </w:r>
            <w:r>
              <w:rPr>
                <w:sz w:val="20"/>
                <w:szCs w:val="20"/>
              </w:rPr>
              <w:t>, σ</w:t>
            </w:r>
            <w:r>
              <w:rPr>
                <w:sz w:val="20"/>
                <w:szCs w:val="20"/>
                <w:vertAlign w:val="subscript"/>
              </w:rPr>
              <w:t>в</w:t>
            </w:r>
            <w:r>
              <w:rPr>
                <w:sz w:val="20"/>
                <w:szCs w:val="20"/>
              </w:rPr>
              <w:t>, δ, ψ, твердость. Результаты контроля крепежных деталей должны соответствовать требованиям чертежа, СТ ЦКБА 012. Результаты контроля сварных соединений и металла шва должны соответствовать требованиям СТ ЦКБА 025, КД</w:t>
            </w:r>
          </w:p>
        </w:tc>
        <w:tc>
          <w:tcPr>
            <w:tcW w:w="955" w:type="pct"/>
          </w:tcPr>
          <w:p>
            <w:pPr>
              <w:jc w:val="left"/>
              <w:rPr>
                <w:sz w:val="20"/>
                <w:szCs w:val="20"/>
              </w:rPr>
            </w:pPr>
            <w:r>
              <w:rPr>
                <w:sz w:val="20"/>
                <w:szCs w:val="20"/>
              </w:rPr>
              <w:t>Результаты испытаний основного металла фиксируются в журнале испытаний, технологическом паспорте и в паспорте на арматуру. Результаты испытаний сварных соединений и металла шва фиксируются в соответствующих журналах</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 xml:space="preserve">Испытание на ударный изгиб при </w:t>
            </w:r>
            <w:r>
              <w:rPr>
                <w:sz w:val="20"/>
                <w:szCs w:val="20"/>
              </w:rPr>
              <w:lastRenderedPageBreak/>
              <w:t>нормальной температуре</w:t>
            </w:r>
          </w:p>
          <w:p>
            <w:pPr>
              <w:jc w:val="left"/>
              <w:rPr>
                <w:sz w:val="20"/>
                <w:szCs w:val="20"/>
              </w:rPr>
            </w:pPr>
          </w:p>
        </w:tc>
        <w:tc>
          <w:tcPr>
            <w:tcW w:w="1046" w:type="pct"/>
          </w:tcPr>
          <w:p>
            <w:pPr>
              <w:jc w:val="left"/>
              <w:rPr>
                <w:sz w:val="20"/>
                <w:szCs w:val="20"/>
              </w:rPr>
            </w:pPr>
            <w:r>
              <w:rPr>
                <w:sz w:val="20"/>
                <w:szCs w:val="20"/>
              </w:rPr>
              <w:lastRenderedPageBreak/>
              <w:t xml:space="preserve">Контроль заготовок основного металла должен производиться в </w:t>
            </w:r>
            <w:r>
              <w:rPr>
                <w:sz w:val="20"/>
                <w:szCs w:val="20"/>
              </w:rPr>
              <w:lastRenderedPageBreak/>
              <w:t xml:space="preserve">соответствии с требованиями </w:t>
            </w:r>
            <w:r>
              <w:rPr>
                <w:sz w:val="20"/>
                <w:szCs w:val="20"/>
              </w:rPr>
              <w:br/>
              <w:t xml:space="preserve">СТ ЦКБА 010, СТ ЦКБА 012, отливок - в соответствии с требованиями СТ ЦКБА 014. Методика контроля - по </w:t>
            </w:r>
            <w:r>
              <w:rPr>
                <w:sz w:val="20"/>
                <w:szCs w:val="20"/>
              </w:rPr>
              <w:br/>
              <w:t>ГОСТ 9454</w:t>
            </w:r>
          </w:p>
        </w:tc>
        <w:tc>
          <w:tcPr>
            <w:tcW w:w="818" w:type="pct"/>
          </w:tcPr>
          <w:p>
            <w:pPr>
              <w:jc w:val="left"/>
              <w:rPr>
                <w:sz w:val="20"/>
                <w:szCs w:val="20"/>
              </w:rPr>
            </w:pPr>
            <w:r>
              <w:rPr>
                <w:sz w:val="20"/>
                <w:szCs w:val="20"/>
              </w:rPr>
              <w:lastRenderedPageBreak/>
              <w:t xml:space="preserve">Объем контроля должен соответствовать </w:t>
            </w:r>
            <w:r>
              <w:rPr>
                <w:sz w:val="20"/>
                <w:szCs w:val="20"/>
              </w:rPr>
              <w:lastRenderedPageBreak/>
              <w:t xml:space="preserve">требованиям </w:t>
            </w:r>
            <w:r>
              <w:rPr>
                <w:sz w:val="20"/>
                <w:szCs w:val="20"/>
              </w:rPr>
              <w:br/>
              <w:t xml:space="preserve">СТ ЦКБА 010, </w:t>
            </w:r>
            <w:r>
              <w:rPr>
                <w:sz w:val="20"/>
                <w:szCs w:val="20"/>
              </w:rPr>
              <w:br/>
              <w:t xml:space="preserve">СТ ЦКБА 012, </w:t>
            </w:r>
            <w:r>
              <w:rPr>
                <w:sz w:val="20"/>
                <w:szCs w:val="20"/>
              </w:rPr>
              <w:br/>
              <w:t xml:space="preserve">СТ ЦКБА 014, ГОСТ или требований завода–изготовителя </w:t>
            </w:r>
            <w:r>
              <w:rPr>
                <w:rFonts w:eastAsia="Calibri"/>
                <w:sz w:val="20"/>
                <w:szCs w:val="20"/>
              </w:rPr>
              <w:t>кранов</w:t>
            </w:r>
            <w:r>
              <w:rPr>
                <w:sz w:val="20"/>
                <w:szCs w:val="20"/>
              </w:rPr>
              <w:t xml:space="preserve"> на материал</w:t>
            </w:r>
          </w:p>
        </w:tc>
        <w:tc>
          <w:tcPr>
            <w:tcW w:w="1364" w:type="pct"/>
          </w:tcPr>
          <w:p>
            <w:pPr>
              <w:jc w:val="left"/>
              <w:rPr>
                <w:sz w:val="20"/>
                <w:szCs w:val="20"/>
              </w:rPr>
            </w:pPr>
            <w:r>
              <w:rPr>
                <w:sz w:val="20"/>
                <w:szCs w:val="20"/>
              </w:rPr>
              <w:lastRenderedPageBreak/>
              <w:t xml:space="preserve">Результаты контроля заготовок и отливок основного металла должны соответствовать </w:t>
            </w:r>
            <w:r>
              <w:rPr>
                <w:sz w:val="20"/>
                <w:szCs w:val="20"/>
              </w:rPr>
              <w:lastRenderedPageBreak/>
              <w:t xml:space="preserve">требованиям ГОСТ или требований завода–изготовителя </w:t>
            </w:r>
            <w:r>
              <w:rPr>
                <w:rFonts w:eastAsia="Calibri"/>
                <w:sz w:val="20"/>
                <w:szCs w:val="20"/>
              </w:rPr>
              <w:t>кранов</w:t>
            </w:r>
            <w:r>
              <w:rPr>
                <w:sz w:val="20"/>
                <w:szCs w:val="20"/>
              </w:rPr>
              <w:t xml:space="preserve"> на материал</w:t>
            </w:r>
          </w:p>
        </w:tc>
        <w:tc>
          <w:tcPr>
            <w:tcW w:w="955" w:type="pct"/>
          </w:tcPr>
          <w:p>
            <w:pPr>
              <w:jc w:val="left"/>
              <w:rPr>
                <w:sz w:val="20"/>
                <w:szCs w:val="20"/>
              </w:rPr>
            </w:pPr>
            <w:r>
              <w:rPr>
                <w:sz w:val="20"/>
                <w:szCs w:val="20"/>
              </w:rPr>
              <w:lastRenderedPageBreak/>
              <w:t xml:space="preserve">Результаты испытаний основного металла фиксируются </w:t>
            </w:r>
            <w:r>
              <w:rPr>
                <w:sz w:val="20"/>
                <w:szCs w:val="20"/>
              </w:rPr>
              <w:lastRenderedPageBreak/>
              <w:t>в журнале испытаний, технологическом паспорте и в паспорте на изделие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Испытание на ударный изгиб при отрицательной температуре</w:t>
            </w:r>
          </w:p>
          <w:p>
            <w:pPr>
              <w:jc w:val="left"/>
              <w:rPr>
                <w:sz w:val="20"/>
                <w:szCs w:val="20"/>
              </w:rPr>
            </w:pPr>
          </w:p>
          <w:p>
            <w:pPr>
              <w:jc w:val="left"/>
              <w:rPr>
                <w:sz w:val="20"/>
                <w:szCs w:val="20"/>
              </w:rPr>
            </w:pPr>
          </w:p>
        </w:tc>
        <w:tc>
          <w:tcPr>
            <w:tcW w:w="1046" w:type="pct"/>
          </w:tcPr>
          <w:p>
            <w:pPr>
              <w:jc w:val="left"/>
              <w:rPr>
                <w:sz w:val="20"/>
                <w:szCs w:val="20"/>
              </w:rPr>
            </w:pPr>
            <w:r>
              <w:rPr>
                <w:sz w:val="20"/>
                <w:szCs w:val="20"/>
              </w:rPr>
              <w:t xml:space="preserve">Контроль заготовок основного металла должен производиться в соответствии с требованиями </w:t>
            </w:r>
            <w:r>
              <w:rPr>
                <w:sz w:val="20"/>
                <w:szCs w:val="20"/>
              </w:rPr>
              <w:br/>
              <w:t xml:space="preserve">СТ ЦКБА 010, СТ ЦКБА 012, отливок - в соответствии с требованиями СТ ЦКБА 014, методика контроля по ГОСТ 9454, сварного соединения - в соответствии с требованиями </w:t>
            </w:r>
            <w:r>
              <w:rPr>
                <w:sz w:val="20"/>
                <w:szCs w:val="20"/>
              </w:rPr>
              <w:br/>
              <w:t xml:space="preserve">СТ ЦКБА 025. </w:t>
            </w:r>
          </w:p>
          <w:p>
            <w:pPr>
              <w:jc w:val="left"/>
              <w:rPr>
                <w:sz w:val="20"/>
                <w:szCs w:val="20"/>
              </w:rPr>
            </w:pPr>
            <w:r>
              <w:rPr>
                <w:sz w:val="20"/>
                <w:szCs w:val="20"/>
              </w:rPr>
              <w:t xml:space="preserve">Ударная вязкость коррозионно-стойких сталей аустенитного класса при отрицательных температурах не определяется в соответствии со </w:t>
            </w:r>
            <w:r>
              <w:rPr>
                <w:sz w:val="20"/>
                <w:szCs w:val="20"/>
              </w:rPr>
              <w:br/>
              <w:t>СТ ЦКБА 052</w:t>
            </w:r>
          </w:p>
        </w:tc>
        <w:tc>
          <w:tcPr>
            <w:tcW w:w="818" w:type="pct"/>
          </w:tcPr>
          <w:p>
            <w:pPr>
              <w:jc w:val="left"/>
              <w:rPr>
                <w:sz w:val="20"/>
                <w:szCs w:val="20"/>
              </w:rPr>
            </w:pPr>
            <w:r>
              <w:rPr>
                <w:sz w:val="20"/>
                <w:szCs w:val="20"/>
              </w:rPr>
              <w:t xml:space="preserve">Объем контроля должен соответствовать требованиям </w:t>
            </w:r>
            <w:r>
              <w:rPr>
                <w:sz w:val="20"/>
                <w:szCs w:val="20"/>
              </w:rPr>
              <w:br/>
              <w:t xml:space="preserve">СТ ЦКБА 010, </w:t>
            </w:r>
            <w:r>
              <w:rPr>
                <w:sz w:val="20"/>
                <w:szCs w:val="20"/>
              </w:rPr>
              <w:br/>
              <w:t xml:space="preserve">СТ ЦКБА 012, </w:t>
            </w:r>
            <w:r>
              <w:rPr>
                <w:sz w:val="20"/>
                <w:szCs w:val="20"/>
              </w:rPr>
              <w:br/>
              <w:t xml:space="preserve">СТ ЦКБА 014, ГОСТ или требований завода–изготовителя </w:t>
            </w:r>
            <w:r>
              <w:rPr>
                <w:rFonts w:eastAsia="Calibri"/>
                <w:sz w:val="20"/>
                <w:szCs w:val="20"/>
              </w:rPr>
              <w:t>кранов</w:t>
            </w:r>
            <w:r>
              <w:rPr>
                <w:sz w:val="20"/>
                <w:szCs w:val="20"/>
              </w:rPr>
              <w:t xml:space="preserve"> на материал. </w:t>
            </w:r>
          </w:p>
          <w:p>
            <w:pPr>
              <w:jc w:val="left"/>
              <w:rPr>
                <w:sz w:val="20"/>
                <w:szCs w:val="20"/>
              </w:rPr>
            </w:pPr>
            <w:r>
              <w:rPr>
                <w:sz w:val="20"/>
                <w:szCs w:val="20"/>
              </w:rPr>
              <w:t>Контроль сварных соединений производится согласно СТ ЦКБА 025, КД</w:t>
            </w:r>
          </w:p>
          <w:p>
            <w:pPr>
              <w:jc w:val="left"/>
              <w:rPr>
                <w:sz w:val="20"/>
                <w:szCs w:val="20"/>
              </w:rPr>
            </w:pPr>
          </w:p>
        </w:tc>
        <w:tc>
          <w:tcPr>
            <w:tcW w:w="1364" w:type="pct"/>
          </w:tcPr>
          <w:p>
            <w:pPr>
              <w:jc w:val="left"/>
              <w:rPr>
                <w:sz w:val="20"/>
                <w:szCs w:val="20"/>
              </w:rPr>
            </w:pPr>
            <w:r>
              <w:rPr>
                <w:sz w:val="20"/>
                <w:szCs w:val="20"/>
              </w:rPr>
              <w:t xml:space="preserve">Результаты контроля заготовок и отливок должны соответствовать требованиям ГОСТ или требований завода–изготовителя </w:t>
            </w:r>
            <w:r>
              <w:rPr>
                <w:rFonts w:eastAsia="Calibri"/>
                <w:sz w:val="20"/>
                <w:szCs w:val="20"/>
              </w:rPr>
              <w:t>кранов</w:t>
            </w:r>
            <w:r>
              <w:rPr>
                <w:sz w:val="20"/>
                <w:szCs w:val="20"/>
              </w:rPr>
              <w:t xml:space="preserve"> на материал. Результаты контроля сварных соединений должны соответствовать требованиям СТ ЦКБА 025, КД</w:t>
            </w:r>
          </w:p>
          <w:p>
            <w:pPr>
              <w:jc w:val="left"/>
              <w:rPr>
                <w:sz w:val="20"/>
                <w:szCs w:val="20"/>
              </w:rPr>
            </w:pPr>
          </w:p>
        </w:tc>
        <w:tc>
          <w:tcPr>
            <w:tcW w:w="955" w:type="pct"/>
          </w:tcPr>
          <w:p>
            <w:pPr>
              <w:jc w:val="left"/>
              <w:rPr>
                <w:sz w:val="20"/>
                <w:szCs w:val="20"/>
              </w:rPr>
            </w:pPr>
            <w:r>
              <w:rPr>
                <w:sz w:val="20"/>
                <w:szCs w:val="20"/>
              </w:rPr>
              <w:t>Результаты испытаний основного металла фиксируются в журнале испытаний, технологическом паспорте и в паспорте на изделие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Контроль содержания неметаллических включений</w:t>
            </w:r>
          </w:p>
          <w:p>
            <w:pPr>
              <w:jc w:val="left"/>
              <w:rPr>
                <w:sz w:val="20"/>
                <w:szCs w:val="20"/>
              </w:rPr>
            </w:pPr>
          </w:p>
          <w:p>
            <w:pPr>
              <w:jc w:val="left"/>
              <w:rPr>
                <w:sz w:val="20"/>
                <w:szCs w:val="20"/>
              </w:rPr>
            </w:pPr>
          </w:p>
        </w:tc>
        <w:tc>
          <w:tcPr>
            <w:tcW w:w="1046" w:type="pct"/>
          </w:tcPr>
          <w:p>
            <w:pPr>
              <w:jc w:val="left"/>
              <w:rPr>
                <w:sz w:val="20"/>
                <w:szCs w:val="20"/>
              </w:rPr>
            </w:pPr>
            <w:r>
              <w:rPr>
                <w:sz w:val="20"/>
                <w:szCs w:val="20"/>
              </w:rPr>
              <w:t xml:space="preserve">Контроль должен проводится в соответствии с указаниями </w:t>
            </w:r>
            <w:r>
              <w:rPr>
                <w:sz w:val="20"/>
                <w:szCs w:val="20"/>
              </w:rPr>
              <w:br/>
              <w:t xml:space="preserve">СТ ЦКБА 010, ГОСТ или требований завода–изготовителя </w:t>
            </w:r>
            <w:r>
              <w:rPr>
                <w:rFonts w:eastAsia="Calibri"/>
                <w:sz w:val="20"/>
                <w:szCs w:val="20"/>
              </w:rPr>
              <w:t>кранов</w:t>
            </w:r>
            <w:r>
              <w:rPr>
                <w:sz w:val="20"/>
                <w:szCs w:val="20"/>
              </w:rPr>
              <w:t xml:space="preserve"> на материал. Методика контроля по ГОСТ 1778</w:t>
            </w:r>
          </w:p>
        </w:tc>
        <w:tc>
          <w:tcPr>
            <w:tcW w:w="818" w:type="pct"/>
          </w:tcPr>
          <w:p>
            <w:pPr>
              <w:jc w:val="left"/>
              <w:rPr>
                <w:sz w:val="20"/>
                <w:szCs w:val="20"/>
              </w:rPr>
            </w:pPr>
            <w:r>
              <w:rPr>
                <w:sz w:val="20"/>
                <w:szCs w:val="20"/>
              </w:rPr>
              <w:t>Контролю подвергается основной металл в соответствии с требованиями ГОСТ или требований завода–изготовителя на материал</w:t>
            </w:r>
          </w:p>
        </w:tc>
        <w:tc>
          <w:tcPr>
            <w:tcW w:w="1364" w:type="pct"/>
          </w:tcPr>
          <w:p>
            <w:pPr>
              <w:jc w:val="left"/>
              <w:rPr>
                <w:sz w:val="20"/>
                <w:szCs w:val="20"/>
              </w:rPr>
            </w:pPr>
            <w:r>
              <w:rPr>
                <w:sz w:val="20"/>
                <w:szCs w:val="20"/>
              </w:rPr>
              <w:t xml:space="preserve">Результаты контроля должны соответствовать требованиям СТ ЦКБА 010, ГОСТ или требований завода–изготовителя </w:t>
            </w:r>
            <w:r>
              <w:rPr>
                <w:rFonts w:eastAsia="Calibri"/>
                <w:sz w:val="20"/>
                <w:szCs w:val="20"/>
              </w:rPr>
              <w:t>кранов</w:t>
            </w:r>
            <w:r>
              <w:rPr>
                <w:sz w:val="20"/>
                <w:szCs w:val="20"/>
              </w:rPr>
              <w:t xml:space="preserve"> на материал</w:t>
            </w:r>
          </w:p>
          <w:p>
            <w:pPr>
              <w:jc w:val="left"/>
              <w:rPr>
                <w:sz w:val="20"/>
                <w:szCs w:val="20"/>
              </w:rPr>
            </w:pPr>
          </w:p>
        </w:tc>
        <w:tc>
          <w:tcPr>
            <w:tcW w:w="955" w:type="pct"/>
          </w:tcPr>
          <w:p>
            <w:pPr>
              <w:jc w:val="left"/>
              <w:rPr>
                <w:sz w:val="20"/>
                <w:szCs w:val="20"/>
              </w:rPr>
            </w:pPr>
            <w:r>
              <w:rPr>
                <w:sz w:val="20"/>
                <w:szCs w:val="20"/>
              </w:rPr>
              <w:t>Результаты контроля фиксируются в журнале испытаний и технологическом паспорте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Контроль макроструктуры основного металла</w:t>
            </w:r>
          </w:p>
        </w:tc>
        <w:tc>
          <w:tcPr>
            <w:tcW w:w="1046" w:type="pct"/>
          </w:tcPr>
          <w:p>
            <w:pPr>
              <w:jc w:val="left"/>
              <w:rPr>
                <w:sz w:val="20"/>
                <w:szCs w:val="20"/>
              </w:rPr>
            </w:pPr>
            <w:r>
              <w:rPr>
                <w:sz w:val="20"/>
                <w:szCs w:val="20"/>
              </w:rPr>
              <w:t xml:space="preserve">Контроль должен проводиться в соответствии с указаниями </w:t>
            </w:r>
            <w:r>
              <w:rPr>
                <w:sz w:val="20"/>
                <w:szCs w:val="20"/>
              </w:rPr>
              <w:br/>
              <w:t xml:space="preserve">СТ ЦКБА 010, ГОСТ или требований завода–изготовителя </w:t>
            </w:r>
            <w:r>
              <w:rPr>
                <w:rFonts w:eastAsia="Calibri"/>
                <w:sz w:val="20"/>
                <w:szCs w:val="20"/>
              </w:rPr>
              <w:t>кранов</w:t>
            </w:r>
            <w:r>
              <w:rPr>
                <w:sz w:val="20"/>
                <w:szCs w:val="20"/>
              </w:rPr>
              <w:t xml:space="preserve"> на материал</w:t>
            </w:r>
          </w:p>
          <w:p>
            <w:pPr>
              <w:jc w:val="left"/>
              <w:rPr>
                <w:sz w:val="20"/>
                <w:szCs w:val="20"/>
              </w:rPr>
            </w:pPr>
          </w:p>
        </w:tc>
        <w:tc>
          <w:tcPr>
            <w:tcW w:w="818" w:type="pct"/>
          </w:tcPr>
          <w:p>
            <w:pPr>
              <w:jc w:val="left"/>
              <w:rPr>
                <w:sz w:val="20"/>
                <w:szCs w:val="20"/>
              </w:rPr>
            </w:pPr>
            <w:r>
              <w:rPr>
                <w:sz w:val="20"/>
                <w:szCs w:val="20"/>
              </w:rPr>
              <w:t xml:space="preserve">Контролю подвергается основной металл в соответствии с требованиями ГОСТ или требований завода–изготовителя </w:t>
            </w:r>
            <w:r>
              <w:rPr>
                <w:rFonts w:eastAsia="Calibri"/>
                <w:sz w:val="20"/>
                <w:szCs w:val="20"/>
              </w:rPr>
              <w:t>кранов</w:t>
            </w:r>
            <w:r>
              <w:rPr>
                <w:sz w:val="20"/>
                <w:szCs w:val="20"/>
              </w:rPr>
              <w:t xml:space="preserve"> на материал</w:t>
            </w:r>
          </w:p>
        </w:tc>
        <w:tc>
          <w:tcPr>
            <w:tcW w:w="1364" w:type="pct"/>
          </w:tcPr>
          <w:p>
            <w:pPr>
              <w:jc w:val="left"/>
              <w:rPr>
                <w:sz w:val="20"/>
                <w:szCs w:val="20"/>
              </w:rPr>
            </w:pPr>
            <w:r>
              <w:rPr>
                <w:sz w:val="20"/>
                <w:szCs w:val="20"/>
              </w:rPr>
              <w:t xml:space="preserve">Результаты контроля должны соответствовать требованиям СТ ЦКБА 010, ГОСТ или требований завода–изготовителя </w:t>
            </w:r>
            <w:r>
              <w:rPr>
                <w:rFonts w:eastAsia="Calibri"/>
                <w:sz w:val="20"/>
                <w:szCs w:val="20"/>
              </w:rPr>
              <w:t>кранов</w:t>
            </w:r>
            <w:r>
              <w:rPr>
                <w:sz w:val="20"/>
                <w:szCs w:val="20"/>
              </w:rPr>
              <w:t xml:space="preserve"> на материал</w:t>
            </w:r>
          </w:p>
        </w:tc>
        <w:tc>
          <w:tcPr>
            <w:tcW w:w="955" w:type="pct"/>
          </w:tcPr>
          <w:p>
            <w:pPr>
              <w:jc w:val="left"/>
              <w:rPr>
                <w:sz w:val="20"/>
                <w:szCs w:val="20"/>
              </w:rPr>
            </w:pPr>
            <w:r>
              <w:rPr>
                <w:sz w:val="20"/>
                <w:szCs w:val="20"/>
              </w:rPr>
              <w:t>Результаты контроля фиксируются в журнале испытаний и технологическом паспорте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 xml:space="preserve">Металлографическое исследование </w:t>
            </w:r>
            <w:r>
              <w:rPr>
                <w:sz w:val="20"/>
                <w:szCs w:val="20"/>
              </w:rPr>
              <w:lastRenderedPageBreak/>
              <w:t>сварных соединений</w:t>
            </w:r>
          </w:p>
          <w:p>
            <w:pPr>
              <w:jc w:val="left"/>
              <w:rPr>
                <w:sz w:val="20"/>
                <w:szCs w:val="20"/>
              </w:rPr>
            </w:pPr>
          </w:p>
        </w:tc>
        <w:tc>
          <w:tcPr>
            <w:tcW w:w="1046" w:type="pct"/>
          </w:tcPr>
          <w:p>
            <w:pPr>
              <w:jc w:val="left"/>
              <w:rPr>
                <w:sz w:val="20"/>
                <w:szCs w:val="20"/>
              </w:rPr>
            </w:pPr>
            <w:r>
              <w:rPr>
                <w:sz w:val="20"/>
                <w:szCs w:val="20"/>
              </w:rPr>
              <w:lastRenderedPageBreak/>
              <w:t xml:space="preserve">Контрольные сварные соединения контролируются в соответствии с </w:t>
            </w:r>
            <w:r>
              <w:rPr>
                <w:sz w:val="20"/>
                <w:szCs w:val="20"/>
              </w:rPr>
              <w:lastRenderedPageBreak/>
              <w:t xml:space="preserve">требованиями </w:t>
            </w:r>
            <w:r>
              <w:rPr>
                <w:sz w:val="20"/>
                <w:szCs w:val="20"/>
              </w:rPr>
              <w:br/>
              <w:t xml:space="preserve">СТ ЦКБА 025, СТ ЦКБА 052 и </w:t>
            </w:r>
            <w:r>
              <w:rPr>
                <w:sz w:val="20"/>
                <w:szCs w:val="20"/>
              </w:rPr>
              <w:br/>
              <w:t>РД-03-615</w:t>
            </w:r>
          </w:p>
          <w:p>
            <w:pPr>
              <w:jc w:val="left"/>
              <w:rPr>
                <w:sz w:val="20"/>
                <w:szCs w:val="20"/>
              </w:rPr>
            </w:pPr>
          </w:p>
        </w:tc>
        <w:tc>
          <w:tcPr>
            <w:tcW w:w="818" w:type="pct"/>
          </w:tcPr>
          <w:p>
            <w:pPr>
              <w:jc w:val="left"/>
              <w:rPr>
                <w:sz w:val="20"/>
                <w:szCs w:val="20"/>
              </w:rPr>
            </w:pPr>
            <w:r>
              <w:rPr>
                <w:sz w:val="20"/>
                <w:szCs w:val="20"/>
              </w:rPr>
              <w:lastRenderedPageBreak/>
              <w:t xml:space="preserve">Контроль проводится в объеме требований </w:t>
            </w:r>
            <w:r>
              <w:rPr>
                <w:sz w:val="20"/>
                <w:szCs w:val="20"/>
              </w:rPr>
              <w:br/>
            </w:r>
            <w:r>
              <w:rPr>
                <w:sz w:val="20"/>
                <w:szCs w:val="20"/>
              </w:rPr>
              <w:lastRenderedPageBreak/>
              <w:t xml:space="preserve">СТ ЦКБА 025, </w:t>
            </w:r>
            <w:r>
              <w:rPr>
                <w:sz w:val="20"/>
                <w:szCs w:val="20"/>
              </w:rPr>
              <w:br/>
              <w:t>СТ ЦКБА 052 и РД 03-615</w:t>
            </w:r>
          </w:p>
        </w:tc>
        <w:tc>
          <w:tcPr>
            <w:tcW w:w="1364" w:type="pct"/>
          </w:tcPr>
          <w:p>
            <w:pPr>
              <w:jc w:val="left"/>
              <w:rPr>
                <w:sz w:val="20"/>
                <w:szCs w:val="20"/>
              </w:rPr>
            </w:pPr>
            <w:r>
              <w:rPr>
                <w:sz w:val="20"/>
                <w:szCs w:val="20"/>
              </w:rPr>
              <w:lastRenderedPageBreak/>
              <w:t xml:space="preserve">Оценка качества сварных соединений и наплавленных деталей при </w:t>
            </w:r>
            <w:r>
              <w:rPr>
                <w:sz w:val="20"/>
                <w:szCs w:val="20"/>
              </w:rPr>
              <w:lastRenderedPageBreak/>
              <w:t>металлографическом исследовании производится в соответствии с требованиями СТ ЦКБА 025</w:t>
            </w:r>
          </w:p>
          <w:p>
            <w:pPr>
              <w:jc w:val="left"/>
              <w:rPr>
                <w:sz w:val="20"/>
                <w:szCs w:val="20"/>
              </w:rPr>
            </w:pPr>
          </w:p>
        </w:tc>
        <w:tc>
          <w:tcPr>
            <w:tcW w:w="955" w:type="pct"/>
          </w:tcPr>
          <w:p>
            <w:pPr>
              <w:jc w:val="left"/>
              <w:rPr>
                <w:sz w:val="20"/>
                <w:szCs w:val="20"/>
              </w:rPr>
            </w:pPr>
            <w:r>
              <w:rPr>
                <w:sz w:val="20"/>
                <w:szCs w:val="20"/>
              </w:rPr>
              <w:lastRenderedPageBreak/>
              <w:t xml:space="preserve">Результаты контроля фиксируются в журнале </w:t>
            </w:r>
            <w:r>
              <w:rPr>
                <w:sz w:val="20"/>
                <w:szCs w:val="20"/>
              </w:rPr>
              <w:lastRenderedPageBreak/>
              <w:t xml:space="preserve">испытаний в установленном порядке завода-изготовителя </w:t>
            </w:r>
            <w:r>
              <w:rPr>
                <w:rFonts w:eastAsia="Calibri"/>
                <w:sz w:val="20"/>
                <w:szCs w:val="20"/>
              </w:rPr>
              <w:t>кранов</w:t>
            </w:r>
            <w:r>
              <w:rPr>
                <w:sz w:val="20"/>
                <w:szCs w:val="20"/>
              </w:rPr>
              <w:t xml:space="preserve">, по аттестации технологии сварки - по </w:t>
            </w:r>
            <w:r>
              <w:rPr>
                <w:sz w:val="20"/>
                <w:szCs w:val="20"/>
              </w:rPr>
              <w:br/>
              <w:t>РД 03-615</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Контроль твердости</w:t>
            </w:r>
          </w:p>
          <w:p>
            <w:pPr>
              <w:jc w:val="left"/>
              <w:rPr>
                <w:sz w:val="20"/>
                <w:szCs w:val="20"/>
              </w:rPr>
            </w:pPr>
          </w:p>
        </w:tc>
        <w:tc>
          <w:tcPr>
            <w:tcW w:w="1046" w:type="pct"/>
          </w:tcPr>
          <w:p>
            <w:pPr>
              <w:jc w:val="left"/>
              <w:rPr>
                <w:sz w:val="20"/>
                <w:szCs w:val="20"/>
              </w:rPr>
            </w:pPr>
            <w:r>
              <w:rPr>
                <w:sz w:val="20"/>
                <w:szCs w:val="20"/>
              </w:rPr>
              <w:t xml:space="preserve">Твердость основного металла проверяется на соответствие требованиям СТ ЦКБА 010, крепежных деталей - СТ ЦКБА 012, твердой износостойкой наплавки - СТ ЦКБА 053. Проверка твердости производится с помощью приборов Виккерса по ГОСТ 2999 или Бринелля по ГОСТ 9012 или Роквелла по ГОСТ 9013 или другими аттестованными приборами. Твердость отливок и сварных соединений проверяется по </w:t>
            </w:r>
            <w:r>
              <w:rPr>
                <w:sz w:val="20"/>
                <w:szCs w:val="20"/>
              </w:rPr>
              <w:br/>
              <w:t>СТ ЦКБА 052</w:t>
            </w:r>
          </w:p>
          <w:p>
            <w:pPr>
              <w:jc w:val="left"/>
              <w:rPr>
                <w:sz w:val="20"/>
                <w:szCs w:val="20"/>
              </w:rPr>
            </w:pPr>
          </w:p>
        </w:tc>
        <w:tc>
          <w:tcPr>
            <w:tcW w:w="818" w:type="pct"/>
          </w:tcPr>
          <w:p>
            <w:pPr>
              <w:jc w:val="left"/>
              <w:rPr>
                <w:sz w:val="20"/>
                <w:szCs w:val="20"/>
              </w:rPr>
            </w:pPr>
            <w:r>
              <w:rPr>
                <w:sz w:val="20"/>
                <w:szCs w:val="20"/>
              </w:rPr>
              <w:t xml:space="preserve">Объем контроля основного металла и сварного соединения должен соответствовать требованиям КД, таблиц контроля качества, </w:t>
            </w:r>
            <w:r>
              <w:rPr>
                <w:sz w:val="20"/>
                <w:szCs w:val="20"/>
              </w:rPr>
              <w:br/>
              <w:t xml:space="preserve">СТ ЦКБА 052. Объем контроля твердой износостойкой наплавки должен соответствовать требованиям </w:t>
            </w:r>
            <w:r>
              <w:rPr>
                <w:sz w:val="20"/>
                <w:szCs w:val="20"/>
              </w:rPr>
              <w:br/>
              <w:t>СТ ЦКБА 053</w:t>
            </w:r>
          </w:p>
          <w:p>
            <w:pPr>
              <w:jc w:val="left"/>
              <w:rPr>
                <w:sz w:val="20"/>
                <w:szCs w:val="20"/>
              </w:rPr>
            </w:pPr>
          </w:p>
        </w:tc>
        <w:tc>
          <w:tcPr>
            <w:tcW w:w="1364" w:type="pct"/>
          </w:tcPr>
          <w:p>
            <w:pPr>
              <w:jc w:val="left"/>
              <w:rPr>
                <w:sz w:val="20"/>
                <w:szCs w:val="20"/>
              </w:rPr>
            </w:pPr>
            <w:r>
              <w:rPr>
                <w:sz w:val="20"/>
                <w:szCs w:val="20"/>
              </w:rPr>
              <w:t xml:space="preserve">Результаты контроля основного металла и сварного соединения должны соответствовать требованиям СТ ЦКБА 052, ГОСТ или Требований завода–изготовителя </w:t>
            </w:r>
            <w:r>
              <w:rPr>
                <w:rFonts w:eastAsia="Calibri"/>
                <w:sz w:val="20"/>
                <w:szCs w:val="20"/>
              </w:rPr>
              <w:t>кранов</w:t>
            </w:r>
            <w:r>
              <w:rPr>
                <w:sz w:val="20"/>
                <w:szCs w:val="20"/>
              </w:rPr>
              <w:t xml:space="preserve"> на материал. </w:t>
            </w:r>
          </w:p>
          <w:p>
            <w:pPr>
              <w:jc w:val="left"/>
              <w:rPr>
                <w:sz w:val="20"/>
                <w:szCs w:val="20"/>
              </w:rPr>
            </w:pPr>
            <w:r>
              <w:rPr>
                <w:sz w:val="20"/>
                <w:szCs w:val="20"/>
              </w:rPr>
              <w:t xml:space="preserve">Результаты контроля металла, наплавленного твердыми износостойкими материалами, должны соответствовать требованиям ГОСТ или требований завода–изготовителя </w:t>
            </w:r>
            <w:r>
              <w:rPr>
                <w:rFonts w:eastAsia="Calibri"/>
                <w:sz w:val="20"/>
                <w:szCs w:val="20"/>
              </w:rPr>
              <w:t>кранов</w:t>
            </w:r>
            <w:r>
              <w:rPr>
                <w:sz w:val="20"/>
                <w:szCs w:val="20"/>
              </w:rPr>
              <w:t xml:space="preserve"> материала, СТ ЦКБА 053.</w:t>
            </w:r>
          </w:p>
          <w:p>
            <w:pPr>
              <w:jc w:val="left"/>
              <w:rPr>
                <w:sz w:val="20"/>
                <w:szCs w:val="20"/>
              </w:rPr>
            </w:pPr>
            <w:r>
              <w:rPr>
                <w:sz w:val="20"/>
                <w:szCs w:val="20"/>
              </w:rPr>
              <w:t>На деталях с наплавленными поверхностями, недоступными для замеров твердости, контроль должен проводиться на контрольных образцах, идентичных контролируемым производственным наплавленным деталям по марке основного металла, подготовке под наплавку, способу наплавки, партии (сочетанию партий) наплавочных материалов, технологии выполнения наплавки и термической обработке</w:t>
            </w:r>
          </w:p>
        </w:tc>
        <w:tc>
          <w:tcPr>
            <w:tcW w:w="955" w:type="pct"/>
          </w:tcPr>
          <w:p>
            <w:pPr>
              <w:jc w:val="left"/>
              <w:rPr>
                <w:sz w:val="20"/>
                <w:szCs w:val="20"/>
              </w:rPr>
            </w:pPr>
            <w:r>
              <w:rPr>
                <w:sz w:val="20"/>
                <w:szCs w:val="20"/>
              </w:rPr>
              <w:t>Результаты контроля должны фиксироваться в журнале испытаний с указанием прибора для измерения твердости. Результаты контроля твердости являются сдаточной характеристикой и заносятся в паспорт на изделие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Испытание на стойкость к СКРН</w:t>
            </w:r>
          </w:p>
        </w:tc>
        <w:tc>
          <w:tcPr>
            <w:tcW w:w="1046" w:type="pct"/>
          </w:tcPr>
          <w:p>
            <w:pPr>
              <w:jc w:val="left"/>
              <w:rPr>
                <w:sz w:val="20"/>
                <w:szCs w:val="20"/>
              </w:rPr>
            </w:pPr>
            <w:r>
              <w:rPr>
                <w:sz w:val="20"/>
                <w:szCs w:val="20"/>
              </w:rPr>
              <w:t xml:space="preserve">Испытание для оценки стойкости металла к СКРН в соответствии с требованиями ГОСТ Р 53678, </w:t>
            </w:r>
            <w:r>
              <w:rPr>
                <w:sz w:val="20"/>
                <w:szCs w:val="20"/>
              </w:rPr>
              <w:br/>
              <w:t xml:space="preserve">п. 4.2.15 СТ ЦКБА-052-2008, требований п. 4.3.2. настоящих Методических указаний </w:t>
            </w:r>
          </w:p>
        </w:tc>
        <w:tc>
          <w:tcPr>
            <w:tcW w:w="818" w:type="pct"/>
          </w:tcPr>
          <w:p>
            <w:pPr>
              <w:jc w:val="left"/>
              <w:rPr>
                <w:sz w:val="20"/>
                <w:szCs w:val="20"/>
              </w:rPr>
            </w:pPr>
            <w:r>
              <w:rPr>
                <w:sz w:val="20"/>
                <w:szCs w:val="20"/>
              </w:rPr>
              <w:t xml:space="preserve">Контроль должен проводиться в соответствии с указаниями </w:t>
            </w:r>
            <w:r>
              <w:rPr>
                <w:sz w:val="20"/>
                <w:szCs w:val="20"/>
              </w:rPr>
              <w:br/>
              <w:t>СТ ЦКБА 052, КД, требований п. 4.3.2. настоящих Методических указаний</w:t>
            </w:r>
          </w:p>
        </w:tc>
        <w:tc>
          <w:tcPr>
            <w:tcW w:w="1364" w:type="pct"/>
          </w:tcPr>
          <w:p>
            <w:pPr>
              <w:jc w:val="left"/>
              <w:rPr>
                <w:sz w:val="20"/>
                <w:szCs w:val="20"/>
              </w:rPr>
            </w:pPr>
            <w:r>
              <w:rPr>
                <w:sz w:val="20"/>
                <w:szCs w:val="20"/>
              </w:rPr>
              <w:t>Пороговое напряжение СКРН в соответствии с Таблицей 11 настоящих Методических указаний</w:t>
            </w:r>
          </w:p>
        </w:tc>
        <w:tc>
          <w:tcPr>
            <w:tcW w:w="955" w:type="pct"/>
          </w:tcPr>
          <w:p>
            <w:pPr>
              <w:jc w:val="left"/>
              <w:rPr>
                <w:sz w:val="20"/>
                <w:szCs w:val="20"/>
              </w:rPr>
            </w:pPr>
            <w:r>
              <w:rPr>
                <w:color w:val="000000"/>
                <w:sz w:val="20"/>
              </w:rPr>
              <w:t>Результаты контроля оформляются протоколом испытаний. Выдается заключение по результатам контроля. Результаты контроля заносятся в паспорт на изделие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Испытание на стойкость к ВР (HIC)</w:t>
            </w:r>
          </w:p>
        </w:tc>
        <w:tc>
          <w:tcPr>
            <w:tcW w:w="1046" w:type="pct"/>
          </w:tcPr>
          <w:p>
            <w:pPr>
              <w:jc w:val="left"/>
              <w:rPr>
                <w:sz w:val="20"/>
                <w:szCs w:val="20"/>
              </w:rPr>
            </w:pPr>
            <w:r>
              <w:rPr>
                <w:sz w:val="20"/>
                <w:szCs w:val="20"/>
              </w:rPr>
              <w:t xml:space="preserve">Испытание для оценки стойкости металла к ВР должно соответствовать критериям приемки, каждый коэффициент которых представляет собой максимальное допустимое среднее </w:t>
            </w:r>
            <w:r>
              <w:rPr>
                <w:sz w:val="20"/>
                <w:szCs w:val="20"/>
              </w:rPr>
              <w:lastRenderedPageBreak/>
              <w:t>значение для трех сечений образца при испытании в соответствии с требованиями п. 4.2.17 СТ ЦКБА-052-2008</w:t>
            </w:r>
          </w:p>
        </w:tc>
        <w:tc>
          <w:tcPr>
            <w:tcW w:w="818" w:type="pct"/>
          </w:tcPr>
          <w:p>
            <w:pPr>
              <w:jc w:val="left"/>
              <w:rPr>
                <w:sz w:val="20"/>
                <w:szCs w:val="20"/>
              </w:rPr>
            </w:pPr>
            <w:r>
              <w:rPr>
                <w:sz w:val="20"/>
                <w:szCs w:val="20"/>
              </w:rPr>
              <w:lastRenderedPageBreak/>
              <w:t xml:space="preserve">Контроль должен проводиться в соответствии с указаниями </w:t>
            </w:r>
            <w:r>
              <w:rPr>
                <w:sz w:val="20"/>
                <w:szCs w:val="20"/>
              </w:rPr>
              <w:br/>
              <w:t xml:space="preserve">СТ ЦКБА 052. </w:t>
            </w:r>
          </w:p>
          <w:p>
            <w:pPr>
              <w:jc w:val="left"/>
              <w:rPr>
                <w:sz w:val="20"/>
                <w:szCs w:val="20"/>
              </w:rPr>
            </w:pPr>
            <w:r>
              <w:rPr>
                <w:color w:val="000000"/>
                <w:sz w:val="20"/>
              </w:rPr>
              <w:t xml:space="preserve">Поковки и штамповки с содержанием серы менее </w:t>
            </w:r>
            <w:r>
              <w:rPr>
                <w:color w:val="000000"/>
                <w:sz w:val="20"/>
              </w:rPr>
              <w:lastRenderedPageBreak/>
              <w:t>0,025 %, а также отливки, на стойкость к HIC не испытываются</w:t>
            </w:r>
          </w:p>
        </w:tc>
        <w:tc>
          <w:tcPr>
            <w:tcW w:w="1364" w:type="pct"/>
          </w:tcPr>
          <w:p>
            <w:pPr>
              <w:pStyle w:val="affd"/>
              <w:numPr>
                <w:ilvl w:val="0"/>
                <w:numId w:val="67"/>
              </w:numPr>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lastRenderedPageBreak/>
              <w:t>Коэффициент длины трещин (CLR)≤15 %;</w:t>
            </w:r>
          </w:p>
          <w:p>
            <w:pPr>
              <w:pStyle w:val="affd"/>
              <w:numPr>
                <w:ilvl w:val="0"/>
                <w:numId w:val="67"/>
              </w:numPr>
              <w:spacing w:before="120" w:line="240" w:lineRule="auto"/>
              <w:ind w:left="538" w:hanging="357"/>
              <w:contextualSpacing w:val="0"/>
              <w:jc w:val="left"/>
              <w:rPr>
                <w:rFonts w:ascii="Times New Roman" w:eastAsia="Times New Roman" w:hAnsi="Times New Roman"/>
                <w:sz w:val="20"/>
                <w:szCs w:val="20"/>
              </w:rPr>
            </w:pPr>
            <w:r>
              <w:rPr>
                <w:rFonts w:ascii="Times New Roman" w:eastAsia="Times New Roman" w:hAnsi="Times New Roman"/>
                <w:sz w:val="20"/>
                <w:szCs w:val="20"/>
              </w:rPr>
              <w:t>Коэффициент толщины трещин (CTR)≤5 %;</w:t>
            </w:r>
          </w:p>
          <w:p>
            <w:pPr>
              <w:pStyle w:val="affd"/>
              <w:numPr>
                <w:ilvl w:val="0"/>
                <w:numId w:val="67"/>
              </w:numPr>
              <w:spacing w:before="120" w:line="240" w:lineRule="auto"/>
              <w:ind w:left="538" w:hanging="357"/>
              <w:contextualSpacing w:val="0"/>
              <w:jc w:val="left"/>
              <w:rPr>
                <w:rFonts w:eastAsia="Times New Roman"/>
                <w:sz w:val="20"/>
                <w:szCs w:val="20"/>
              </w:rPr>
            </w:pPr>
            <w:r>
              <w:rPr>
                <w:rFonts w:ascii="Times New Roman" w:eastAsia="Times New Roman" w:hAnsi="Times New Roman"/>
                <w:sz w:val="20"/>
                <w:szCs w:val="20"/>
              </w:rPr>
              <w:lastRenderedPageBreak/>
              <w:t>Коэффициент чувствительности к растрескиванию (CSR)≤2 %</w:t>
            </w:r>
          </w:p>
        </w:tc>
        <w:tc>
          <w:tcPr>
            <w:tcW w:w="955" w:type="pct"/>
          </w:tcPr>
          <w:p>
            <w:pPr>
              <w:jc w:val="left"/>
              <w:rPr>
                <w:sz w:val="20"/>
                <w:szCs w:val="20"/>
              </w:rPr>
            </w:pPr>
            <w:r>
              <w:rPr>
                <w:sz w:val="20"/>
                <w:szCs w:val="20"/>
              </w:rPr>
              <w:lastRenderedPageBreak/>
              <w:t>Результаты контроля оформляются отчетом, Заказчику выдается заключение по результатам контроля. Результаты контроля заносятся в паспорт на изделие</w:t>
            </w:r>
          </w:p>
        </w:tc>
      </w:tr>
      <w:tr>
        <w:tc>
          <w:tcPr>
            <w:tcW w:w="182" w:type="pct"/>
          </w:tcPr>
          <w:p>
            <w:pPr>
              <w:numPr>
                <w:ilvl w:val="0"/>
                <w:numId w:val="39"/>
              </w:numPr>
              <w:ind w:left="0" w:firstLine="0"/>
              <w:rPr>
                <w:sz w:val="20"/>
                <w:szCs w:val="20"/>
              </w:rPr>
            </w:pPr>
          </w:p>
        </w:tc>
        <w:tc>
          <w:tcPr>
            <w:tcW w:w="636" w:type="pct"/>
          </w:tcPr>
          <w:p>
            <w:pPr>
              <w:jc w:val="left"/>
              <w:rPr>
                <w:sz w:val="20"/>
                <w:szCs w:val="20"/>
              </w:rPr>
            </w:pPr>
            <w:r>
              <w:rPr>
                <w:sz w:val="20"/>
                <w:szCs w:val="20"/>
              </w:rPr>
              <w:t>Испытание стойкости к МКК</w:t>
            </w:r>
          </w:p>
        </w:tc>
        <w:tc>
          <w:tcPr>
            <w:tcW w:w="1046" w:type="pct"/>
          </w:tcPr>
          <w:p>
            <w:pPr>
              <w:jc w:val="left"/>
              <w:rPr>
                <w:sz w:val="20"/>
                <w:szCs w:val="20"/>
              </w:rPr>
            </w:pPr>
            <w:r>
              <w:rPr>
                <w:sz w:val="20"/>
                <w:szCs w:val="20"/>
              </w:rPr>
              <w:t xml:space="preserve">Испытание проводится в соответствии с требованиями </w:t>
            </w:r>
            <w:r>
              <w:rPr>
                <w:sz w:val="20"/>
                <w:szCs w:val="20"/>
              </w:rPr>
              <w:br/>
              <w:t>СТ ЦКБА 052, также:</w:t>
            </w:r>
          </w:p>
          <w:p>
            <w:pPr>
              <w:pStyle w:val="affd"/>
              <w:numPr>
                <w:ilvl w:val="0"/>
                <w:numId w:val="41"/>
              </w:numPr>
              <w:spacing w:before="120" w:line="240" w:lineRule="auto"/>
              <w:ind w:left="464" w:hanging="283"/>
              <w:contextualSpacing w:val="0"/>
              <w:jc w:val="left"/>
              <w:rPr>
                <w:rFonts w:ascii="Times New Roman" w:eastAsia="Times New Roman" w:hAnsi="Times New Roman"/>
                <w:sz w:val="20"/>
                <w:szCs w:val="20"/>
              </w:rPr>
            </w:pPr>
            <w:r>
              <w:rPr>
                <w:rFonts w:ascii="Times New Roman" w:eastAsia="Times New Roman" w:hAnsi="Times New Roman"/>
                <w:sz w:val="20"/>
                <w:szCs w:val="20"/>
              </w:rPr>
              <w:t>ГОСТ 6032 - для сталей аустенитного, ферритного, аустенитно-ферритного, аустенитно-мартенситного классов;</w:t>
            </w:r>
          </w:p>
          <w:p>
            <w:pPr>
              <w:pStyle w:val="affd"/>
              <w:numPr>
                <w:ilvl w:val="0"/>
                <w:numId w:val="41"/>
              </w:numPr>
              <w:spacing w:before="120" w:line="240" w:lineRule="auto"/>
              <w:ind w:left="464" w:hanging="283"/>
              <w:contextualSpacing w:val="0"/>
              <w:jc w:val="left"/>
              <w:rPr>
                <w:rFonts w:ascii="Times New Roman" w:eastAsia="Times New Roman" w:hAnsi="Times New Roman"/>
                <w:sz w:val="20"/>
                <w:szCs w:val="20"/>
              </w:rPr>
            </w:pPr>
            <w:r>
              <w:rPr>
                <w:rFonts w:ascii="Times New Roman" w:eastAsia="Times New Roman" w:hAnsi="Times New Roman"/>
                <w:sz w:val="20"/>
                <w:szCs w:val="20"/>
              </w:rPr>
              <w:t>ГОСТ 6032 и СТ ЦКБА 010 - для сталей 14Х17Н2 и 07Х16Н4Б;</w:t>
            </w:r>
          </w:p>
          <w:p>
            <w:pPr>
              <w:pStyle w:val="affd"/>
              <w:numPr>
                <w:ilvl w:val="0"/>
                <w:numId w:val="41"/>
              </w:numPr>
              <w:spacing w:before="120" w:line="240" w:lineRule="auto"/>
              <w:ind w:left="464" w:hanging="283"/>
              <w:contextualSpacing w:val="0"/>
              <w:jc w:val="left"/>
              <w:rPr>
                <w:rFonts w:eastAsia="Times New Roman"/>
                <w:sz w:val="20"/>
                <w:szCs w:val="20"/>
              </w:rPr>
            </w:pPr>
            <w:r>
              <w:rPr>
                <w:rFonts w:ascii="Times New Roman" w:eastAsia="Times New Roman" w:hAnsi="Times New Roman"/>
                <w:sz w:val="20"/>
                <w:szCs w:val="20"/>
              </w:rPr>
              <w:t>ГОСТ 6032 - при испытании сварного соединения, наплавленного металла или металла шва, выполненных сварочными материалами для сталей аустенитного, ферритного, аустенитно-ферритного, аустенитно-мартенситного классов</w:t>
            </w:r>
          </w:p>
        </w:tc>
        <w:tc>
          <w:tcPr>
            <w:tcW w:w="818" w:type="pct"/>
          </w:tcPr>
          <w:p>
            <w:pPr>
              <w:jc w:val="left"/>
              <w:rPr>
                <w:sz w:val="20"/>
                <w:szCs w:val="20"/>
              </w:rPr>
            </w:pPr>
            <w:r>
              <w:rPr>
                <w:sz w:val="20"/>
                <w:szCs w:val="20"/>
              </w:rPr>
              <w:t xml:space="preserve">Объем контроля - для основного металла должен соответствовать </w:t>
            </w:r>
            <w:r>
              <w:rPr>
                <w:sz w:val="20"/>
                <w:szCs w:val="20"/>
              </w:rPr>
              <w:br/>
              <w:t xml:space="preserve">СТ ЦКБА 010, </w:t>
            </w:r>
            <w:r>
              <w:rPr>
                <w:sz w:val="20"/>
                <w:szCs w:val="20"/>
              </w:rPr>
              <w:br/>
              <w:t>СТ ЦКБА 052.</w:t>
            </w:r>
          </w:p>
          <w:p>
            <w:pPr>
              <w:jc w:val="left"/>
              <w:rPr>
                <w:sz w:val="20"/>
                <w:szCs w:val="20"/>
              </w:rPr>
            </w:pPr>
            <w:r>
              <w:rPr>
                <w:sz w:val="20"/>
                <w:szCs w:val="20"/>
              </w:rPr>
              <w:t>Испытания сварного соединения, наплавленного металла или металла шва проводятся при контроле качества сварных соединений, выполненных сварочными материалами</w:t>
            </w:r>
          </w:p>
        </w:tc>
        <w:tc>
          <w:tcPr>
            <w:tcW w:w="1364" w:type="pct"/>
          </w:tcPr>
          <w:p>
            <w:pPr>
              <w:jc w:val="left"/>
              <w:rPr>
                <w:sz w:val="20"/>
                <w:szCs w:val="20"/>
              </w:rPr>
            </w:pPr>
            <w:r>
              <w:rPr>
                <w:sz w:val="20"/>
                <w:szCs w:val="20"/>
              </w:rPr>
              <w:t xml:space="preserve">Основной металл, отливки, наплавленный металл или металл шва должны быть стойкими к МКК в соответствии с требованиями </w:t>
            </w:r>
            <w:r>
              <w:rPr>
                <w:sz w:val="20"/>
                <w:szCs w:val="20"/>
              </w:rPr>
              <w:br/>
              <w:t>ГОСТ 6032</w:t>
            </w:r>
          </w:p>
        </w:tc>
        <w:tc>
          <w:tcPr>
            <w:tcW w:w="955" w:type="pct"/>
          </w:tcPr>
          <w:p>
            <w:pPr>
              <w:jc w:val="left"/>
              <w:rPr>
                <w:sz w:val="20"/>
                <w:szCs w:val="20"/>
              </w:rPr>
            </w:pPr>
            <w:r>
              <w:rPr>
                <w:sz w:val="20"/>
                <w:szCs w:val="20"/>
              </w:rPr>
              <w:t>Результаты контроля основного металла фиксируются в журнале и в паспорте на изделие. Результаты испытаний сварочных материалов фиксируются в соответствующих журналах и в паспорте на изделие</w:t>
            </w:r>
          </w:p>
        </w:tc>
      </w:tr>
    </w:tbl>
    <w:p>
      <w:pPr>
        <w:pStyle w:val="M"/>
        <w:rPr>
          <w:rFonts w:ascii="Arial" w:hAnsi="Arial" w:cs="Arial"/>
        </w:rPr>
        <w:sectPr>
          <w:headerReference w:type="even" r:id="rId91"/>
          <w:headerReference w:type="default" r:id="rId92"/>
          <w:footerReference w:type="default" r:id="rId93"/>
          <w:headerReference w:type="first" r:id="rId94"/>
          <w:pgSz w:w="16838" w:h="11906" w:orient="landscape"/>
          <w:pgMar w:top="1247" w:right="510" w:bottom="1021" w:left="567" w:header="737" w:footer="680" w:gutter="0"/>
          <w:cols w:space="708"/>
          <w:docGrid w:linePitch="360"/>
        </w:sectPr>
      </w:pPr>
    </w:p>
    <w:p>
      <w:pPr>
        <w:pStyle w:val="M"/>
        <w:numPr>
          <w:ilvl w:val="0"/>
          <w:numId w:val="69"/>
        </w:numPr>
        <w:ind w:left="0" w:firstLine="0"/>
        <w:rPr>
          <w:rFonts w:ascii="Arial" w:hAnsi="Arial" w:cs="Arial"/>
          <w:b/>
        </w:rPr>
      </w:pPr>
      <w:bookmarkStart w:id="340" w:name="_ПРИЛОЖЕНИЕ_6._ХИМИЧЕСКИЙ"/>
      <w:bookmarkEnd w:id="340"/>
      <w:r>
        <w:rPr>
          <w:rFonts w:ascii="Arial" w:hAnsi="Arial" w:cs="Arial"/>
          <w:b/>
        </w:rPr>
        <w:lastRenderedPageBreak/>
        <w:t>ОТЧЕТ ПО ПРОВЕДЕНИЮ ИСПЫТАНИЙ ОСНОВНЫХ ДЕТАЛЕЙ ТРУБОПРОВОДНОЙ АРМАТУРЫ</w:t>
      </w:r>
    </w:p>
    <w:p/>
    <w:p>
      <w:r>
        <w:t>Результаты испытаний необходимо оформлять в соответствии с «Типовыми составными частями экспертного заключения/отчета СМО».</w:t>
      </w:r>
    </w:p>
    <w:p/>
    <w:p>
      <w:pPr>
        <w:rPr>
          <w:rFonts w:ascii="Arial" w:hAnsi="Arial" w:cs="Arial"/>
          <w:b/>
          <w:sz w:val="28"/>
          <w:szCs w:val="20"/>
        </w:rPr>
      </w:pPr>
      <w:r>
        <w:rPr>
          <w:rFonts w:ascii="Arial" w:hAnsi="Arial" w:cs="Arial"/>
          <w:b/>
          <w:sz w:val="28"/>
          <w:szCs w:val="20"/>
        </w:rPr>
        <w:t>ТИПОВЫЕ СОСТАВНЫЕ ЧАСТИ ЭКСПЕРТНОГО ЗАКЛЮЧЕНИЯ/ОТЧЕТА СМО ПО РЕЗУЛЬТАТАМ ПРОВЕДЕНИЯ ИСПЫТАНИЙ ОСНОВНЫХ ДЕТАЛЕЙ ТРУБОПРОВОДНОЙ АРМАТУРЫ</w:t>
      </w:r>
    </w:p>
    <w:p/>
    <w:p>
      <w:pPr>
        <w:rPr>
          <w:rFonts w:ascii="Arial" w:hAnsi="Arial" w:cs="Arial"/>
          <w:b/>
          <w:sz w:val="28"/>
          <w:szCs w:val="20"/>
        </w:rPr>
      </w:pPr>
      <w:r>
        <w:rPr>
          <w:rFonts w:ascii="Arial" w:hAnsi="Arial" w:cs="Arial"/>
          <w:b/>
          <w:sz w:val="28"/>
          <w:szCs w:val="20"/>
        </w:rPr>
        <w:t xml:space="preserve">РАЗДЕЛ </w:t>
      </w:r>
      <w:r>
        <w:rPr>
          <w:rFonts w:ascii="Arial" w:hAnsi="Arial" w:cs="Arial"/>
          <w:b/>
          <w:bCs/>
          <w:color w:val="000000"/>
          <w:sz w:val="28"/>
          <w:szCs w:val="20"/>
          <w:shd w:val="clear" w:color="auto" w:fill="FFFFFF"/>
        </w:rPr>
        <w:t>I</w:t>
      </w:r>
    </w:p>
    <w:p>
      <w:pPr>
        <w:spacing w:before="160"/>
        <w:rPr>
          <w:rFonts w:ascii="Arial" w:hAnsi="Arial" w:cs="Arial"/>
          <w:b/>
          <w:szCs w:val="20"/>
        </w:rPr>
      </w:pPr>
      <w:r>
        <w:rPr>
          <w:rFonts w:ascii="Arial" w:hAnsi="Arial" w:cs="Arial"/>
          <w:b/>
          <w:szCs w:val="20"/>
        </w:rPr>
        <w:t>1. ЦЕЛЬ РАБОТЫ</w:t>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r>
        <w:rPr>
          <w:rFonts w:ascii="Arial" w:hAnsi="Arial" w:cs="Arial"/>
          <w:b/>
          <w:szCs w:val="20"/>
        </w:rPr>
        <w:tab/>
      </w:r>
    </w:p>
    <w:p>
      <w:pPr>
        <w:spacing w:before="160"/>
        <w:rPr>
          <w:rFonts w:ascii="Arial" w:hAnsi="Arial" w:cs="Arial"/>
          <w:b/>
          <w:szCs w:val="20"/>
        </w:rPr>
      </w:pPr>
      <w:r>
        <w:rPr>
          <w:rFonts w:ascii="Arial" w:hAnsi="Arial" w:cs="Arial"/>
          <w:b/>
          <w:szCs w:val="20"/>
        </w:rPr>
        <w:t>2. ОБЪЕКТ ИСПЫТАНИЙ</w:t>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r>
        <w:rPr>
          <w:rFonts w:ascii="Arial" w:hAnsi="Arial" w:cs="Arial"/>
          <w:szCs w:val="20"/>
        </w:rPr>
        <w:tab/>
      </w:r>
    </w:p>
    <w:p>
      <w:pPr>
        <w:spacing w:before="160"/>
        <w:rPr>
          <w:rFonts w:ascii="Arial" w:hAnsi="Arial" w:cs="Arial"/>
          <w:szCs w:val="20"/>
        </w:rPr>
      </w:pPr>
      <w:r>
        <w:rPr>
          <w:rFonts w:ascii="Arial" w:hAnsi="Arial" w:cs="Arial"/>
          <w:b/>
          <w:szCs w:val="20"/>
        </w:rPr>
        <w:t>3. ПОРЯДОК ПРОВЕДЕНИЯ ИСПЫТАНИЙ МАТЕРИАЛА ОСНОВНЫХ ДЕТАЛЕЙ</w:t>
      </w:r>
    </w:p>
    <w:p>
      <w:pPr>
        <w:pStyle w:val="27"/>
        <w:spacing w:before="160" w:line="240" w:lineRule="auto"/>
        <w:ind w:right="23" w:firstLine="0"/>
        <w:rPr>
          <w:rFonts w:ascii="Arial" w:hAnsi="Arial" w:cs="Arial"/>
          <w:caps/>
          <w:sz w:val="24"/>
        </w:rPr>
      </w:pPr>
      <w:r>
        <w:rPr>
          <w:rFonts w:ascii="Arial" w:hAnsi="Arial" w:cs="Arial"/>
          <w:b/>
          <w:sz w:val="24"/>
        </w:rPr>
        <w:t>4</w:t>
      </w:r>
      <w:r>
        <w:rPr>
          <w:rFonts w:ascii="Arial" w:hAnsi="Arial" w:cs="Arial"/>
          <w:sz w:val="24"/>
        </w:rPr>
        <w:t xml:space="preserve">. </w:t>
      </w:r>
      <w:r>
        <w:rPr>
          <w:rFonts w:ascii="Arial" w:hAnsi="Arial" w:cs="Arial"/>
          <w:b/>
          <w:caps/>
          <w:sz w:val="24"/>
        </w:rPr>
        <w:t>Результаты испытаний</w:t>
      </w:r>
      <w:r>
        <w:rPr>
          <w:rFonts w:ascii="Arial" w:hAnsi="Arial" w:cs="Arial"/>
          <w:b/>
          <w:caps/>
          <w:sz w:val="24"/>
        </w:rPr>
        <w:tab/>
      </w:r>
      <w:r>
        <w:rPr>
          <w:rFonts w:ascii="Arial" w:hAnsi="Arial" w:cs="Arial"/>
          <w:b/>
          <w:caps/>
          <w:sz w:val="24"/>
        </w:rPr>
        <w:tab/>
      </w:r>
      <w:r>
        <w:rPr>
          <w:rFonts w:ascii="Arial" w:hAnsi="Arial" w:cs="Arial"/>
          <w:b/>
          <w:caps/>
          <w:sz w:val="24"/>
        </w:rPr>
        <w:tab/>
      </w:r>
      <w:r>
        <w:rPr>
          <w:rFonts w:ascii="Arial" w:hAnsi="Arial" w:cs="Arial"/>
          <w:b/>
          <w:caps/>
          <w:sz w:val="24"/>
        </w:rPr>
        <w:tab/>
      </w:r>
      <w:r>
        <w:rPr>
          <w:rFonts w:ascii="Arial" w:hAnsi="Arial" w:cs="Arial"/>
          <w:b/>
          <w:caps/>
          <w:sz w:val="24"/>
        </w:rPr>
        <w:tab/>
      </w:r>
      <w:r>
        <w:rPr>
          <w:rFonts w:ascii="Arial" w:hAnsi="Arial" w:cs="Arial"/>
          <w:b/>
          <w:caps/>
          <w:sz w:val="24"/>
        </w:rPr>
        <w:tab/>
      </w:r>
      <w:r>
        <w:rPr>
          <w:rFonts w:ascii="Arial" w:hAnsi="Arial" w:cs="Arial"/>
          <w:b/>
          <w:caps/>
          <w:sz w:val="24"/>
        </w:rPr>
        <w:tab/>
      </w:r>
      <w:r>
        <w:rPr>
          <w:rFonts w:ascii="Arial" w:hAnsi="Arial" w:cs="Arial"/>
          <w:caps/>
          <w:sz w:val="24"/>
        </w:rPr>
        <w:tab/>
      </w:r>
    </w:p>
    <w:p>
      <w:pPr>
        <w:spacing w:before="160"/>
        <w:ind w:left="425" w:firstLine="1"/>
        <w:rPr>
          <w:rFonts w:ascii="Arial" w:hAnsi="Arial" w:cs="Arial"/>
          <w:caps/>
          <w:sz w:val="18"/>
          <w:szCs w:val="18"/>
        </w:rPr>
      </w:pPr>
      <w:r>
        <w:rPr>
          <w:rFonts w:ascii="Arial" w:hAnsi="Arial" w:cs="Arial"/>
          <w:b/>
          <w:sz w:val="20"/>
          <w:szCs w:val="20"/>
        </w:rPr>
        <w:t xml:space="preserve">4.1. </w:t>
      </w:r>
      <w:r>
        <w:rPr>
          <w:rFonts w:ascii="Arial" w:hAnsi="Arial" w:cs="Arial"/>
          <w:b/>
          <w:caps/>
          <w:sz w:val="20"/>
          <w:szCs w:val="20"/>
        </w:rPr>
        <w:t>Результаты испытаний материала корпуса</w:t>
      </w:r>
      <w:r>
        <w:rPr>
          <w:rFonts w:ascii="Arial" w:hAnsi="Arial" w:cs="Arial"/>
          <w:caps/>
          <w:sz w:val="20"/>
          <w:szCs w:val="20"/>
        </w:rPr>
        <w:tab/>
      </w:r>
      <w:r>
        <w:rPr>
          <w:rFonts w:ascii="Arial" w:hAnsi="Arial" w:cs="Arial"/>
          <w:caps/>
          <w:sz w:val="18"/>
          <w:szCs w:val="18"/>
        </w:rPr>
        <w:tab/>
      </w:r>
      <w:r>
        <w:rPr>
          <w:rFonts w:ascii="Arial" w:hAnsi="Arial" w:cs="Arial"/>
          <w:caps/>
          <w:sz w:val="18"/>
          <w:szCs w:val="18"/>
        </w:rPr>
        <w:tab/>
      </w:r>
      <w:r>
        <w:rPr>
          <w:rFonts w:ascii="Arial" w:hAnsi="Arial" w:cs="Arial"/>
          <w:caps/>
          <w:sz w:val="18"/>
          <w:szCs w:val="18"/>
        </w:rPr>
        <w:tab/>
      </w:r>
      <w:r>
        <w:rPr>
          <w:rFonts w:ascii="Arial" w:hAnsi="Arial" w:cs="Arial"/>
          <w:caps/>
          <w:sz w:val="18"/>
          <w:szCs w:val="18"/>
        </w:rPr>
        <w:tab/>
      </w:r>
    </w:p>
    <w:p>
      <w:pPr>
        <w:spacing w:before="160"/>
        <w:ind w:left="425" w:firstLine="426"/>
        <w:rPr>
          <w:rFonts w:ascii="Arial" w:hAnsi="Arial" w:cs="Arial"/>
          <w:i/>
          <w:caps/>
          <w:sz w:val="20"/>
          <w:szCs w:val="20"/>
        </w:rPr>
      </w:pPr>
      <w:r>
        <w:rPr>
          <w:rFonts w:ascii="Arial" w:hAnsi="Arial" w:cs="Arial"/>
          <w:i/>
          <w:caps/>
          <w:sz w:val="20"/>
          <w:szCs w:val="20"/>
        </w:rPr>
        <w:t>4.1.1. Определение химического МАТЕРИАЛА корпуса</w:t>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4.1.2. АНАЛИЗ НЕМЕТАЛЛИЧЕСКИХ ВКЛЮЧЕНИЙ в материале корпуса</w:t>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4.1.3. Микроструктура МАТЕРИАЛА корпуса</w:t>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4.1.4. результаты механических испытаний МАТЕРИАЛА корпуса</w:t>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4.1.5. результаты коррозионных испытаний материала корпуса:</w:t>
      </w:r>
      <w:r>
        <w:rPr>
          <w:rFonts w:ascii="Arial" w:hAnsi="Arial" w:cs="Arial"/>
          <w:i/>
          <w:caps/>
          <w:sz w:val="20"/>
          <w:szCs w:val="20"/>
        </w:rPr>
        <w:tab/>
      </w:r>
      <w:r>
        <w:rPr>
          <w:rFonts w:ascii="Arial" w:hAnsi="Arial" w:cs="Arial"/>
          <w:i/>
          <w:caps/>
          <w:sz w:val="20"/>
          <w:szCs w:val="20"/>
        </w:rPr>
        <w:tab/>
      </w:r>
    </w:p>
    <w:p>
      <w:pPr>
        <w:spacing w:before="160"/>
        <w:ind w:left="851"/>
        <w:rPr>
          <w:rFonts w:ascii="Arial" w:hAnsi="Arial" w:cs="Arial"/>
          <w:i/>
          <w:caps/>
          <w:sz w:val="20"/>
          <w:szCs w:val="20"/>
        </w:rPr>
      </w:pPr>
      <w:r>
        <w:rPr>
          <w:rFonts w:ascii="Arial" w:hAnsi="Arial" w:cs="Arial"/>
          <w:i/>
          <w:caps/>
          <w:sz w:val="20"/>
          <w:szCs w:val="20"/>
        </w:rPr>
        <w:t>4.1.5.1 ИСПЫТАНИЕ МАТЕРИАЛА КОРПУСА НА СТОЙКОСТЬ К ОБЩЕЙ КОРРОЗИИ ПО МЕТОДИКЕ ПРИЛОЖЕНИЯ 3 МЕТОДИЧЕСКИХ УКАЗАНИЙ КОМПАНИИ «ЕДИНЫЕ ТЕХНИЧЕСКИЕ ТРЕБОВАНИЯ. КРАНЫ ШАРОВЫЕ» № П4-06 М-0034</w:t>
      </w:r>
    </w:p>
    <w:p>
      <w:pPr>
        <w:spacing w:before="160"/>
        <w:ind w:left="425" w:firstLine="426"/>
        <w:rPr>
          <w:rFonts w:ascii="Arial" w:hAnsi="Arial" w:cs="Arial"/>
          <w:i/>
          <w:caps/>
          <w:sz w:val="20"/>
          <w:szCs w:val="20"/>
        </w:rPr>
      </w:pPr>
      <w:r>
        <w:rPr>
          <w:rFonts w:ascii="Arial" w:hAnsi="Arial" w:cs="Arial"/>
          <w:i/>
          <w:caps/>
          <w:sz w:val="20"/>
          <w:szCs w:val="20"/>
        </w:rPr>
        <w:t>4.1.5.2 ИСПЫТАНИЕ ОБРАЗЦОВ НА СТОЙКОСТЬ К ВОДОРОДНОМУ РАСТРЕСКИВАНИЮ*</w:t>
      </w:r>
    </w:p>
    <w:p>
      <w:pPr>
        <w:spacing w:before="160"/>
        <w:ind w:left="425" w:firstLine="426"/>
        <w:rPr>
          <w:rFonts w:ascii="Arial" w:hAnsi="Arial" w:cs="Arial"/>
          <w:i/>
          <w:caps/>
          <w:sz w:val="18"/>
          <w:szCs w:val="18"/>
        </w:rPr>
      </w:pPr>
      <w:r>
        <w:rPr>
          <w:rFonts w:ascii="Arial" w:hAnsi="Arial" w:cs="Arial"/>
          <w:i/>
          <w:caps/>
          <w:sz w:val="20"/>
          <w:szCs w:val="20"/>
        </w:rPr>
        <w:t>4.1.5.3 ИСПЫТАНИЕ ОБРАЗЦОВ НА СТОЙКОСТЬ К СКРН*</w:t>
      </w:r>
      <w:r>
        <w:rPr>
          <w:rFonts w:ascii="Arial" w:hAnsi="Arial" w:cs="Arial"/>
          <w:i/>
          <w:caps/>
          <w:sz w:val="20"/>
          <w:szCs w:val="20"/>
        </w:rPr>
        <w:tab/>
      </w:r>
      <w:r>
        <w:rPr>
          <w:rFonts w:ascii="Arial" w:hAnsi="Arial" w:cs="Arial"/>
          <w:i/>
          <w:caps/>
          <w:sz w:val="20"/>
          <w:szCs w:val="20"/>
        </w:rPr>
        <w:tab/>
      </w:r>
      <w:r>
        <w:rPr>
          <w:rFonts w:ascii="Arial" w:hAnsi="Arial" w:cs="Arial"/>
          <w:i/>
          <w:caps/>
          <w:sz w:val="16"/>
          <w:szCs w:val="18"/>
        </w:rPr>
        <w:tab/>
      </w:r>
      <w:r>
        <w:rPr>
          <w:rFonts w:ascii="Arial" w:hAnsi="Arial" w:cs="Arial"/>
          <w:i/>
          <w:caps/>
          <w:sz w:val="16"/>
          <w:szCs w:val="18"/>
        </w:rPr>
        <w:tab/>
      </w:r>
    </w:p>
    <w:p>
      <w:pPr>
        <w:spacing w:before="160"/>
        <w:ind w:left="425" w:firstLine="1"/>
        <w:rPr>
          <w:rFonts w:ascii="Arial" w:hAnsi="Arial" w:cs="Arial"/>
          <w:i/>
          <w:caps/>
          <w:sz w:val="18"/>
          <w:szCs w:val="18"/>
        </w:rPr>
      </w:pPr>
      <w:r>
        <w:rPr>
          <w:rFonts w:ascii="Arial" w:hAnsi="Arial" w:cs="Arial"/>
          <w:b/>
          <w:caps/>
          <w:sz w:val="20"/>
          <w:szCs w:val="18"/>
        </w:rPr>
        <w:t>4.2. Результаты испытаний материала крышки</w:t>
      </w:r>
      <w:r>
        <w:rPr>
          <w:rFonts w:ascii="Arial" w:hAnsi="Arial" w:cs="Arial"/>
          <w:caps/>
          <w:sz w:val="20"/>
          <w:szCs w:val="18"/>
        </w:rPr>
        <w:tab/>
      </w:r>
      <w:r>
        <w:rPr>
          <w:rFonts w:ascii="Arial" w:hAnsi="Arial" w:cs="Arial"/>
          <w:i/>
          <w:caps/>
          <w:sz w:val="18"/>
          <w:szCs w:val="18"/>
        </w:rPr>
        <w:tab/>
      </w:r>
      <w:r>
        <w:rPr>
          <w:rFonts w:ascii="Arial" w:hAnsi="Arial" w:cs="Arial"/>
          <w:i/>
          <w:caps/>
          <w:sz w:val="18"/>
          <w:szCs w:val="18"/>
        </w:rPr>
        <w:tab/>
      </w:r>
      <w:r>
        <w:rPr>
          <w:rFonts w:ascii="Arial" w:hAnsi="Arial" w:cs="Arial"/>
          <w:i/>
          <w:caps/>
          <w:sz w:val="18"/>
          <w:szCs w:val="18"/>
        </w:rPr>
        <w:tab/>
      </w:r>
      <w:r>
        <w:rPr>
          <w:rFonts w:ascii="Arial" w:hAnsi="Arial" w:cs="Arial"/>
          <w:i/>
          <w:caps/>
          <w:sz w:val="18"/>
          <w:szCs w:val="18"/>
        </w:rPr>
        <w:tab/>
      </w:r>
    </w:p>
    <w:p>
      <w:pPr>
        <w:spacing w:before="160"/>
        <w:ind w:left="425" w:firstLine="426"/>
        <w:rPr>
          <w:rFonts w:ascii="Arial" w:hAnsi="Arial" w:cs="Arial"/>
          <w:i/>
          <w:caps/>
          <w:sz w:val="20"/>
          <w:szCs w:val="20"/>
        </w:rPr>
      </w:pPr>
      <w:r>
        <w:rPr>
          <w:rFonts w:ascii="Arial" w:hAnsi="Arial" w:cs="Arial"/>
          <w:i/>
          <w:caps/>
          <w:sz w:val="20"/>
          <w:szCs w:val="20"/>
        </w:rPr>
        <w:t>4.2.1. Определение химического МАТЕРИАЛА крышки</w:t>
      </w:r>
      <w:r>
        <w:rPr>
          <w:rFonts w:ascii="Arial" w:hAnsi="Arial" w:cs="Arial"/>
          <w:i/>
          <w:caps/>
          <w:sz w:val="20"/>
          <w:szCs w:val="20"/>
        </w:rPr>
        <w:tab/>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4.2.2. АНАЛИЗ НЕМЕТАЛЛИЧЕСКИХ ВКЛЮЧЕНИЙ в материале крышки</w:t>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4.2.3. Микроструктура МАТЕРИАЛА крышки</w:t>
      </w:r>
      <w:r>
        <w:rPr>
          <w:rFonts w:ascii="Arial" w:hAnsi="Arial" w:cs="Arial"/>
          <w:i/>
          <w:caps/>
          <w:sz w:val="20"/>
          <w:szCs w:val="20"/>
        </w:rPr>
        <w:tab/>
      </w:r>
      <w:r>
        <w:rPr>
          <w:rFonts w:ascii="Arial" w:hAnsi="Arial" w:cs="Arial"/>
          <w:i/>
          <w:caps/>
          <w:sz w:val="20"/>
          <w:szCs w:val="20"/>
        </w:rPr>
        <w:tab/>
      </w:r>
    </w:p>
    <w:p>
      <w:pPr>
        <w:spacing w:before="160"/>
        <w:ind w:left="425" w:firstLine="426"/>
        <w:rPr>
          <w:rFonts w:ascii="Arial" w:hAnsi="Arial" w:cs="Arial"/>
          <w:i/>
          <w:caps/>
          <w:sz w:val="20"/>
          <w:szCs w:val="20"/>
        </w:rPr>
      </w:pPr>
      <w:r>
        <w:rPr>
          <w:rFonts w:ascii="Arial" w:hAnsi="Arial" w:cs="Arial"/>
          <w:i/>
          <w:caps/>
          <w:sz w:val="20"/>
          <w:szCs w:val="20"/>
        </w:rPr>
        <w:t>4.2.4. результаты механических испытаний МАТЕРИАЛА крышки</w:t>
      </w:r>
    </w:p>
    <w:p>
      <w:pPr>
        <w:spacing w:before="160"/>
        <w:ind w:left="425" w:firstLine="426"/>
        <w:rPr>
          <w:rFonts w:ascii="Arial" w:hAnsi="Arial" w:cs="Arial"/>
          <w:i/>
          <w:caps/>
          <w:sz w:val="20"/>
          <w:szCs w:val="20"/>
        </w:rPr>
      </w:pPr>
      <w:r>
        <w:rPr>
          <w:rFonts w:ascii="Arial" w:hAnsi="Arial" w:cs="Arial"/>
          <w:i/>
          <w:caps/>
          <w:sz w:val="20"/>
          <w:szCs w:val="20"/>
        </w:rPr>
        <w:t>4.2.5. результаты коррозионных испытаний материала крышки:</w:t>
      </w:r>
      <w:r>
        <w:rPr>
          <w:rFonts w:ascii="Arial" w:hAnsi="Arial" w:cs="Arial"/>
          <w:i/>
          <w:caps/>
          <w:sz w:val="20"/>
          <w:szCs w:val="20"/>
        </w:rPr>
        <w:tab/>
      </w:r>
    </w:p>
    <w:p>
      <w:pPr>
        <w:tabs>
          <w:tab w:val="left" w:pos="1418"/>
        </w:tabs>
        <w:spacing w:before="160"/>
        <w:ind w:left="851"/>
        <w:rPr>
          <w:rFonts w:ascii="Arial" w:hAnsi="Arial" w:cs="Arial"/>
          <w:i/>
          <w:caps/>
          <w:sz w:val="20"/>
          <w:szCs w:val="20"/>
        </w:rPr>
      </w:pPr>
      <w:r>
        <w:rPr>
          <w:rFonts w:ascii="Arial" w:hAnsi="Arial" w:cs="Arial"/>
          <w:i/>
          <w:caps/>
          <w:sz w:val="20"/>
          <w:szCs w:val="20"/>
        </w:rPr>
        <w:t>4.2.5</w:t>
      </w:r>
      <w:r>
        <w:rPr>
          <w:rFonts w:ascii="Arial" w:hAnsi="Arial" w:cs="Arial"/>
          <w:i/>
          <w:caps/>
          <w:sz w:val="20"/>
          <w:szCs w:val="20"/>
        </w:rPr>
        <w:tab/>
        <w:t>ИСПЫТАНИЕ МАТЕРИАЛА КРЫШКИ НА СТОЙКОСТЬ К ОБЩЕЙ КОРРОЗИИ ПО МЕТОДИКЕ ПРИЛОЖЕНИЯ 3 МЕТОДИЧЕСКИХ УКАЗАНИЙ КОМПАНИИ «ЕДИНЫЕ ТЕХНИЧЕСКИЕ ТРЕБОВАНИЯ. КРАНЫ ШАРОВЫЕ» № П4-06 М-0034</w:t>
      </w:r>
    </w:p>
    <w:p>
      <w:pPr>
        <w:spacing w:before="160"/>
        <w:ind w:left="425" w:firstLine="425"/>
        <w:rPr>
          <w:rFonts w:ascii="Arial" w:hAnsi="Arial" w:cs="Arial"/>
          <w:i/>
          <w:caps/>
          <w:sz w:val="20"/>
          <w:szCs w:val="20"/>
        </w:rPr>
      </w:pPr>
      <w:r>
        <w:rPr>
          <w:rFonts w:ascii="Arial" w:hAnsi="Arial" w:cs="Arial"/>
          <w:i/>
          <w:caps/>
          <w:sz w:val="20"/>
          <w:szCs w:val="20"/>
        </w:rPr>
        <w:t>4.2.5.2 ИСПЫТАНИЕ ОБРАЗЦОВ НА СТОЙКОСТЬ К ВОДОРОДНОМУ РАСТРЕСКИВАНИЮ*</w:t>
      </w:r>
    </w:p>
    <w:p>
      <w:pPr>
        <w:spacing w:before="160"/>
        <w:ind w:left="425" w:firstLine="425"/>
        <w:rPr>
          <w:rFonts w:ascii="Arial" w:hAnsi="Arial" w:cs="Arial"/>
          <w:i/>
          <w:caps/>
          <w:sz w:val="16"/>
          <w:szCs w:val="18"/>
        </w:rPr>
      </w:pPr>
      <w:r>
        <w:rPr>
          <w:rFonts w:ascii="Arial" w:hAnsi="Arial" w:cs="Arial"/>
          <w:i/>
          <w:caps/>
          <w:sz w:val="20"/>
          <w:szCs w:val="20"/>
        </w:rPr>
        <w:t>4.2.5.3 ИСПЫТАНИЕ ОБРАЗЦОВ НА СТОЙКОСТЬ К СКРН*</w:t>
      </w:r>
      <w:r>
        <w:rPr>
          <w:rFonts w:ascii="Arial" w:hAnsi="Arial" w:cs="Arial"/>
          <w:i/>
          <w:caps/>
          <w:sz w:val="20"/>
          <w:szCs w:val="20"/>
        </w:rPr>
        <w:tab/>
      </w:r>
      <w:r>
        <w:rPr>
          <w:rFonts w:ascii="Arial" w:hAnsi="Arial" w:cs="Arial"/>
          <w:i/>
          <w:caps/>
          <w:sz w:val="16"/>
          <w:szCs w:val="18"/>
        </w:rPr>
        <w:tab/>
      </w:r>
      <w:r>
        <w:rPr>
          <w:rFonts w:ascii="Arial" w:hAnsi="Arial" w:cs="Arial"/>
          <w:i/>
          <w:caps/>
          <w:sz w:val="16"/>
          <w:szCs w:val="18"/>
        </w:rPr>
        <w:tab/>
      </w:r>
      <w:r>
        <w:rPr>
          <w:rFonts w:ascii="Arial" w:hAnsi="Arial" w:cs="Arial"/>
          <w:i/>
          <w:caps/>
          <w:sz w:val="16"/>
          <w:szCs w:val="18"/>
        </w:rPr>
        <w:tab/>
      </w:r>
    </w:p>
    <w:p>
      <w:pPr>
        <w:spacing w:before="160"/>
        <w:ind w:left="425" w:firstLine="1"/>
        <w:rPr>
          <w:rFonts w:ascii="Arial" w:hAnsi="Arial" w:cs="Arial"/>
          <w:b/>
          <w:caps/>
          <w:sz w:val="20"/>
          <w:szCs w:val="18"/>
        </w:rPr>
      </w:pPr>
      <w:r>
        <w:rPr>
          <w:rFonts w:ascii="Arial" w:hAnsi="Arial" w:cs="Arial"/>
          <w:b/>
          <w:caps/>
          <w:sz w:val="20"/>
          <w:szCs w:val="18"/>
        </w:rPr>
        <w:t>4.3. Результаты испытаний материала ЗАТВОРНОГО УЗЛА</w:t>
      </w:r>
    </w:p>
    <w:p>
      <w:pPr>
        <w:spacing w:before="160"/>
        <w:ind w:left="425" w:firstLine="426"/>
        <w:rPr>
          <w:rFonts w:ascii="Arial" w:hAnsi="Arial" w:cs="Arial"/>
          <w:i/>
          <w:caps/>
          <w:sz w:val="20"/>
          <w:szCs w:val="20"/>
        </w:rPr>
      </w:pPr>
      <w:r>
        <w:rPr>
          <w:rFonts w:ascii="Arial" w:hAnsi="Arial" w:cs="Arial"/>
          <w:i/>
          <w:caps/>
          <w:sz w:val="20"/>
          <w:szCs w:val="20"/>
        </w:rPr>
        <w:t>4.3.1. Определение химического состава затворного узла</w:t>
      </w:r>
      <w:r>
        <w:rPr>
          <w:rFonts w:ascii="Arial" w:hAnsi="Arial" w:cs="Arial"/>
          <w:i/>
          <w:caps/>
          <w:sz w:val="20"/>
          <w:szCs w:val="20"/>
        </w:rPr>
        <w:tab/>
      </w:r>
      <w:r>
        <w:rPr>
          <w:rFonts w:ascii="Arial" w:hAnsi="Arial" w:cs="Arial"/>
          <w:i/>
          <w:caps/>
          <w:sz w:val="20"/>
          <w:szCs w:val="20"/>
        </w:rPr>
        <w:tab/>
      </w:r>
    </w:p>
    <w:p>
      <w:pPr>
        <w:tabs>
          <w:tab w:val="left" w:pos="1418"/>
        </w:tabs>
        <w:spacing w:before="160"/>
        <w:ind w:firstLine="851"/>
        <w:rPr>
          <w:rFonts w:ascii="Arial" w:hAnsi="Arial" w:cs="Arial"/>
          <w:i/>
          <w:caps/>
          <w:sz w:val="20"/>
          <w:szCs w:val="20"/>
        </w:rPr>
      </w:pPr>
      <w:r>
        <w:rPr>
          <w:rFonts w:ascii="Arial" w:hAnsi="Arial" w:cs="Arial"/>
          <w:i/>
          <w:caps/>
          <w:sz w:val="20"/>
          <w:szCs w:val="20"/>
        </w:rPr>
        <w:lastRenderedPageBreak/>
        <w:t>4.3.2. АНАЛИЗ НЕМЕТАЛЛИЧЕСКИХ ВКЛЮЧЕНИЙ в материале затворного узла</w:t>
      </w:r>
    </w:p>
    <w:p>
      <w:pPr>
        <w:tabs>
          <w:tab w:val="left" w:pos="1418"/>
        </w:tabs>
        <w:spacing w:before="160"/>
        <w:ind w:left="1418" w:hanging="567"/>
        <w:rPr>
          <w:rFonts w:ascii="Arial" w:hAnsi="Arial" w:cs="Arial"/>
          <w:i/>
          <w:caps/>
          <w:sz w:val="20"/>
          <w:szCs w:val="20"/>
        </w:rPr>
      </w:pPr>
      <w:r>
        <w:rPr>
          <w:rFonts w:ascii="Arial" w:hAnsi="Arial" w:cs="Arial"/>
          <w:i/>
          <w:caps/>
          <w:sz w:val="20"/>
          <w:szCs w:val="20"/>
        </w:rPr>
        <w:t>4.3.3. Микроструктура МАТЕРИАЛА затворного узла</w:t>
      </w:r>
      <w:r>
        <w:rPr>
          <w:rFonts w:ascii="Arial" w:hAnsi="Arial" w:cs="Arial"/>
          <w:i/>
          <w:caps/>
          <w:sz w:val="20"/>
          <w:szCs w:val="20"/>
        </w:rPr>
        <w:tab/>
      </w:r>
    </w:p>
    <w:p>
      <w:pPr>
        <w:tabs>
          <w:tab w:val="left" w:pos="851"/>
        </w:tabs>
        <w:spacing w:before="160"/>
        <w:ind w:left="851"/>
        <w:rPr>
          <w:rFonts w:ascii="Arial" w:hAnsi="Arial" w:cs="Arial"/>
          <w:i/>
          <w:caps/>
          <w:sz w:val="20"/>
          <w:szCs w:val="20"/>
        </w:rPr>
      </w:pPr>
      <w:r>
        <w:rPr>
          <w:rFonts w:ascii="Arial" w:hAnsi="Arial" w:cs="Arial"/>
          <w:i/>
          <w:caps/>
          <w:sz w:val="20"/>
          <w:szCs w:val="20"/>
        </w:rPr>
        <w:t>4.3.4.</w:t>
      </w:r>
      <w:r>
        <w:rPr>
          <w:rFonts w:ascii="Arial" w:hAnsi="Arial" w:cs="Arial"/>
          <w:i/>
          <w:caps/>
          <w:sz w:val="20"/>
          <w:szCs w:val="20"/>
        </w:rPr>
        <w:tab/>
        <w:t>ИСПЫТАНИЕ МАТЕРИАЛА затворного узла НА СТОЙКОСТЬ К ОБЩЕЙ КОРРОЗИИ ПО МЕТОДИКЕ ПРИЛОЖЕНИЯ 3 МЕТОДИЧЕСКИХ УКАЗАНИЙ КОМПАНИИ «ЕДИНЫЕ ТЕХНИЧЕСКИЕ ТРЕБОВАНИЯ. КРАНЫ ШАРОВЫЕ» № П4-06 М-0034</w:t>
      </w:r>
    </w:p>
    <w:p>
      <w:pPr>
        <w:spacing w:before="160"/>
        <w:ind w:left="425" w:firstLine="1"/>
        <w:rPr>
          <w:rFonts w:ascii="Arial" w:hAnsi="Arial" w:cs="Arial"/>
          <w:i/>
          <w:caps/>
          <w:sz w:val="18"/>
          <w:szCs w:val="18"/>
        </w:rPr>
      </w:pPr>
      <w:r>
        <w:rPr>
          <w:rFonts w:ascii="Arial" w:hAnsi="Arial" w:cs="Arial"/>
          <w:b/>
          <w:caps/>
          <w:sz w:val="20"/>
          <w:szCs w:val="18"/>
        </w:rPr>
        <w:t>4.4. Результаты испытаний материала ШПИНДЕЛЯ</w:t>
      </w:r>
      <w:r>
        <w:rPr>
          <w:rFonts w:ascii="Arial" w:hAnsi="Arial" w:cs="Arial"/>
          <w:caps/>
          <w:sz w:val="20"/>
          <w:szCs w:val="18"/>
        </w:rPr>
        <w:tab/>
      </w:r>
      <w:r>
        <w:rPr>
          <w:rFonts w:ascii="Arial" w:hAnsi="Arial" w:cs="Arial"/>
          <w:caps/>
          <w:sz w:val="20"/>
          <w:szCs w:val="18"/>
        </w:rPr>
        <w:tab/>
      </w:r>
      <w:r>
        <w:rPr>
          <w:rFonts w:ascii="Arial" w:hAnsi="Arial" w:cs="Arial"/>
          <w:caps/>
          <w:sz w:val="20"/>
          <w:szCs w:val="18"/>
        </w:rPr>
        <w:tab/>
      </w:r>
      <w:r>
        <w:rPr>
          <w:rFonts w:ascii="Arial" w:hAnsi="Arial" w:cs="Arial"/>
          <w:caps/>
          <w:sz w:val="20"/>
          <w:szCs w:val="18"/>
        </w:rPr>
        <w:tab/>
      </w:r>
      <w:r>
        <w:rPr>
          <w:rFonts w:ascii="Arial" w:hAnsi="Arial" w:cs="Arial"/>
          <w:i/>
          <w:caps/>
          <w:sz w:val="18"/>
          <w:szCs w:val="18"/>
        </w:rPr>
        <w:tab/>
      </w:r>
    </w:p>
    <w:p>
      <w:pPr>
        <w:tabs>
          <w:tab w:val="left" w:pos="1418"/>
        </w:tabs>
        <w:spacing w:before="160"/>
        <w:ind w:firstLine="851"/>
        <w:rPr>
          <w:rFonts w:ascii="Arial" w:hAnsi="Arial" w:cs="Arial"/>
          <w:i/>
          <w:caps/>
          <w:sz w:val="20"/>
          <w:szCs w:val="20"/>
        </w:rPr>
      </w:pPr>
      <w:r>
        <w:rPr>
          <w:rFonts w:ascii="Arial" w:hAnsi="Arial" w:cs="Arial"/>
          <w:i/>
          <w:caps/>
          <w:sz w:val="20"/>
          <w:szCs w:val="20"/>
        </w:rPr>
        <w:t>4.4.1. Определение химического состава ШПИНДЕЛЯ</w:t>
      </w:r>
    </w:p>
    <w:p>
      <w:pPr>
        <w:tabs>
          <w:tab w:val="left" w:pos="1418"/>
        </w:tabs>
        <w:spacing w:before="160"/>
        <w:ind w:firstLine="851"/>
        <w:rPr>
          <w:rFonts w:ascii="Arial" w:hAnsi="Arial" w:cs="Arial"/>
          <w:i/>
          <w:caps/>
          <w:sz w:val="20"/>
          <w:szCs w:val="20"/>
        </w:rPr>
      </w:pPr>
      <w:r>
        <w:rPr>
          <w:rFonts w:ascii="Arial" w:hAnsi="Arial" w:cs="Arial"/>
          <w:i/>
          <w:kern w:val="2"/>
          <w:sz w:val="20"/>
          <w:szCs w:val="20"/>
        </w:rPr>
        <w:t>4.4.2. АНАЛИЗ НЕМЕТАЛЛИЧЕСКИХ ВКЛЮЧЕНИЙ</w:t>
      </w:r>
      <w:r>
        <w:rPr>
          <w:rFonts w:ascii="Arial" w:hAnsi="Arial" w:cs="Arial"/>
          <w:i/>
          <w:caps/>
          <w:sz w:val="20"/>
          <w:szCs w:val="20"/>
        </w:rPr>
        <w:t xml:space="preserve"> в материале ШПИНДЕЛЯ</w:t>
      </w:r>
      <w:r>
        <w:rPr>
          <w:rFonts w:ascii="Arial" w:hAnsi="Arial" w:cs="Arial"/>
          <w:caps/>
          <w:sz w:val="20"/>
          <w:szCs w:val="20"/>
        </w:rPr>
        <w:tab/>
      </w:r>
      <w:r>
        <w:rPr>
          <w:rFonts w:ascii="Arial" w:hAnsi="Arial" w:cs="Arial"/>
          <w:caps/>
          <w:sz w:val="20"/>
          <w:szCs w:val="20"/>
        </w:rPr>
        <w:tab/>
      </w:r>
    </w:p>
    <w:p>
      <w:pPr>
        <w:tabs>
          <w:tab w:val="left" w:pos="1418"/>
        </w:tabs>
        <w:spacing w:before="160"/>
        <w:ind w:firstLine="851"/>
        <w:rPr>
          <w:rFonts w:ascii="Arial" w:hAnsi="Arial" w:cs="Arial"/>
          <w:i/>
          <w:caps/>
          <w:sz w:val="20"/>
          <w:szCs w:val="20"/>
        </w:rPr>
      </w:pPr>
      <w:r>
        <w:rPr>
          <w:rFonts w:ascii="Arial" w:hAnsi="Arial" w:cs="Arial"/>
          <w:i/>
          <w:caps/>
          <w:kern w:val="28"/>
          <w:sz w:val="20"/>
          <w:szCs w:val="20"/>
        </w:rPr>
        <w:t xml:space="preserve">4.4.3. Микроструктура МАТЕРИАЛА </w:t>
      </w:r>
      <w:r>
        <w:rPr>
          <w:rFonts w:ascii="Arial" w:hAnsi="Arial" w:cs="Arial"/>
          <w:i/>
          <w:caps/>
          <w:sz w:val="20"/>
          <w:szCs w:val="20"/>
        </w:rPr>
        <w:t>ШПИНДЕЛЯ</w:t>
      </w:r>
      <w:r>
        <w:rPr>
          <w:rFonts w:ascii="Arial" w:hAnsi="Arial" w:cs="Arial"/>
          <w:caps/>
          <w:sz w:val="20"/>
          <w:szCs w:val="20"/>
        </w:rPr>
        <w:tab/>
      </w:r>
      <w:r>
        <w:rPr>
          <w:rFonts w:ascii="Arial" w:hAnsi="Arial" w:cs="Arial"/>
          <w:caps/>
          <w:sz w:val="20"/>
          <w:szCs w:val="20"/>
        </w:rPr>
        <w:tab/>
      </w:r>
      <w:r>
        <w:rPr>
          <w:rFonts w:ascii="Arial" w:hAnsi="Arial" w:cs="Arial"/>
          <w:caps/>
          <w:sz w:val="20"/>
          <w:szCs w:val="20"/>
        </w:rPr>
        <w:tab/>
      </w:r>
      <w:r>
        <w:rPr>
          <w:rFonts w:ascii="Arial" w:hAnsi="Arial" w:cs="Arial"/>
          <w:caps/>
          <w:sz w:val="20"/>
          <w:szCs w:val="20"/>
        </w:rPr>
        <w:tab/>
      </w:r>
      <w:r>
        <w:rPr>
          <w:rFonts w:ascii="Arial" w:hAnsi="Arial" w:cs="Arial"/>
          <w:caps/>
          <w:sz w:val="20"/>
          <w:szCs w:val="20"/>
        </w:rPr>
        <w:tab/>
      </w:r>
    </w:p>
    <w:p>
      <w:pPr>
        <w:tabs>
          <w:tab w:val="left" w:pos="1418"/>
        </w:tabs>
        <w:spacing w:before="160"/>
        <w:ind w:firstLine="851"/>
        <w:rPr>
          <w:rFonts w:ascii="Arial" w:hAnsi="Arial" w:cs="Arial"/>
          <w:i/>
          <w:caps/>
          <w:sz w:val="20"/>
          <w:szCs w:val="20"/>
          <w:u w:val="single"/>
        </w:rPr>
      </w:pPr>
      <w:r>
        <w:rPr>
          <w:rFonts w:ascii="Arial" w:hAnsi="Arial" w:cs="Arial"/>
          <w:i/>
          <w:caps/>
          <w:kern w:val="28"/>
          <w:sz w:val="20"/>
          <w:szCs w:val="20"/>
        </w:rPr>
        <w:t xml:space="preserve">4.4.4. результаты механических испытаний МАТЕРИАЛА </w:t>
      </w:r>
      <w:r>
        <w:rPr>
          <w:rFonts w:ascii="Arial" w:hAnsi="Arial" w:cs="Arial"/>
          <w:i/>
          <w:caps/>
          <w:sz w:val="20"/>
          <w:szCs w:val="20"/>
        </w:rPr>
        <w:t>ШПИНДЕЛЯ</w:t>
      </w:r>
      <w:r>
        <w:rPr>
          <w:rFonts w:ascii="Arial" w:hAnsi="Arial" w:cs="Arial"/>
          <w:caps/>
          <w:sz w:val="20"/>
          <w:szCs w:val="20"/>
        </w:rPr>
        <w:tab/>
      </w:r>
    </w:p>
    <w:p>
      <w:pPr>
        <w:pStyle w:val="M"/>
        <w:tabs>
          <w:tab w:val="left" w:pos="851"/>
        </w:tabs>
        <w:spacing w:before="160"/>
        <w:ind w:left="851"/>
        <w:rPr>
          <w:rFonts w:ascii="Arial" w:hAnsi="Arial" w:cs="Arial"/>
          <w:i/>
          <w:sz w:val="20"/>
        </w:rPr>
      </w:pPr>
      <w:r>
        <w:rPr>
          <w:rFonts w:ascii="Arial" w:hAnsi="Arial" w:cs="Arial"/>
          <w:i/>
          <w:caps/>
          <w:sz w:val="20"/>
        </w:rPr>
        <w:t xml:space="preserve">4.4.5 </w:t>
      </w:r>
      <w:r>
        <w:rPr>
          <w:rFonts w:ascii="Arial" w:hAnsi="Arial" w:cs="Arial"/>
          <w:i/>
          <w:sz w:val="20"/>
        </w:rPr>
        <w:t xml:space="preserve">ИСПЫТАНИЕ МАТЕРИАЛА </w:t>
      </w:r>
      <w:r>
        <w:rPr>
          <w:rFonts w:ascii="Arial" w:hAnsi="Arial" w:cs="Arial"/>
          <w:i/>
          <w:caps/>
          <w:sz w:val="20"/>
        </w:rPr>
        <w:t>ШПИНДЕЛЯ</w:t>
      </w:r>
      <w:r>
        <w:rPr>
          <w:rFonts w:ascii="Arial" w:hAnsi="Arial" w:cs="Arial"/>
          <w:i/>
          <w:sz w:val="20"/>
        </w:rPr>
        <w:t xml:space="preserve"> НА СТОЙКОСТЬ К ОБЩЕЙ КОРРОЗИИ ПО МЕТОДИКЕ ПРИЛОЖЕНИЯ 3 МЕТОДИЧЕСКИХ УКАЗАНИЙ КОМПАНИИ «ЕДИНЫЕ ТЕХНИЧЕСКИЕ ТРЕБОВАНИЯ. </w:t>
      </w:r>
      <w:r>
        <w:rPr>
          <w:rFonts w:ascii="Arial" w:hAnsi="Arial" w:cs="Arial"/>
          <w:i/>
          <w:caps/>
          <w:sz w:val="20"/>
        </w:rPr>
        <w:t>КРАНЫ ШАРОВЫЕ» № П4-06 М-0034</w:t>
      </w:r>
    </w:p>
    <w:p>
      <w:pPr>
        <w:spacing w:before="160"/>
        <w:rPr>
          <w:rFonts w:ascii="Arial" w:hAnsi="Arial" w:cs="Arial"/>
          <w:b/>
          <w:szCs w:val="20"/>
        </w:rPr>
      </w:pPr>
      <w:r>
        <w:rPr>
          <w:rFonts w:ascii="Arial" w:hAnsi="Arial" w:cs="Arial"/>
          <w:b/>
          <w:szCs w:val="20"/>
        </w:rPr>
        <w:t xml:space="preserve">5. ВЫВОДЫ ПО РАЗДЕЛУ </w:t>
      </w:r>
      <w:r>
        <w:rPr>
          <w:rFonts w:ascii="Arial" w:hAnsi="Arial" w:cs="Arial"/>
          <w:b/>
          <w:bCs/>
          <w:color w:val="000000"/>
          <w:szCs w:val="20"/>
          <w:shd w:val="clear" w:color="auto" w:fill="FFFFFF"/>
        </w:rPr>
        <w:t>I</w:t>
      </w:r>
    </w:p>
    <w:p/>
    <w:p>
      <w:pPr>
        <w:rPr>
          <w:rFonts w:ascii="Arial" w:hAnsi="Arial" w:cs="Arial"/>
          <w:b/>
          <w:sz w:val="28"/>
          <w:szCs w:val="32"/>
        </w:rPr>
      </w:pPr>
      <w:r>
        <w:rPr>
          <w:rFonts w:ascii="Arial" w:hAnsi="Arial" w:cs="Arial"/>
          <w:b/>
          <w:sz w:val="28"/>
          <w:szCs w:val="32"/>
        </w:rPr>
        <w:t xml:space="preserve">РАЗДЕЛ </w:t>
      </w:r>
      <w:r>
        <w:rPr>
          <w:rFonts w:ascii="Arial" w:hAnsi="Arial" w:cs="Arial"/>
          <w:b/>
          <w:bCs/>
          <w:color w:val="000000"/>
          <w:sz w:val="28"/>
          <w:szCs w:val="32"/>
          <w:shd w:val="clear" w:color="auto" w:fill="FFFFFF"/>
        </w:rPr>
        <w:t>II</w:t>
      </w:r>
    </w:p>
    <w:p>
      <w:pPr>
        <w:spacing w:before="160"/>
        <w:rPr>
          <w:rFonts w:ascii="Arial" w:hAnsi="Arial" w:cs="Arial"/>
          <w:b/>
          <w:sz w:val="22"/>
          <w:szCs w:val="18"/>
        </w:rPr>
      </w:pPr>
      <w:r>
        <w:rPr>
          <w:rFonts w:ascii="Arial" w:hAnsi="Arial" w:cs="Arial"/>
          <w:b/>
          <w:szCs w:val="20"/>
        </w:rPr>
        <w:t>1. ЦЕЛЬ РАБОТЫ</w:t>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p>
    <w:p>
      <w:pPr>
        <w:spacing w:before="160"/>
        <w:rPr>
          <w:rFonts w:ascii="Arial" w:hAnsi="Arial" w:cs="Arial"/>
          <w:b/>
          <w:sz w:val="22"/>
          <w:szCs w:val="18"/>
        </w:rPr>
      </w:pPr>
      <w:r>
        <w:rPr>
          <w:rFonts w:ascii="Arial" w:hAnsi="Arial" w:cs="Arial"/>
          <w:b/>
          <w:szCs w:val="20"/>
        </w:rPr>
        <w:t>2.МЕТОДЫ ИСПЫТАНИЙ</w:t>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r>
        <w:rPr>
          <w:rFonts w:ascii="Arial" w:hAnsi="Arial" w:cs="Arial"/>
          <w:b/>
          <w:sz w:val="22"/>
          <w:szCs w:val="18"/>
        </w:rPr>
        <w:tab/>
      </w:r>
    </w:p>
    <w:p>
      <w:pPr>
        <w:spacing w:before="160"/>
        <w:rPr>
          <w:rFonts w:ascii="Arial" w:hAnsi="Arial" w:cs="Arial"/>
          <w:sz w:val="22"/>
          <w:szCs w:val="18"/>
        </w:rPr>
      </w:pPr>
      <w:r>
        <w:rPr>
          <w:rFonts w:ascii="Arial" w:hAnsi="Arial" w:cs="Arial"/>
          <w:b/>
          <w:szCs w:val="20"/>
        </w:rPr>
        <w:t>3.ОБЪЕКТЫ ИСЛЕДОВАНИЙ</w:t>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r>
        <w:rPr>
          <w:rFonts w:ascii="Arial" w:hAnsi="Arial" w:cs="Arial"/>
          <w:sz w:val="22"/>
          <w:szCs w:val="18"/>
        </w:rPr>
        <w:tab/>
      </w:r>
    </w:p>
    <w:p>
      <w:pPr>
        <w:spacing w:before="160"/>
        <w:rPr>
          <w:rFonts w:ascii="Arial" w:hAnsi="Arial" w:cs="Arial"/>
          <w:b/>
          <w:sz w:val="22"/>
          <w:szCs w:val="18"/>
        </w:rPr>
      </w:pPr>
      <w:r>
        <w:rPr>
          <w:rFonts w:ascii="Arial" w:hAnsi="Arial" w:cs="Arial"/>
          <w:b/>
          <w:szCs w:val="20"/>
        </w:rPr>
        <w:t>4. РЕЗУЛЬТАТЫ ИСПЫТАНИЙ МАТЕРИАЛА ОБРАЗЦОВ-СВИДЕТЕЛЕЙ</w:t>
      </w:r>
      <w:r>
        <w:rPr>
          <w:rFonts w:ascii="Arial" w:hAnsi="Arial" w:cs="Arial"/>
          <w:b/>
          <w:sz w:val="22"/>
          <w:szCs w:val="18"/>
        </w:rPr>
        <w:tab/>
      </w:r>
      <w:r>
        <w:rPr>
          <w:rFonts w:ascii="Arial" w:hAnsi="Arial" w:cs="Arial"/>
          <w:b/>
          <w:sz w:val="22"/>
          <w:szCs w:val="18"/>
        </w:rPr>
        <w:tab/>
      </w:r>
    </w:p>
    <w:p>
      <w:pPr>
        <w:spacing w:before="160"/>
        <w:ind w:left="425"/>
        <w:rPr>
          <w:rFonts w:ascii="Arial" w:hAnsi="Arial" w:cs="Arial"/>
          <w:b/>
          <w:sz w:val="20"/>
          <w:szCs w:val="18"/>
        </w:rPr>
      </w:pPr>
      <w:r>
        <w:rPr>
          <w:rFonts w:ascii="Arial" w:hAnsi="Arial" w:cs="Arial"/>
          <w:b/>
          <w:sz w:val="20"/>
          <w:szCs w:val="18"/>
        </w:rPr>
        <w:t xml:space="preserve">4.1 ХИМИЧЕСКИЙ АНАЛИЗ </w:t>
      </w:r>
      <w:r>
        <w:rPr>
          <w:rFonts w:ascii="Arial" w:hAnsi="Arial"/>
          <w:b/>
          <w:caps/>
          <w:kern w:val="28"/>
          <w:sz w:val="20"/>
          <w:szCs w:val="18"/>
        </w:rPr>
        <w:t>материала</w:t>
      </w:r>
      <w:r>
        <w:rPr>
          <w:rFonts w:ascii="Arial" w:hAnsi="Arial" w:cs="Arial"/>
          <w:b/>
          <w:sz w:val="20"/>
          <w:szCs w:val="18"/>
        </w:rPr>
        <w:t xml:space="preserve"> ОБРАЗЦОВ-СВИДЕТЕЛЕЙ</w:t>
      </w:r>
    </w:p>
    <w:p>
      <w:pPr>
        <w:spacing w:before="160"/>
        <w:ind w:left="425"/>
        <w:rPr>
          <w:rFonts w:ascii="Arial" w:hAnsi="Arial" w:cs="Arial"/>
          <w:b/>
          <w:sz w:val="20"/>
          <w:szCs w:val="18"/>
        </w:rPr>
      </w:pPr>
      <w:r>
        <w:rPr>
          <w:rFonts w:ascii="Arial" w:hAnsi="Arial" w:cs="Arial"/>
          <w:b/>
          <w:sz w:val="20"/>
          <w:szCs w:val="18"/>
        </w:rPr>
        <w:t xml:space="preserve">4.2 МИКРОСТРУКТУРА </w:t>
      </w:r>
      <w:r>
        <w:rPr>
          <w:rFonts w:ascii="Arial" w:hAnsi="Arial"/>
          <w:b/>
          <w:caps/>
          <w:kern w:val="28"/>
          <w:sz w:val="20"/>
          <w:szCs w:val="18"/>
        </w:rPr>
        <w:t>материала</w:t>
      </w:r>
      <w:r>
        <w:rPr>
          <w:rFonts w:ascii="Arial" w:hAnsi="Arial" w:cs="Arial"/>
          <w:b/>
          <w:sz w:val="20"/>
          <w:szCs w:val="18"/>
        </w:rPr>
        <w:t xml:space="preserve"> ОБРАЗЦОВ-СВИДЕТЕЛЕЙ</w:t>
      </w:r>
      <w:r>
        <w:rPr>
          <w:rFonts w:ascii="Arial" w:hAnsi="Arial" w:cs="Arial"/>
          <w:b/>
          <w:sz w:val="20"/>
          <w:szCs w:val="18"/>
        </w:rPr>
        <w:tab/>
      </w:r>
      <w:r>
        <w:rPr>
          <w:rFonts w:ascii="Arial" w:hAnsi="Arial" w:cs="Arial"/>
          <w:b/>
          <w:sz w:val="20"/>
          <w:szCs w:val="18"/>
        </w:rPr>
        <w:tab/>
      </w:r>
      <w:r>
        <w:rPr>
          <w:rFonts w:ascii="Arial" w:hAnsi="Arial" w:cs="Arial"/>
          <w:b/>
          <w:sz w:val="20"/>
          <w:szCs w:val="18"/>
        </w:rPr>
        <w:tab/>
      </w:r>
      <w:r>
        <w:rPr>
          <w:rFonts w:ascii="Arial" w:hAnsi="Arial" w:cs="Arial"/>
          <w:b/>
          <w:sz w:val="20"/>
          <w:szCs w:val="18"/>
        </w:rPr>
        <w:tab/>
      </w:r>
    </w:p>
    <w:p>
      <w:pPr>
        <w:spacing w:before="160"/>
        <w:ind w:left="425"/>
        <w:rPr>
          <w:rFonts w:ascii="Arial" w:hAnsi="Arial" w:cs="Arial"/>
          <w:b/>
          <w:sz w:val="20"/>
          <w:szCs w:val="18"/>
        </w:rPr>
      </w:pPr>
      <w:r>
        <w:rPr>
          <w:rFonts w:ascii="Arial" w:hAnsi="Arial" w:cs="Arial"/>
          <w:b/>
          <w:sz w:val="20"/>
          <w:szCs w:val="18"/>
        </w:rPr>
        <w:t xml:space="preserve">4.3 АНАЛИЗ НЕМЕТАЛЛИЧЕСКИХ ВКЛЮЧЕНИЙ </w:t>
      </w:r>
      <w:r>
        <w:rPr>
          <w:rFonts w:ascii="Arial" w:hAnsi="Arial"/>
          <w:b/>
          <w:caps/>
          <w:kern w:val="28"/>
          <w:sz w:val="20"/>
          <w:szCs w:val="18"/>
        </w:rPr>
        <w:t>материала</w:t>
      </w:r>
      <w:r>
        <w:rPr>
          <w:rFonts w:ascii="Arial" w:hAnsi="Arial" w:cs="Arial"/>
          <w:b/>
          <w:sz w:val="20"/>
          <w:szCs w:val="18"/>
        </w:rPr>
        <w:t xml:space="preserve"> ОБРАЗЦОВ-СВИДЕТЕЛЕЙ</w:t>
      </w:r>
    </w:p>
    <w:p>
      <w:pPr>
        <w:spacing w:before="160"/>
        <w:ind w:left="425"/>
        <w:rPr>
          <w:rFonts w:ascii="Arial" w:hAnsi="Arial" w:cs="Arial"/>
          <w:b/>
          <w:sz w:val="20"/>
          <w:szCs w:val="18"/>
        </w:rPr>
      </w:pPr>
      <w:r>
        <w:rPr>
          <w:rFonts w:ascii="Arial" w:hAnsi="Arial" w:cs="Arial"/>
          <w:b/>
          <w:sz w:val="20"/>
          <w:szCs w:val="18"/>
        </w:rPr>
        <w:t xml:space="preserve">4.4 РЕЗУЛЬТАТЫ МЕХАНИЧЕСКИХ ИСПЫТАНИЙ </w:t>
      </w:r>
      <w:r>
        <w:rPr>
          <w:rFonts w:ascii="Arial" w:hAnsi="Arial"/>
          <w:b/>
          <w:caps/>
          <w:kern w:val="28"/>
          <w:sz w:val="20"/>
          <w:szCs w:val="18"/>
        </w:rPr>
        <w:t>материала</w:t>
      </w:r>
      <w:r>
        <w:rPr>
          <w:rFonts w:ascii="Arial" w:hAnsi="Arial" w:cs="Arial"/>
          <w:b/>
          <w:sz w:val="20"/>
          <w:szCs w:val="18"/>
        </w:rPr>
        <w:t xml:space="preserve"> ОБРАЗЦОВ-СВИДЕТЕЛЕЙ</w:t>
      </w:r>
    </w:p>
    <w:p>
      <w:pPr>
        <w:spacing w:before="160"/>
        <w:ind w:left="425"/>
        <w:rPr>
          <w:rFonts w:ascii="Arial" w:hAnsi="Arial" w:cs="Arial"/>
          <w:b/>
          <w:caps/>
          <w:sz w:val="20"/>
          <w:szCs w:val="18"/>
        </w:rPr>
      </w:pPr>
      <w:r>
        <w:rPr>
          <w:rFonts w:ascii="Arial" w:hAnsi="Arial" w:cs="Arial"/>
          <w:b/>
          <w:sz w:val="20"/>
          <w:szCs w:val="18"/>
        </w:rPr>
        <w:t>4.5</w:t>
      </w:r>
      <w:r>
        <w:rPr>
          <w:rFonts w:ascii="Arial" w:hAnsi="Arial"/>
          <w:b/>
          <w:caps/>
          <w:kern w:val="28"/>
          <w:sz w:val="20"/>
          <w:szCs w:val="18"/>
        </w:rPr>
        <w:t xml:space="preserve"> Испытание материала на стойкость к общей коррозии по методике </w:t>
      </w:r>
      <w:r>
        <w:rPr>
          <w:rFonts w:ascii="Arial" w:hAnsi="Arial" w:cs="Arial"/>
          <w:b/>
          <w:caps/>
          <w:sz w:val="20"/>
          <w:szCs w:val="18"/>
        </w:rPr>
        <w:t>ПРиложения 3 Методических указаний компании «Единые технические требования. КРАНЫ ШАРОВЫЕ» № П4-06 М-0034</w:t>
      </w:r>
    </w:p>
    <w:p>
      <w:pPr>
        <w:spacing w:before="160"/>
        <w:rPr>
          <w:rFonts w:ascii="Arial" w:hAnsi="Arial" w:cs="Arial"/>
          <w:b/>
          <w:szCs w:val="20"/>
        </w:rPr>
      </w:pPr>
      <w:r>
        <w:rPr>
          <w:rFonts w:ascii="Arial" w:hAnsi="Arial" w:cs="Arial"/>
          <w:b/>
          <w:szCs w:val="20"/>
        </w:rPr>
        <w:t xml:space="preserve">5 ВЫВОДЫ ПО РАЗДЕЛУ </w:t>
      </w:r>
      <w:r>
        <w:rPr>
          <w:rFonts w:ascii="Arial" w:hAnsi="Arial" w:cs="Arial"/>
          <w:b/>
          <w:bCs/>
          <w:color w:val="000000"/>
          <w:szCs w:val="20"/>
          <w:shd w:val="clear" w:color="auto" w:fill="FFFFFF"/>
        </w:rPr>
        <w:t>II</w:t>
      </w:r>
    </w:p>
    <w:p>
      <w:pPr>
        <w:spacing w:before="160"/>
        <w:rPr>
          <w:rFonts w:ascii="Arial" w:hAnsi="Arial" w:cs="Arial"/>
          <w:b/>
          <w:sz w:val="20"/>
          <w:szCs w:val="20"/>
        </w:rPr>
      </w:pPr>
      <w:r>
        <w:rPr>
          <w:rFonts w:ascii="Arial" w:hAnsi="Arial" w:cs="Arial"/>
          <w:b/>
          <w:szCs w:val="20"/>
        </w:rPr>
        <w:t>6. РЕКОМЕНДАЦИИ ПО ПРИМЕНЕНИЮ МАТЕРИАЛА</w:t>
      </w:r>
      <w:r>
        <w:rPr>
          <w:rFonts w:ascii="Arial" w:hAnsi="Arial" w:cs="Arial"/>
          <w:b/>
          <w:sz w:val="20"/>
          <w:szCs w:val="20"/>
        </w:rPr>
        <w:t xml:space="preserve"> (</w:t>
      </w:r>
      <w:r>
        <w:rPr>
          <w:rFonts w:ascii="Arial" w:hAnsi="Arial" w:cs="Arial"/>
          <w:sz w:val="20"/>
          <w:szCs w:val="20"/>
        </w:rPr>
        <w:t>УКАЗАТЬ МАТЕРИАЛ ТРУБОПРОВОДНОЙ АРМАТУРЫ ЗАВОДА-ИЗГОТОВИТЕЛЯ ОСНОВНЫХ ДЕТАЛЕЙ КОРПУСА УКАЗАТЬ ЗАВОД-ИЗГОТОВИТЕЛЬ ОСНОВНЫХ ДЕТАЛЕЙ КОРПУСА)</w:t>
      </w:r>
    </w:p>
    <w:p>
      <w:pPr>
        <w:spacing w:before="120"/>
        <w:rPr>
          <w:szCs w:val="20"/>
        </w:rPr>
      </w:pPr>
      <w:r>
        <w:rPr>
          <w:color w:val="000000"/>
        </w:rPr>
        <w:t xml:space="preserve">Раздел 6 в обязательном порядке должен содержать заключение </w:t>
      </w:r>
      <w:r>
        <w:rPr>
          <w:szCs w:val="20"/>
        </w:rPr>
        <w:t>о соответствии методики, состава и объемов проведенных испытаний материала основных деталей корпуса, определенного завода-изготовителя основных деталей корпуса арматуры, а также полученных результатов испытаний, требованиям настоящих Методических указаний и возможности применения арматуры из данного материала основных деталей корпуса, определенного завода-изготовителя основных деталей корпуса арматуры на объектах Компании, с обязательным указанием перечня допустимых рабочих сред в соответствии с классификацией по Таблице 8 настоящих Методических указаний, допустимого климатического исполнения.</w:t>
      </w:r>
    </w:p>
    <w:p>
      <w:pPr>
        <w:rPr>
          <w:szCs w:val="20"/>
        </w:rPr>
      </w:pPr>
    </w:p>
    <w:p>
      <w:pPr>
        <w:ind w:left="567"/>
        <w:rPr>
          <w:rFonts w:ascii="Arial" w:hAnsi="Arial" w:cs="Arial"/>
          <w:i/>
          <w:sz w:val="18"/>
          <w:szCs w:val="18"/>
        </w:rPr>
      </w:pPr>
      <w:r>
        <w:rPr>
          <w:i/>
          <w:color w:val="000000"/>
          <w:u w:val="single"/>
        </w:rPr>
        <w:t>Примечание:</w:t>
      </w:r>
      <w:r>
        <w:rPr>
          <w:i/>
          <w:color w:val="000000"/>
        </w:rPr>
        <w:t xml:space="preserve"> *Испытание выполняется для эксплуатации арматуры в рабочих средах, содержащих Р</w:t>
      </w:r>
      <w:r>
        <w:rPr>
          <w:i/>
          <w:color w:val="000000"/>
          <w:vertAlign w:val="subscript"/>
        </w:rPr>
        <w:t>H2S</w:t>
      </w:r>
      <w:r>
        <w:rPr>
          <w:i/>
          <w:color w:val="000000"/>
        </w:rPr>
        <w:t xml:space="preserve"> &gt; 300 кПа в газовой фазе.</w:t>
      </w:r>
    </w:p>
    <w:p>
      <w:pPr>
        <w:spacing w:before="5" w:after="120"/>
        <w:ind w:left="2836"/>
        <w:rPr>
          <w:rFonts w:eastAsia="PMingLiU"/>
          <w:szCs w:val="22"/>
          <w:lang w:eastAsia="en-US"/>
        </w:rPr>
        <w:sectPr>
          <w:headerReference w:type="even" r:id="rId95"/>
          <w:headerReference w:type="default" r:id="rId96"/>
          <w:footerReference w:type="default" r:id="rId97"/>
          <w:headerReference w:type="first" r:id="rId98"/>
          <w:pgSz w:w="11906" w:h="16838" w:code="9"/>
          <w:pgMar w:top="510" w:right="1021" w:bottom="567" w:left="1247" w:header="737" w:footer="680" w:gutter="0"/>
          <w:cols w:space="708"/>
          <w:docGrid w:linePitch="360"/>
        </w:sectPr>
      </w:pPr>
    </w:p>
    <w:p>
      <w:pPr>
        <w:pStyle w:val="22"/>
        <w:rPr>
          <w:rFonts w:eastAsia="Times New Roman" w:cs="Arial"/>
        </w:rPr>
      </w:pPr>
      <w:bookmarkStart w:id="341" w:name="_ПРИЛОЖЕНИЕ_3._ПЕРЕЧЕНЬ"/>
      <w:bookmarkStart w:id="342" w:name="_ПРИЛОЖЕНИЕ_4_ХИМИЧЕСКИЙ"/>
      <w:bookmarkStart w:id="343" w:name="_ПРИЛОЖЕНИЕ_4_СПОСОБ"/>
      <w:bookmarkStart w:id="344" w:name="_ПРИЛОЖЕНИЕ_6._СПОСОБ"/>
      <w:bookmarkStart w:id="345" w:name="_Toc511400337"/>
      <w:bookmarkStart w:id="346" w:name="_Toc514169552"/>
      <w:bookmarkEnd w:id="341"/>
      <w:bookmarkEnd w:id="342"/>
      <w:bookmarkEnd w:id="343"/>
      <w:bookmarkEnd w:id="344"/>
      <w:r>
        <w:rPr>
          <w:rFonts w:eastAsia="Times New Roman" w:cs="Arial"/>
        </w:rPr>
        <w:lastRenderedPageBreak/>
        <w:t>ПРИЛОЖЕНИЕ 6. СПОСОБ УСТАНОВКИ ЗАПИРАЮЩЕГО ЭЛЕМЕНТА В КОРПУС КРАНА ШАРОВОГО</w:t>
      </w:r>
      <w:bookmarkEnd w:id="345"/>
      <w:bookmarkEnd w:id="346"/>
    </w:p>
    <w:p>
      <w:pPr>
        <w:widowControl w:val="0"/>
        <w:tabs>
          <w:tab w:val="left" w:pos="993"/>
        </w:tabs>
        <w:autoSpaceDE w:val="0"/>
        <w:autoSpaceDN w:val="0"/>
        <w:adjustRightInd w:val="0"/>
      </w:pPr>
    </w:p>
    <w:p>
      <w:pPr>
        <w:widowControl w:val="0"/>
        <w:tabs>
          <w:tab w:val="left" w:pos="993"/>
        </w:tabs>
        <w:autoSpaceDE w:val="0"/>
        <w:autoSpaceDN w:val="0"/>
        <w:adjustRightInd w:val="0"/>
      </w:pPr>
    </w:p>
    <w:p>
      <w:pPr>
        <w:widowControl w:val="0"/>
        <w:tabs>
          <w:tab w:val="left" w:pos="993"/>
        </w:tabs>
        <w:autoSpaceDE w:val="0"/>
        <w:autoSpaceDN w:val="0"/>
        <w:adjustRightInd w:val="0"/>
        <w:rPr>
          <w:rFonts w:eastAsia="Times New Roman"/>
        </w:rPr>
      </w:pPr>
      <w:r>
        <w:t>По способу установки запирающего элемента в корпус, допускаются следующие конструкции:</w:t>
      </w:r>
    </w:p>
    <w:p>
      <w:pPr>
        <w:pStyle w:val="a7"/>
        <w:widowControl w:val="0"/>
        <w:numPr>
          <w:ilvl w:val="0"/>
          <w:numId w:val="30"/>
        </w:numPr>
        <w:tabs>
          <w:tab w:val="left" w:pos="539"/>
        </w:tabs>
        <w:spacing w:before="120" w:after="0"/>
        <w:ind w:left="538" w:hanging="357"/>
        <w:rPr>
          <w:rFonts w:eastAsia="Times New Roman"/>
        </w:rPr>
      </w:pPr>
      <w:r>
        <w:rPr>
          <w:rFonts w:eastAsia="Times New Roman"/>
        </w:rPr>
        <w:t>корпусные детали крана шарового по разъему, следующих вариантов:</w:t>
      </w:r>
    </w:p>
    <w:p>
      <w:pPr>
        <w:widowControl w:val="0"/>
        <w:numPr>
          <w:ilvl w:val="0"/>
          <w:numId w:val="27"/>
        </w:numPr>
        <w:tabs>
          <w:tab w:val="left" w:pos="539"/>
        </w:tabs>
        <w:spacing w:before="120"/>
        <w:ind w:left="896" w:hanging="357"/>
        <w:rPr>
          <w:rFonts w:eastAsia="Times New Roman"/>
        </w:rPr>
      </w:pPr>
      <w:r>
        <w:rPr>
          <w:rFonts w:eastAsia="Times New Roman"/>
        </w:rPr>
        <w:t>корпус с одним разъёмом,</w:t>
      </w:r>
      <w:r>
        <w:t xml:space="preserve"> выполняющий функцию фланцев</w:t>
      </w:r>
      <w:r>
        <w:rPr>
          <w:rFonts w:eastAsia="Times New Roman"/>
        </w:rPr>
        <w:t>,</w:t>
      </w:r>
      <w:r>
        <w:t xml:space="preserve"> состоит из двух частей</w:t>
      </w:r>
      <w:r>
        <w:rPr>
          <w:rFonts w:eastAsia="Times New Roman"/>
        </w:rPr>
        <w:t>;</w:t>
      </w:r>
    </w:p>
    <w:p>
      <w:pPr>
        <w:widowControl w:val="0"/>
        <w:numPr>
          <w:ilvl w:val="0"/>
          <w:numId w:val="27"/>
        </w:numPr>
        <w:tabs>
          <w:tab w:val="left" w:pos="539"/>
        </w:tabs>
        <w:spacing w:before="120"/>
        <w:ind w:left="896" w:hanging="357"/>
      </w:pPr>
      <w:r>
        <w:rPr>
          <w:rFonts w:eastAsia="Times New Roman"/>
        </w:rPr>
        <w:t>корпус с двумя разъёмами,</w:t>
      </w:r>
      <w:r>
        <w:t xml:space="preserve"> выполняющие функцию фланцев</w:t>
      </w:r>
      <w:r>
        <w:rPr>
          <w:rFonts w:eastAsia="Times New Roman"/>
        </w:rPr>
        <w:t xml:space="preserve">, </w:t>
      </w:r>
      <w:r>
        <w:t>состоит из трех частей (типовая схема крана шарового с двумя разъемами приведена на рисунке 9);</w:t>
      </w:r>
    </w:p>
    <w:p>
      <w:pPr>
        <w:pStyle w:val="a7"/>
        <w:widowControl w:val="0"/>
        <w:numPr>
          <w:ilvl w:val="0"/>
          <w:numId w:val="30"/>
        </w:numPr>
        <w:tabs>
          <w:tab w:val="left" w:pos="539"/>
        </w:tabs>
        <w:spacing w:before="120" w:after="0"/>
        <w:ind w:left="538" w:hanging="357"/>
        <w:rPr>
          <w:rFonts w:eastAsia="Times New Roman"/>
        </w:rPr>
      </w:pPr>
      <w:r>
        <w:rPr>
          <w:rFonts w:eastAsia="Times New Roman"/>
        </w:rPr>
        <w:t xml:space="preserve">конструкция крана шарового с верхним разъёмом, запирающий элемент с уплотнительными элементами вставляются через верхний разъём </w:t>
      </w:r>
      <w:r>
        <w:t>(типовая схема крана шарового с верхним разъемом приведена на рисунке 10)</w:t>
      </w:r>
      <w:r>
        <w:rPr>
          <w:rFonts w:eastAsia="Times New Roman"/>
        </w:rPr>
        <w:t>;</w:t>
      </w:r>
    </w:p>
    <w:p>
      <w:pPr>
        <w:pStyle w:val="a7"/>
        <w:widowControl w:val="0"/>
        <w:numPr>
          <w:ilvl w:val="0"/>
          <w:numId w:val="30"/>
        </w:numPr>
        <w:tabs>
          <w:tab w:val="left" w:pos="539"/>
        </w:tabs>
        <w:spacing w:before="120" w:after="0"/>
        <w:ind w:left="538" w:hanging="357"/>
        <w:rPr>
          <w:rFonts w:eastAsia="Times New Roman"/>
        </w:rPr>
      </w:pPr>
      <w:r>
        <w:rPr>
          <w:rFonts w:eastAsia="Times New Roman"/>
        </w:rPr>
        <w:t xml:space="preserve">цельносварной корпус крана сферического или цилиндрического типа, заварен и не имеет разъёмов </w:t>
      </w:r>
      <w:r>
        <w:t>(типовая схема крана шарового с цельносварным корпусом приведена на рисунке 11)</w:t>
      </w:r>
      <w:r>
        <w:rPr>
          <w:rFonts w:eastAsia="Times New Roman"/>
        </w:rPr>
        <w:t>.</w:t>
      </w:r>
    </w:p>
    <w:p>
      <w:pPr>
        <w:widowControl w:val="0"/>
        <w:tabs>
          <w:tab w:val="left" w:pos="993"/>
        </w:tabs>
        <w:autoSpaceDE w:val="0"/>
        <w:autoSpaceDN w:val="0"/>
        <w:adjustRightInd w:val="0"/>
        <w:rPr>
          <w:rFonts w:eastAsia="Times New Roman"/>
        </w:rPr>
      </w:pPr>
    </w:p>
    <w:p>
      <w:pPr>
        <w:widowControl w:val="0"/>
        <w:tabs>
          <w:tab w:val="left" w:pos="993"/>
        </w:tabs>
        <w:autoSpaceDE w:val="0"/>
        <w:autoSpaceDN w:val="0"/>
        <w:adjustRightInd w:val="0"/>
        <w:rPr>
          <w:rFonts w:eastAsia="Times New Roman"/>
        </w:rPr>
      </w:pPr>
      <w:r>
        <w:rPr>
          <w:rFonts w:eastAsia="Times New Roman"/>
        </w:rPr>
        <w:t xml:space="preserve">Типовые схемы могут быть других конструкций, при условии их соответствия требованиям </w:t>
      </w:r>
      <w:r>
        <w:rPr>
          <w:rFonts w:eastAsia="PMingLiU"/>
          <w:spacing w:val="3"/>
          <w:szCs w:val="22"/>
          <w:lang w:eastAsia="en-US"/>
        </w:rPr>
        <w:t>настоящих Методических указаний</w:t>
      </w:r>
      <w:r>
        <w:rPr>
          <w:rFonts w:eastAsia="Times New Roman"/>
        </w:rPr>
        <w:t>.</w:t>
      </w:r>
    </w:p>
    <w:p>
      <w:pPr>
        <w:widowControl w:val="0"/>
        <w:tabs>
          <w:tab w:val="left" w:pos="993"/>
        </w:tabs>
        <w:autoSpaceDE w:val="0"/>
        <w:autoSpaceDN w:val="0"/>
        <w:adjustRightInd w:val="0"/>
        <w:rPr>
          <w:rFonts w:eastAsia="Times New Roman"/>
        </w:rPr>
      </w:pPr>
    </w:p>
    <w:p>
      <w:pPr>
        <w:pStyle w:val="a7"/>
        <w:widowControl w:val="0"/>
        <w:tabs>
          <w:tab w:val="left" w:pos="539"/>
        </w:tabs>
        <w:spacing w:before="120" w:after="0"/>
        <w:ind w:left="181"/>
        <w:jc w:val="center"/>
        <w:rPr>
          <w:rFonts w:eastAsia="Times New Roman"/>
        </w:rPr>
      </w:pPr>
      <w:r>
        <w:rPr>
          <w:noProof/>
        </w:rPr>
        <w:lastRenderedPageBreak/>
        <w:drawing>
          <wp:inline distT="0" distB="0" distL="0" distR="0">
            <wp:extent cx="3666490" cy="60210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666490" cy="6021070"/>
                    </a:xfrm>
                    <a:prstGeom prst="rect">
                      <a:avLst/>
                    </a:prstGeom>
                    <a:noFill/>
                    <a:ln>
                      <a:noFill/>
                    </a:ln>
                  </pic:spPr>
                </pic:pic>
              </a:graphicData>
            </a:graphic>
          </wp:inline>
        </w:drawing>
      </w:r>
    </w:p>
    <w:p>
      <w:pPr>
        <w:ind w:left="180"/>
        <w:jc w:val="left"/>
        <w:rPr>
          <w:sz w:val="20"/>
        </w:rPr>
      </w:pPr>
    </w:p>
    <w:p>
      <w:pPr>
        <w:ind w:left="180"/>
        <w:jc w:val="center"/>
        <w:rPr>
          <w:sz w:val="20"/>
        </w:rPr>
      </w:pPr>
      <w:r>
        <w:rPr>
          <w:sz w:val="20"/>
        </w:rPr>
        <w:t xml:space="preserve">1 – шпиндель; 2 – крышка корпуса; 3 – уплотнение шпинделя; 4 – корпус; 5 – кольцо седла; 6 – запирающий элемент; 7 – шпильки и гайки; 8 – фланец; 9 – исполнение уплотнительной поверхности (плоский фланец); </w:t>
      </w:r>
      <w:r>
        <w:rPr>
          <w:sz w:val="20"/>
        </w:rPr>
        <w:br/>
        <w:t>10 – конец под приварку; 11 – соединение под прокладку овального или восьмиугольного сечения.</w:t>
      </w:r>
    </w:p>
    <w:p>
      <w:pPr>
        <w:pStyle w:val="af3"/>
        <w:spacing w:before="60"/>
        <w:jc w:val="center"/>
        <w:rPr>
          <w:rFonts w:ascii="Arial" w:hAnsi="Arial" w:cs="Arial"/>
        </w:rPr>
      </w:pPr>
      <w:r>
        <w:rPr>
          <w:rFonts w:ascii="Arial" w:eastAsia="Times New Roman" w:hAnsi="Arial" w:cs="Arial"/>
          <w:kern w:val="28"/>
          <w:szCs w:val="28"/>
        </w:rPr>
        <w:t xml:space="preserve">Рис. </w:t>
      </w:r>
      <w:r>
        <w:rPr>
          <w:rFonts w:ascii="Arial" w:hAnsi="Arial" w:cs="Arial"/>
          <w:b w:val="0"/>
        </w:rPr>
        <w:fldChar w:fldCharType="begin"/>
      </w:r>
      <w:r>
        <w:rPr>
          <w:rFonts w:ascii="Arial" w:hAnsi="Arial" w:cs="Arial"/>
        </w:rPr>
        <w:instrText xml:space="preserve"> SEQ Рис. \* ARABIC </w:instrText>
      </w:r>
      <w:r>
        <w:rPr>
          <w:rFonts w:ascii="Arial" w:hAnsi="Arial" w:cs="Arial"/>
          <w:b w:val="0"/>
        </w:rPr>
        <w:fldChar w:fldCharType="separate"/>
      </w:r>
      <w:r>
        <w:rPr>
          <w:rFonts w:ascii="Arial" w:hAnsi="Arial" w:cs="Arial"/>
          <w:noProof/>
        </w:rPr>
        <w:t>9</w:t>
      </w:r>
      <w:r>
        <w:rPr>
          <w:rFonts w:ascii="Arial" w:hAnsi="Arial" w:cs="Arial"/>
          <w:b w:val="0"/>
        </w:rPr>
        <w:fldChar w:fldCharType="end"/>
      </w:r>
      <w:r>
        <w:rPr>
          <w:rFonts w:ascii="Arial" w:hAnsi="Arial" w:cs="Arial"/>
          <w:b w:val="0"/>
        </w:rPr>
        <w:t xml:space="preserve"> </w:t>
      </w:r>
      <w:r>
        <w:rPr>
          <w:rFonts w:ascii="Arial" w:hAnsi="Arial" w:cs="Arial"/>
        </w:rPr>
        <w:t>Типовая схема крана шарового с двумя разъемами</w:t>
      </w:r>
    </w:p>
    <w:p/>
    <w:p>
      <w:pPr>
        <w:pStyle w:val="S0"/>
        <w:jc w:val="center"/>
        <w:rPr>
          <w:lang w:eastAsia="en-US"/>
        </w:rPr>
      </w:pPr>
      <w:r>
        <w:rPr>
          <w:noProof/>
        </w:rPr>
        <w:lastRenderedPageBreak/>
        <w:drawing>
          <wp:inline distT="0" distB="0" distL="0" distR="0">
            <wp:extent cx="3994150" cy="602107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94150" cy="6021070"/>
                    </a:xfrm>
                    <a:prstGeom prst="rect">
                      <a:avLst/>
                    </a:prstGeom>
                    <a:noFill/>
                    <a:ln>
                      <a:noFill/>
                    </a:ln>
                  </pic:spPr>
                </pic:pic>
              </a:graphicData>
            </a:graphic>
          </wp:inline>
        </w:drawing>
      </w:r>
    </w:p>
    <w:p>
      <w:pPr>
        <w:pStyle w:val="S0"/>
        <w:jc w:val="center"/>
        <w:rPr>
          <w:lang w:eastAsia="en-US"/>
        </w:rPr>
      </w:pPr>
    </w:p>
    <w:p>
      <w:pPr>
        <w:jc w:val="center"/>
      </w:pPr>
      <w:r>
        <w:rPr>
          <w:sz w:val="20"/>
        </w:rPr>
        <w:t xml:space="preserve">1 – уплотнение шпинделя;  2 – колпак крышки; 3 – крышка; 4 – болтовое соединение корпуса; 5 – корпус; </w:t>
      </w:r>
      <w:r>
        <w:rPr>
          <w:sz w:val="20"/>
        </w:rPr>
        <w:br/>
        <w:t xml:space="preserve">6 – кольцо седла; 7 – шпиндель; 8 – запирающий элемент; 9 – исполнение уплотнительной поверхности (плоский фланец); 10 – конец под приварку; 11 – соединение под прокладку овального или </w:t>
      </w:r>
      <w:r>
        <w:rPr>
          <w:sz w:val="20"/>
        </w:rPr>
        <w:br/>
        <w:t>восьмиугольного сечения.</w:t>
      </w:r>
    </w:p>
    <w:p>
      <w:pPr>
        <w:pStyle w:val="af3"/>
        <w:spacing w:before="60"/>
        <w:jc w:val="center"/>
        <w:rPr>
          <w:rFonts w:ascii="Arial" w:hAnsi="Arial" w:cs="Arial"/>
        </w:rPr>
      </w:pPr>
      <w:r>
        <w:rPr>
          <w:rFonts w:ascii="Arial" w:eastAsia="Times New Roman" w:hAnsi="Arial" w:cs="Arial"/>
          <w:kern w:val="28"/>
          <w:szCs w:val="28"/>
        </w:rPr>
        <w:t xml:space="preserve">Рис. </w:t>
      </w:r>
      <w:r>
        <w:rPr>
          <w:rFonts w:ascii="Arial" w:hAnsi="Arial" w:cs="Arial"/>
          <w:b w:val="0"/>
        </w:rPr>
        <w:fldChar w:fldCharType="begin"/>
      </w:r>
      <w:r>
        <w:rPr>
          <w:rFonts w:ascii="Arial" w:hAnsi="Arial" w:cs="Arial"/>
        </w:rPr>
        <w:instrText xml:space="preserve"> SEQ Рис. \* ARABIC </w:instrText>
      </w:r>
      <w:r>
        <w:rPr>
          <w:rFonts w:ascii="Arial" w:hAnsi="Arial" w:cs="Arial"/>
          <w:b w:val="0"/>
        </w:rPr>
        <w:fldChar w:fldCharType="separate"/>
      </w:r>
      <w:r>
        <w:rPr>
          <w:rFonts w:ascii="Arial" w:hAnsi="Arial" w:cs="Arial"/>
          <w:noProof/>
        </w:rPr>
        <w:t>10</w:t>
      </w:r>
      <w:r>
        <w:rPr>
          <w:rFonts w:ascii="Arial" w:hAnsi="Arial" w:cs="Arial"/>
          <w:b w:val="0"/>
        </w:rPr>
        <w:fldChar w:fldCharType="end"/>
      </w:r>
      <w:r>
        <w:rPr>
          <w:rFonts w:ascii="Arial" w:eastAsia="Times New Roman" w:hAnsi="Arial" w:cs="Arial"/>
          <w:kern w:val="28"/>
          <w:szCs w:val="28"/>
        </w:rPr>
        <w:t xml:space="preserve"> </w:t>
      </w:r>
      <w:r>
        <w:rPr>
          <w:rFonts w:ascii="Arial" w:hAnsi="Arial" w:cs="Arial"/>
        </w:rPr>
        <w:t>Типовая схема крана шарового с верхним разъемом</w:t>
      </w:r>
    </w:p>
    <w:p>
      <w:pPr>
        <w:rPr>
          <w:sz w:val="20"/>
        </w:rPr>
      </w:pPr>
    </w:p>
    <w:p>
      <w:pPr>
        <w:pStyle w:val="S0"/>
        <w:rPr>
          <w:lang w:eastAsia="en-US"/>
        </w:rPr>
      </w:pPr>
    </w:p>
    <w:p>
      <w:pPr>
        <w:pStyle w:val="S0"/>
        <w:jc w:val="center"/>
        <w:rPr>
          <w:lang w:eastAsia="en-US"/>
        </w:rPr>
      </w:pPr>
      <w:r>
        <w:rPr>
          <w:noProof/>
        </w:rPr>
        <w:lastRenderedPageBreak/>
        <w:drawing>
          <wp:inline distT="0" distB="0" distL="0" distR="0">
            <wp:extent cx="3907790" cy="6228080"/>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07790" cy="6228080"/>
                    </a:xfrm>
                    <a:prstGeom prst="rect">
                      <a:avLst/>
                    </a:prstGeom>
                    <a:noFill/>
                    <a:ln>
                      <a:noFill/>
                    </a:ln>
                  </pic:spPr>
                </pic:pic>
              </a:graphicData>
            </a:graphic>
          </wp:inline>
        </w:drawing>
      </w:r>
    </w:p>
    <w:p>
      <w:pPr>
        <w:tabs>
          <w:tab w:val="num" w:pos="530"/>
        </w:tabs>
        <w:ind w:left="340"/>
        <w:jc w:val="center"/>
        <w:rPr>
          <w:rFonts w:eastAsia="Times New Roman"/>
          <w:sz w:val="20"/>
        </w:rPr>
      </w:pPr>
      <w:r>
        <w:rPr>
          <w:rFonts w:eastAsia="Times New Roman"/>
          <w:sz w:val="20"/>
        </w:rPr>
        <w:t xml:space="preserve">1 – шпиндель; 2 – крышка корпуса; 3 – уплотнение шпинделя; 4 – корпус; 5 – кольцо седла; </w:t>
      </w:r>
      <w:r>
        <w:rPr>
          <w:rFonts w:eastAsia="Times New Roman"/>
          <w:sz w:val="20"/>
        </w:rPr>
        <w:br/>
        <w:t xml:space="preserve">6 –  запирающий элемент; 7 – фланец; 8 –  </w:t>
      </w:r>
      <w:r>
        <w:rPr>
          <w:sz w:val="20"/>
        </w:rPr>
        <w:t>исполнение уплотнительной поверхности (плоский фланец)</w:t>
      </w:r>
      <w:r>
        <w:rPr>
          <w:rFonts w:eastAsia="Times New Roman"/>
          <w:sz w:val="20"/>
        </w:rPr>
        <w:t xml:space="preserve">; </w:t>
      </w:r>
      <w:r>
        <w:rPr>
          <w:rFonts w:eastAsia="Times New Roman"/>
          <w:sz w:val="20"/>
        </w:rPr>
        <w:br/>
        <w:t xml:space="preserve">9 – конец под приварку; 10 – </w:t>
      </w:r>
      <w:r>
        <w:rPr>
          <w:sz w:val="20"/>
        </w:rPr>
        <w:t>соединение под прокладку овального или восьмиугольного сечения</w:t>
      </w:r>
      <w:r>
        <w:rPr>
          <w:rFonts w:eastAsia="Times New Roman"/>
          <w:sz w:val="20"/>
        </w:rPr>
        <w:t>.</w:t>
      </w:r>
    </w:p>
    <w:p>
      <w:pPr>
        <w:pStyle w:val="af3"/>
        <w:spacing w:before="60"/>
        <w:jc w:val="center"/>
        <w:rPr>
          <w:rFonts w:ascii="Arial" w:hAnsi="Arial" w:cs="Arial"/>
        </w:rPr>
      </w:pPr>
      <w:r>
        <w:rPr>
          <w:rFonts w:ascii="Arial" w:eastAsia="Times New Roman" w:hAnsi="Arial" w:cs="Arial"/>
          <w:kern w:val="28"/>
          <w:szCs w:val="28"/>
        </w:rPr>
        <w:t xml:space="preserve">Рис. </w:t>
      </w:r>
      <w:r>
        <w:rPr>
          <w:rFonts w:ascii="Arial" w:hAnsi="Arial" w:cs="Arial"/>
          <w:b w:val="0"/>
        </w:rPr>
        <w:fldChar w:fldCharType="begin"/>
      </w:r>
      <w:r>
        <w:rPr>
          <w:rFonts w:ascii="Arial" w:hAnsi="Arial" w:cs="Arial"/>
        </w:rPr>
        <w:instrText xml:space="preserve"> SEQ Рис. \* ARABIC </w:instrText>
      </w:r>
      <w:r>
        <w:rPr>
          <w:rFonts w:ascii="Arial" w:hAnsi="Arial" w:cs="Arial"/>
          <w:b w:val="0"/>
        </w:rPr>
        <w:fldChar w:fldCharType="separate"/>
      </w:r>
      <w:r>
        <w:rPr>
          <w:rFonts w:ascii="Arial" w:hAnsi="Arial" w:cs="Arial"/>
          <w:noProof/>
        </w:rPr>
        <w:t>11</w:t>
      </w:r>
      <w:r>
        <w:rPr>
          <w:rFonts w:ascii="Arial" w:hAnsi="Arial" w:cs="Arial"/>
          <w:b w:val="0"/>
        </w:rPr>
        <w:fldChar w:fldCharType="end"/>
      </w:r>
      <w:r>
        <w:rPr>
          <w:rFonts w:ascii="Arial" w:eastAsia="Times New Roman" w:hAnsi="Arial" w:cs="Arial"/>
          <w:kern w:val="28"/>
          <w:szCs w:val="28"/>
        </w:rPr>
        <w:t xml:space="preserve"> </w:t>
      </w:r>
      <w:r>
        <w:rPr>
          <w:rFonts w:ascii="Arial" w:hAnsi="Arial" w:cs="Arial"/>
        </w:rPr>
        <w:t>Типовая схема крана шарового с цельносварным корпусом</w:t>
      </w:r>
    </w:p>
    <w:p>
      <w:pPr>
        <w:pStyle w:val="S0"/>
        <w:rPr>
          <w:lang w:eastAsia="en-US"/>
        </w:rPr>
      </w:pPr>
    </w:p>
    <w:p>
      <w:pPr>
        <w:pStyle w:val="S0"/>
        <w:ind w:left="567"/>
        <w:rPr>
          <w:i/>
          <w:lang w:eastAsia="en-US"/>
        </w:rPr>
      </w:pPr>
      <w:r>
        <w:rPr>
          <w:i/>
          <w:u w:val="single"/>
          <w:lang w:eastAsia="en-US"/>
        </w:rPr>
        <w:t>Примечание</w:t>
      </w:r>
      <w:r>
        <w:rPr>
          <w:i/>
          <w:lang w:eastAsia="en-US"/>
        </w:rPr>
        <w:t xml:space="preserve">: </w:t>
      </w:r>
      <w:r>
        <w:rPr>
          <w:i/>
        </w:rPr>
        <w:t>Рисунки 1-3 приведены только с целью иллюстрации разновидностей типовых конструкций арматуры</w:t>
      </w:r>
    </w:p>
    <w:sectPr>
      <w:headerReference w:type="default" r:id="rId102"/>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EuropeDemiC">
    <w:altName w:val="Courier New"/>
    <w:panose1 w:val="00000000000000000000"/>
    <w:charset w:val="CC"/>
    <w:family w:val="modern"/>
    <w:notTrueType/>
    <w:pitch w:val="variable"/>
    <w:sig w:usb0="00000001" w:usb1="0000004A" w:usb2="00000000" w:usb3="00000000" w:csb0="00000005" w:csb1="00000000"/>
  </w:font>
  <w:font w:name="EuropeExt">
    <w:panose1 w:val="02000505040000020004"/>
    <w:charset w:val="CC"/>
    <w:family w:val="modern"/>
    <w:notTrueType/>
    <w:pitch w:val="variable"/>
    <w:sig w:usb0="80000283" w:usb1="0000204A" w:usb2="00000000" w:usb3="00000000" w:csb0="00000004"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MingLiU">
    <w:altName w:val="細明體"/>
    <w:panose1 w:val="02020509000000000000"/>
    <w:charset w:val="88"/>
    <w:family w:val="modern"/>
    <w:pitch w:val="fixed"/>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PragmaticaC">
    <w:altName w:val="MS Mincho"/>
    <w:panose1 w:val="00000000000000000000"/>
    <w:charset w:val="80"/>
    <w:family w:val="auto"/>
    <w:notTrueType/>
    <w:pitch w:val="default"/>
    <w:sig w:usb0="00000001" w:usb1="08070000" w:usb2="00000010" w:usb3="00000000" w:csb0="00020000" w:csb1="00000000"/>
  </w:font>
  <w:font w:name="PF Din Text Cond Pro Medium">
    <w:altName w:val="PF Din Text Cond Pro Medium"/>
    <w:panose1 w:val="00000000000000000000"/>
    <w:charset w:val="CC"/>
    <w:family w:val="swiss"/>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CC"/>
    <w:family w:val="auto"/>
    <w:notTrueType/>
    <w:pitch w:val="default"/>
    <w:sig w:usb0="00000201" w:usb1="08070000" w:usb2="00000010" w:usb3="00000000" w:csb0="00020004" w:csb1="00000000"/>
  </w:font>
  <w:font w:name="TimesNewRomanPSMT">
    <w:altName w:val="Arial Unicode MS"/>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2" w:type="pct"/>
      <w:tblLook w:val="01E0" w:firstRow="1" w:lastRow="1" w:firstColumn="1" w:lastColumn="1" w:noHBand="0" w:noVBand="0"/>
    </w:tblPr>
    <w:tblGrid>
      <w:gridCol w:w="4927"/>
      <w:gridCol w:w="4931"/>
    </w:tblGrid>
    <w:tr>
      <w:tc>
        <w:tcPr>
          <w:tcW w:w="5000" w:type="pct"/>
          <w:gridSpan w:val="2"/>
          <w:tcBorders>
            <w:top w:val="single" w:sz="12" w:space="0" w:color="FFD200"/>
          </w:tcBorders>
          <w:vAlign w:val="center"/>
        </w:tcPr>
        <w:p>
          <w:pPr>
            <w:pStyle w:val="ab"/>
            <w:spacing w:before="60"/>
            <w:rPr>
              <w:rFonts w:ascii="Arial" w:hAnsi="Arial" w:cs="Arial"/>
              <w:b/>
              <w:sz w:val="10"/>
              <w:szCs w:val="10"/>
            </w:rPr>
          </w:pPr>
          <w:r>
            <w:rPr>
              <w:rFonts w:ascii="Arial" w:hAnsi="Arial" w:cs="Arial"/>
              <w:b/>
              <w:spacing w:val="-4"/>
              <w:sz w:val="10"/>
              <w:szCs w:val="10"/>
            </w:rPr>
            <w:t>МЕТОДИЧЕСКИЕ УКАЗАНИЯ КОМПАНИИ</w:t>
          </w:r>
          <w:r>
            <w:rPr>
              <w:rFonts w:ascii="Arial" w:hAnsi="Arial" w:cs="Arial"/>
              <w:b/>
              <w:sz w:val="10"/>
              <w:szCs w:val="10"/>
            </w:rPr>
            <w:t xml:space="preserve"> «ЕДИНЫЕ ТЕХНИЧЕСКИЕ ТРЕБОВАНИЯ. КРАНЫ ШАРОВЫЕ</w:t>
          </w:r>
        </w:p>
      </w:tc>
    </w:tr>
    <w:tr>
      <w:tc>
        <w:tcPr>
          <w:tcW w:w="2499" w:type="pct"/>
          <w:vAlign w:val="center"/>
        </w:tcPr>
        <w:p>
          <w:pPr>
            <w:pStyle w:val="ab"/>
            <w:rPr>
              <w:rFonts w:ascii="Arial" w:hAnsi="Arial" w:cs="Arial"/>
              <w:b/>
              <w:sz w:val="10"/>
              <w:szCs w:val="10"/>
            </w:rPr>
          </w:pPr>
          <w:r>
            <w:rPr>
              <w:rFonts w:ascii="Arial" w:hAnsi="Arial" w:cs="Arial"/>
              <w:b/>
              <w:sz w:val="10"/>
              <w:szCs w:val="10"/>
            </w:rPr>
            <w:t xml:space="preserve">№ П4-06 М-0034  ВЕРСИЯ </w:t>
          </w:r>
          <w:r>
            <w:rPr>
              <w:rFonts w:ascii="Arial" w:hAnsi="Arial" w:cs="Arial"/>
              <w:b/>
              <w:sz w:val="10"/>
              <w:szCs w:val="10"/>
              <w:lang w:val="en-US"/>
            </w:rPr>
            <w:t>2</w:t>
          </w:r>
          <w:r>
            <w:rPr>
              <w:rFonts w:ascii="Arial" w:hAnsi="Arial" w:cs="Arial"/>
              <w:b/>
              <w:sz w:val="10"/>
              <w:szCs w:val="10"/>
            </w:rPr>
            <w:t>.00</w:t>
          </w:r>
        </w:p>
      </w:tc>
      <w:tc>
        <w:tcPr>
          <w:tcW w:w="2501" w:type="pct"/>
        </w:tcPr>
        <w:p>
          <w:pPr>
            <w:pStyle w:val="ab"/>
            <w:rPr>
              <w:rFonts w:ascii="Arial" w:hAnsi="Arial" w:cs="Arial"/>
              <w:b/>
              <w:sz w:val="10"/>
              <w:szCs w:val="10"/>
            </w:rPr>
          </w:pPr>
        </w:p>
      </w:tc>
    </w:tr>
  </w:tbl>
  <w:p>
    <w:pPr>
      <w:pStyle w:val="ab"/>
      <w:rPr>
        <w:rFonts w:asciiTheme="majorBidi" w:hAnsiTheme="majorBidi" w:cstheme="majorBidi"/>
        <w:szCs w:val="28"/>
      </w:rPr>
    </w:pPr>
    <w:r>
      <w:rPr>
        <w:rFonts w:asciiTheme="majorBidi" w:hAnsiTheme="majorBidi" w:cstheme="majorBidi"/>
        <w:noProof/>
        <w:szCs w:val="28"/>
      </w:rPr>
      <mc:AlternateContent>
        <mc:Choice Requires="wps">
          <w:drawing>
            <wp:anchor distT="0" distB="0" distL="114300" distR="114300" simplePos="0" relativeHeight="251894784" behindDoc="0" locked="0" layoutInCell="1" allowOverlap="1">
              <wp:simplePos x="0" y="0"/>
              <wp:positionH relativeFrom="column">
                <wp:posOffset>427355</wp:posOffset>
              </wp:positionH>
              <wp:positionV relativeFrom="paragraph">
                <wp:posOffset>1905</wp:posOffset>
              </wp:positionV>
              <wp:extent cx="5753100" cy="333375"/>
              <wp:effectExtent l="0" t="0" r="0" b="9525"/>
              <wp:wrapNone/>
              <wp:docPr id="18"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left:0;text-align:left;margin-left:33.65pt;margin-top:.15pt;width:453pt;height:26.2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" filled="f" stroked="f" strokeweight="1.3pt">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b"/>
      <w:framePr w:wrap="around" w:vAnchor="text" w:hAnchor="margin" w:xAlign="right" w:y="1"/>
      <w:rPr>
        <w:rStyle w:val="affa"/>
      </w:rPr>
    </w:pPr>
    <w:r>
      <w:rPr>
        <w:rStyle w:val="affa"/>
      </w:rPr>
      <w:fldChar w:fldCharType="begin"/>
    </w:r>
    <w:r>
      <w:rPr>
        <w:rStyle w:val="affa"/>
      </w:rPr>
      <w:instrText xml:space="preserve">PAGE  </w:instrText>
    </w:r>
    <w:r>
      <w:rPr>
        <w:rStyle w:val="affa"/>
      </w:rPr>
      <w:fldChar w:fldCharType="separate"/>
    </w:r>
    <w:r>
      <w:rPr>
        <w:rStyle w:val="affa"/>
        <w:noProof/>
      </w:rPr>
      <w:t>18</w:t>
    </w:r>
    <w:r>
      <w:rPr>
        <w:rStyle w:val="affa"/>
      </w:rPr>
      <w:fldChar w:fldCharType="end"/>
    </w:r>
  </w:p>
  <w:p>
    <w:pPr>
      <w:pStyle w:val="ab"/>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воспроизведён, тиражирован и распространён без разрешения ПАО «НК «Роснефть».</w:t>
    </w:r>
  </w:p>
  <w:p>
    <w:pPr>
      <w:rPr>
        <w:rFonts w:ascii="Arial" w:hAnsi="Arial" w:cs="Arial"/>
        <w:sz w:val="16"/>
        <w:szCs w:val="16"/>
      </w:rPr>
    </w:pPr>
  </w:p>
  <w:p>
    <w:pPr>
      <w:pStyle w:val="ab"/>
      <w:tabs>
        <w:tab w:val="clear" w:pos="9355"/>
        <w:tab w:val="right" w:pos="9180"/>
        <w:tab w:val="left" w:pos="9899"/>
      </w:tabs>
      <w:ind w:right="-1" w:firstLine="180"/>
      <w:jc w:val="right"/>
      <w:rPr>
        <w:sz w:val="16"/>
        <w:szCs w:val="16"/>
        <w:lang w:val="en-US"/>
      </w:rPr>
    </w:pPr>
    <w:r>
      <w:rPr>
        <w:rFonts w:ascii="Arial" w:hAnsi="Arial" w:cs="Arial"/>
        <w:sz w:val="16"/>
        <w:szCs w:val="16"/>
      </w:rPr>
      <w:t>© ® ПАО «НК «Роснефть», 201</w:t>
    </w:r>
    <w:r>
      <w:rPr>
        <w:rFonts w:ascii="Arial" w:hAnsi="Arial" w:cs="Arial"/>
        <w:sz w:val="16"/>
        <w:szCs w:val="16"/>
        <w:lang w:val="en-US"/>
      </w:rPr>
      <w:t>8</w:t>
    </w:r>
  </w:p>
  <w:tbl>
    <w:tblPr>
      <w:tblW w:w="5018" w:type="pct"/>
      <w:tblLook w:val="01E0" w:firstRow="1" w:lastRow="1" w:firstColumn="1" w:lastColumn="1" w:noHBand="0" w:noVBand="0"/>
    </w:tblPr>
    <w:tblGrid>
      <w:gridCol w:w="7905"/>
      <w:gridCol w:w="1984"/>
    </w:tblGrid>
    <w:tr>
      <w:tc>
        <w:tcPr>
          <w:tcW w:w="3997" w:type="pct"/>
          <w:tcBorders>
            <w:top w:val="single" w:sz="12" w:space="0" w:color="FFD200"/>
          </w:tcBorders>
          <w:vAlign w:val="center"/>
        </w:tcPr>
        <w:p>
          <w:pPr>
            <w:pStyle w:val="Sf"/>
            <w:spacing w:before="60"/>
            <w:rPr>
              <w:rFonts w:cs="Arial"/>
            </w:rPr>
          </w:pPr>
          <w:r>
            <w:rPr>
              <w:rFonts w:eastAsia="PMingLiU"/>
              <w:lang w:eastAsia="en-US"/>
            </w:rPr>
            <w:t>Методические указания Компании «Единые технические требования. КРАНЫ ШАРОВЫЕ»</w:t>
          </w:r>
        </w:p>
      </w:tc>
      <w:tc>
        <w:tcPr>
          <w:tcW w:w="1003" w:type="pct"/>
          <w:tcBorders>
            <w:top w:val="single" w:sz="12" w:space="0" w:color="FFD200"/>
          </w:tcBorders>
        </w:tcPr>
        <w:p>
          <w:pPr>
            <w:pStyle w:val="ab"/>
            <w:spacing w:before="60"/>
            <w:rPr>
              <w:rFonts w:ascii="Arial" w:hAnsi="Arial" w:cs="Arial"/>
              <w:b/>
              <w:sz w:val="10"/>
              <w:szCs w:val="10"/>
            </w:rPr>
          </w:pPr>
        </w:p>
      </w:tc>
    </w:tr>
    <w:tr>
      <w:tc>
        <w:tcPr>
          <w:tcW w:w="3997" w:type="pct"/>
          <w:vAlign w:val="center"/>
        </w:tcPr>
        <w:p>
          <w:pPr>
            <w:pStyle w:val="ab"/>
            <w:rPr>
              <w:rFonts w:ascii="Arial" w:hAnsi="Arial" w:cs="Arial"/>
              <w:b/>
              <w:sz w:val="10"/>
              <w:szCs w:val="10"/>
            </w:rPr>
          </w:pPr>
          <w:r>
            <w:rPr>
              <w:rFonts w:ascii="Arial" w:hAnsi="Arial" w:cs="Arial"/>
              <w:b/>
              <w:sz w:val="10"/>
              <w:szCs w:val="10"/>
            </w:rPr>
            <w:t>№ П4-06 М-0034  ВЕРСИЯ</w:t>
          </w:r>
          <w:r>
            <w:rPr>
              <w:rFonts w:ascii="Arial" w:hAnsi="Arial" w:cs="Arial"/>
              <w:b/>
              <w:sz w:val="10"/>
              <w:szCs w:val="10"/>
              <w:lang w:val="en-US"/>
            </w:rPr>
            <w:t xml:space="preserve"> 2</w:t>
          </w:r>
          <w:r>
            <w:rPr>
              <w:rFonts w:ascii="Arial" w:hAnsi="Arial" w:cs="Arial"/>
              <w:b/>
              <w:sz w:val="10"/>
              <w:szCs w:val="10"/>
            </w:rPr>
            <w:t>.00</w:t>
          </w:r>
        </w:p>
      </w:tc>
      <w:tc>
        <w:tcPr>
          <w:tcW w:w="1003" w:type="pct"/>
        </w:tcPr>
        <w:p>
          <w:pPr>
            <w:pStyle w:val="ab"/>
            <w:rPr>
              <w:rFonts w:ascii="Arial" w:hAnsi="Arial" w:cs="Arial"/>
              <w:b/>
              <w:sz w:val="10"/>
              <w:szCs w:val="10"/>
            </w:rPr>
          </w:pPr>
        </w:p>
      </w:tc>
    </w:tr>
  </w:tbl>
  <w:p>
    <w:pPr>
      <w:pStyle w:val="ab"/>
    </w:pPr>
    <w:r>
      <w:rPr>
        <w:noProof/>
      </w:rPr>
      <mc:AlternateContent>
        <mc:Choice Requires="wps">
          <w:drawing>
            <wp:anchor distT="0" distB="0" distL="114300" distR="114300" simplePos="0" relativeHeight="251663360" behindDoc="0" locked="0" layoutInCell="1" allowOverlap="1">
              <wp:simplePos x="0" y="0"/>
              <wp:positionH relativeFrom="column">
                <wp:posOffset>322580</wp:posOffset>
              </wp:positionH>
              <wp:positionV relativeFrom="paragraph">
                <wp:posOffset>20955</wp:posOffset>
              </wp:positionV>
              <wp:extent cx="5895975" cy="333375"/>
              <wp:effectExtent l="0" t="0" r="0" b="9525"/>
              <wp:wrapNone/>
              <wp:docPr id="10"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0" o:spid="_x0000_s1026" type="#_x0000_t202" style="position:absolute;left:0;text-align:left;margin-left:25.4pt;margin-top:1.65pt;width:464.25pt;height:2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" filled="f" stroked="f">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114</w:t>
                    </w:r>
                    <w:r>
                      <w:rPr>
                        <w:rFonts w:ascii="Arial" w:hAnsi="Arial" w:cs="Arial"/>
                        <w:b/>
                        <w:sz w:val="12"/>
                        <w:szCs w:val="1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8" w:type="pct"/>
      <w:tblLook w:val="01E0" w:firstRow="1" w:lastRow="1" w:firstColumn="1" w:lastColumn="1" w:noHBand="0" w:noVBand="0"/>
    </w:tblPr>
    <w:tblGrid>
      <w:gridCol w:w="7905"/>
      <w:gridCol w:w="1984"/>
    </w:tblGrid>
    <w:tr>
      <w:tc>
        <w:tcPr>
          <w:tcW w:w="3997" w:type="pct"/>
          <w:tcBorders>
            <w:top w:val="single" w:sz="12" w:space="0" w:color="FFD200"/>
          </w:tcBorders>
          <w:vAlign w:val="center"/>
        </w:tcPr>
        <w:p>
          <w:pPr>
            <w:pStyle w:val="Sf"/>
            <w:spacing w:before="60"/>
            <w:rPr>
              <w:rFonts w:cs="Arial"/>
            </w:rPr>
          </w:pPr>
          <w:r>
            <w:rPr>
              <w:rFonts w:eastAsia="PMingLiU"/>
              <w:lang w:eastAsia="en-US"/>
            </w:rPr>
            <w:t>Методические указания Компании «Единые технические требования. КРАНЫ ШАРОВЫЕ»</w:t>
          </w:r>
        </w:p>
      </w:tc>
      <w:tc>
        <w:tcPr>
          <w:tcW w:w="1003" w:type="pct"/>
          <w:tcBorders>
            <w:top w:val="single" w:sz="12" w:space="0" w:color="FFD200"/>
          </w:tcBorders>
        </w:tcPr>
        <w:p>
          <w:pPr>
            <w:pStyle w:val="ab"/>
            <w:spacing w:before="60"/>
            <w:rPr>
              <w:rFonts w:ascii="Arial" w:hAnsi="Arial" w:cs="Arial"/>
              <w:b/>
              <w:sz w:val="10"/>
              <w:szCs w:val="10"/>
            </w:rPr>
          </w:pPr>
        </w:p>
      </w:tc>
    </w:tr>
    <w:tr>
      <w:tc>
        <w:tcPr>
          <w:tcW w:w="3997" w:type="pct"/>
          <w:vAlign w:val="center"/>
        </w:tcPr>
        <w:p>
          <w:pPr>
            <w:pStyle w:val="ab"/>
            <w:rPr>
              <w:rFonts w:ascii="Arial" w:hAnsi="Arial" w:cs="Arial"/>
              <w:b/>
              <w:sz w:val="10"/>
              <w:szCs w:val="10"/>
            </w:rPr>
          </w:pPr>
          <w:r>
            <w:rPr>
              <w:rFonts w:ascii="Arial" w:hAnsi="Arial" w:cs="Arial"/>
              <w:b/>
              <w:sz w:val="10"/>
              <w:szCs w:val="10"/>
            </w:rPr>
            <w:t>№ П4-06 М-0034  ВЕРСИЯ 2.00</w:t>
          </w:r>
        </w:p>
      </w:tc>
      <w:tc>
        <w:tcPr>
          <w:tcW w:w="1003" w:type="pct"/>
        </w:tcPr>
        <w:p>
          <w:pPr>
            <w:pStyle w:val="ab"/>
            <w:rPr>
              <w:rFonts w:ascii="Arial" w:hAnsi="Arial" w:cs="Arial"/>
              <w:b/>
              <w:sz w:val="10"/>
              <w:szCs w:val="10"/>
            </w:rPr>
          </w:pPr>
        </w:p>
      </w:tc>
    </w:tr>
  </w:tbl>
  <w:p>
    <w:pPr>
      <w:pStyle w:val="ab"/>
    </w:pPr>
    <w:r>
      <w:rPr>
        <w:noProof/>
      </w:rPr>
      <mc:AlternateContent>
        <mc:Choice Requires="wps">
          <w:drawing>
            <wp:anchor distT="0" distB="0" distL="114300" distR="114300" simplePos="0" relativeHeight="251769856" behindDoc="0" locked="0" layoutInCell="1" allowOverlap="1">
              <wp:simplePos x="0" y="0"/>
              <wp:positionH relativeFrom="column">
                <wp:posOffset>646431</wp:posOffset>
              </wp:positionH>
              <wp:positionV relativeFrom="paragraph">
                <wp:posOffset>1905</wp:posOffset>
              </wp:positionV>
              <wp:extent cx="5556250" cy="333375"/>
              <wp:effectExtent l="0" t="0" r="0" b="9525"/>
              <wp:wrapNone/>
              <wp:docPr id="1"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62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77</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 o:spid="_x0000_s1027" type="#_x0000_t202" style="position:absolute;left:0;text-align:left;margin-left:50.9pt;margin-top:.15pt;width:437.5pt;height:26.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" filled="f" stroked="f">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77</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2" w:type="pct"/>
      <w:tblLook w:val="01E0" w:firstRow="1" w:lastRow="1" w:firstColumn="1" w:lastColumn="1" w:noHBand="0" w:noVBand="0"/>
    </w:tblPr>
    <w:tblGrid>
      <w:gridCol w:w="15983"/>
    </w:tblGrid>
    <w:tr>
      <w:tc>
        <w:tcPr>
          <w:tcW w:w="5000" w:type="pct"/>
          <w:tcBorders>
            <w:top w:val="single" w:sz="12" w:space="0" w:color="FFD200"/>
          </w:tcBorders>
          <w:vAlign w:val="center"/>
        </w:tcPr>
        <w:p>
          <w:pPr>
            <w:pStyle w:val="Sf"/>
            <w:spacing w:before="60"/>
            <w:rPr>
              <w:rFonts w:cs="Arial"/>
            </w:rPr>
          </w:pPr>
          <w:r>
            <w:rPr>
              <w:rFonts w:eastAsia="PMingLiU"/>
              <w:lang w:eastAsia="en-US"/>
            </w:rPr>
            <w:t>Методические указания Компании «Единые технические требования. КРАНЫ ШАРОВЫЕ»</w:t>
          </w:r>
        </w:p>
      </w:tc>
    </w:tr>
    <w:tr>
      <w:tc>
        <w:tcPr>
          <w:tcW w:w="5000" w:type="pct"/>
          <w:vAlign w:val="center"/>
        </w:tcPr>
        <w:p>
          <w:pPr>
            <w:pStyle w:val="ab"/>
            <w:rPr>
              <w:rFonts w:ascii="Arial" w:hAnsi="Arial" w:cs="Arial"/>
              <w:b/>
              <w:sz w:val="10"/>
              <w:szCs w:val="10"/>
            </w:rPr>
          </w:pPr>
          <w:r>
            <w:rPr>
              <w:rFonts w:ascii="Arial" w:hAnsi="Arial" w:cs="Arial"/>
              <w:b/>
              <w:sz w:val="10"/>
              <w:szCs w:val="10"/>
            </w:rPr>
            <w:t>№ П4-06 М-0034  ВЕРСИЯ 2.00</w:t>
          </w:r>
        </w:p>
      </w:tc>
    </w:tr>
  </w:tbl>
  <w:p>
    <w:pPr>
      <w:pStyle w:val="ab"/>
    </w:pPr>
    <w:r>
      <w:rPr>
        <w:noProof/>
      </w:rPr>
      <mc:AlternateContent>
        <mc:Choice Requires="wps">
          <w:drawing>
            <wp:anchor distT="0" distB="0" distL="114300" distR="114300" simplePos="0" relativeHeight="251884544" behindDoc="0" locked="0" layoutInCell="1" allowOverlap="1">
              <wp:simplePos x="0" y="0"/>
              <wp:positionH relativeFrom="column">
                <wp:posOffset>3954781</wp:posOffset>
              </wp:positionH>
              <wp:positionV relativeFrom="paragraph">
                <wp:posOffset>0</wp:posOffset>
              </wp:positionV>
              <wp:extent cx="6127750" cy="333375"/>
              <wp:effectExtent l="0" t="0" r="0" b="9525"/>
              <wp:wrapNone/>
              <wp:docPr id="5"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79</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311.4pt;margin-top:0;width:482.5pt;height:26.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" filled="f" stroked="f">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79</w:t>
                    </w:r>
                    <w:r>
                      <w:rPr>
                        <w:rFonts w:ascii="Arial" w:hAnsi="Arial" w:cs="Arial"/>
                        <w:b/>
                        <w:sz w:val="12"/>
                        <w:szCs w:val="12"/>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2" w:type="pct"/>
      <w:tblLook w:val="01E0" w:firstRow="1" w:lastRow="1" w:firstColumn="1" w:lastColumn="1" w:noHBand="0" w:noVBand="0"/>
    </w:tblPr>
    <w:tblGrid>
      <w:gridCol w:w="4927"/>
      <w:gridCol w:w="4931"/>
    </w:tblGrid>
    <w:tr>
      <w:tc>
        <w:tcPr>
          <w:tcW w:w="5000" w:type="pct"/>
          <w:gridSpan w:val="2"/>
          <w:tcBorders>
            <w:top w:val="single" w:sz="12" w:space="0" w:color="FFD200"/>
          </w:tcBorders>
          <w:vAlign w:val="center"/>
        </w:tcPr>
        <w:p>
          <w:pPr>
            <w:pStyle w:val="ab"/>
            <w:spacing w:before="60"/>
            <w:rPr>
              <w:rFonts w:ascii="Arial" w:hAnsi="Arial" w:cs="Arial"/>
              <w:b/>
              <w:sz w:val="10"/>
              <w:szCs w:val="10"/>
            </w:rPr>
          </w:pPr>
          <w:r>
            <w:rPr>
              <w:rFonts w:ascii="Arial" w:hAnsi="Arial" w:cs="Arial"/>
              <w:b/>
              <w:spacing w:val="-4"/>
              <w:sz w:val="10"/>
              <w:szCs w:val="10"/>
            </w:rPr>
            <w:t>МЕТОДИЧЕСКИЕ УКАЗАНИЯ КОМПАНИИ</w:t>
          </w:r>
          <w:r>
            <w:rPr>
              <w:rFonts w:ascii="Arial" w:hAnsi="Arial" w:cs="Arial"/>
              <w:b/>
              <w:sz w:val="10"/>
              <w:szCs w:val="10"/>
            </w:rPr>
            <w:t xml:space="preserve"> «ЕДИНЫЕ ТЕХНИЧЕСКИЕ ТРЕБОВАНИЯ. КРАНЫ ШАРОВЫЕ</w:t>
          </w:r>
        </w:p>
      </w:tc>
    </w:tr>
    <w:tr>
      <w:tc>
        <w:tcPr>
          <w:tcW w:w="2499" w:type="pct"/>
          <w:vAlign w:val="center"/>
        </w:tcPr>
        <w:p>
          <w:pPr>
            <w:pStyle w:val="ab"/>
            <w:rPr>
              <w:rFonts w:ascii="Arial" w:hAnsi="Arial" w:cs="Arial"/>
              <w:b/>
              <w:sz w:val="10"/>
              <w:szCs w:val="10"/>
            </w:rPr>
          </w:pPr>
          <w:r>
            <w:rPr>
              <w:rFonts w:ascii="Arial" w:hAnsi="Arial" w:cs="Arial"/>
              <w:b/>
              <w:sz w:val="10"/>
              <w:szCs w:val="10"/>
            </w:rPr>
            <w:t xml:space="preserve">№ П4-06 М-0034  ВЕРСИЯ </w:t>
          </w:r>
          <w:r>
            <w:rPr>
              <w:rFonts w:ascii="Arial" w:hAnsi="Arial" w:cs="Arial"/>
              <w:b/>
              <w:sz w:val="10"/>
              <w:szCs w:val="10"/>
              <w:lang w:val="en-US"/>
            </w:rPr>
            <w:t>2</w:t>
          </w:r>
          <w:r>
            <w:rPr>
              <w:rFonts w:ascii="Arial" w:hAnsi="Arial" w:cs="Arial"/>
              <w:b/>
              <w:sz w:val="10"/>
              <w:szCs w:val="10"/>
            </w:rPr>
            <w:t>.00</w:t>
          </w:r>
        </w:p>
      </w:tc>
      <w:tc>
        <w:tcPr>
          <w:tcW w:w="2501" w:type="pct"/>
        </w:tcPr>
        <w:p>
          <w:pPr>
            <w:pStyle w:val="ab"/>
            <w:rPr>
              <w:rFonts w:ascii="Arial" w:hAnsi="Arial" w:cs="Arial"/>
              <w:b/>
              <w:sz w:val="10"/>
              <w:szCs w:val="10"/>
            </w:rPr>
          </w:pPr>
        </w:p>
      </w:tc>
    </w:tr>
  </w:tbl>
  <w:p>
    <w:pPr>
      <w:pStyle w:val="ab"/>
      <w:rPr>
        <w:rFonts w:asciiTheme="majorBidi" w:hAnsiTheme="majorBidi" w:cstheme="majorBidi"/>
        <w:szCs w:val="28"/>
      </w:rPr>
    </w:pPr>
    <w:r>
      <w:rPr>
        <w:rFonts w:asciiTheme="majorBidi" w:hAnsiTheme="majorBidi" w:cstheme="majorBidi"/>
        <w:noProof/>
        <w:szCs w:val="28"/>
      </w:rPr>
      <mc:AlternateContent>
        <mc:Choice Requires="wps">
          <w:drawing>
            <wp:anchor distT="0" distB="0" distL="114300" distR="114300" simplePos="0" relativeHeight="251888640" behindDoc="0" locked="0" layoutInCell="1" allowOverlap="1">
              <wp:simplePos x="0" y="0"/>
              <wp:positionH relativeFrom="column">
                <wp:posOffset>694055</wp:posOffset>
              </wp:positionH>
              <wp:positionV relativeFrom="paragraph">
                <wp:posOffset>1905</wp:posOffset>
              </wp:positionV>
              <wp:extent cx="5486400" cy="333375"/>
              <wp:effectExtent l="0" t="0" r="0" b="9525"/>
              <wp:wrapNone/>
              <wp:docPr id="15"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78</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2" o:spid="_x0000_s1029" type="#_x0000_t202" style="position:absolute;left:0;text-align:left;margin-left:54.65pt;margin-top:.15pt;width:6in;height:26.2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CnLuQ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" filled="f" stroked="f" strokeweight="1.3pt">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78</w:t>
                    </w:r>
                    <w:r>
                      <w:rPr>
                        <w:rFonts w:ascii="Arial" w:hAnsi="Arial" w:cs="Arial"/>
                        <w:b/>
                        <w:sz w:val="12"/>
                        <w:szCs w:val="12"/>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2" w:type="pct"/>
      <w:tblLook w:val="01E0" w:firstRow="1" w:lastRow="1" w:firstColumn="1" w:lastColumn="1" w:noHBand="0" w:noVBand="0"/>
    </w:tblPr>
    <w:tblGrid>
      <w:gridCol w:w="7988"/>
      <w:gridCol w:w="7995"/>
    </w:tblGrid>
    <w:tr>
      <w:tc>
        <w:tcPr>
          <w:tcW w:w="5000" w:type="pct"/>
          <w:gridSpan w:val="2"/>
          <w:tcBorders>
            <w:top w:val="single" w:sz="12" w:space="0" w:color="FFD200"/>
          </w:tcBorders>
          <w:vAlign w:val="center"/>
        </w:tcPr>
        <w:p>
          <w:pPr>
            <w:pStyle w:val="ab"/>
            <w:spacing w:before="60"/>
            <w:rPr>
              <w:rFonts w:ascii="Arial" w:hAnsi="Arial" w:cs="Arial"/>
              <w:b/>
              <w:sz w:val="10"/>
              <w:szCs w:val="10"/>
            </w:rPr>
          </w:pPr>
          <w:r>
            <w:rPr>
              <w:rFonts w:ascii="Arial" w:hAnsi="Arial" w:cs="Arial"/>
              <w:b/>
              <w:spacing w:val="-4"/>
              <w:sz w:val="10"/>
              <w:szCs w:val="10"/>
            </w:rPr>
            <w:t>МЕТОДИЧЕСКИЕ УКАЗАНИЯ КОМПАНИИ</w:t>
          </w:r>
          <w:r>
            <w:rPr>
              <w:rFonts w:ascii="Arial" w:hAnsi="Arial" w:cs="Arial"/>
              <w:b/>
              <w:sz w:val="10"/>
              <w:szCs w:val="10"/>
            </w:rPr>
            <w:t xml:space="preserve"> «ЕДИНЫЕ ТЕХНИЧЕСКИЕ ТРЕБОВАНИЯ. КРАНЫ ШАРОВЫЕ</w:t>
          </w:r>
        </w:p>
      </w:tc>
    </w:tr>
    <w:tr>
      <w:tc>
        <w:tcPr>
          <w:tcW w:w="2499" w:type="pct"/>
          <w:vAlign w:val="center"/>
        </w:tcPr>
        <w:p>
          <w:pPr>
            <w:pStyle w:val="ab"/>
            <w:rPr>
              <w:rFonts w:ascii="Arial" w:hAnsi="Arial" w:cs="Arial"/>
              <w:b/>
              <w:sz w:val="10"/>
              <w:szCs w:val="10"/>
            </w:rPr>
          </w:pPr>
          <w:r>
            <w:rPr>
              <w:rFonts w:ascii="Arial" w:hAnsi="Arial" w:cs="Arial"/>
              <w:b/>
              <w:sz w:val="10"/>
              <w:szCs w:val="10"/>
            </w:rPr>
            <w:t xml:space="preserve">№ П4-06 М-0034  ВЕРСИЯ </w:t>
          </w:r>
          <w:r>
            <w:rPr>
              <w:rFonts w:ascii="Arial" w:hAnsi="Arial" w:cs="Arial"/>
              <w:b/>
              <w:sz w:val="10"/>
              <w:szCs w:val="10"/>
              <w:lang w:val="en-US"/>
            </w:rPr>
            <w:t>2</w:t>
          </w:r>
          <w:r>
            <w:rPr>
              <w:rFonts w:ascii="Arial" w:hAnsi="Arial" w:cs="Arial"/>
              <w:b/>
              <w:sz w:val="10"/>
              <w:szCs w:val="10"/>
            </w:rPr>
            <w:t>.00</w:t>
          </w:r>
        </w:p>
      </w:tc>
      <w:tc>
        <w:tcPr>
          <w:tcW w:w="2501" w:type="pct"/>
        </w:tcPr>
        <w:p>
          <w:pPr>
            <w:pStyle w:val="ab"/>
            <w:rPr>
              <w:rFonts w:ascii="Arial" w:hAnsi="Arial" w:cs="Arial"/>
              <w:b/>
              <w:sz w:val="10"/>
              <w:szCs w:val="10"/>
            </w:rPr>
          </w:pPr>
        </w:p>
      </w:tc>
    </w:tr>
  </w:tbl>
  <w:p>
    <w:pPr>
      <w:pStyle w:val="ab"/>
      <w:rPr>
        <w:rFonts w:asciiTheme="majorBidi" w:hAnsiTheme="majorBidi" w:cstheme="majorBidi"/>
        <w:szCs w:val="28"/>
      </w:rPr>
    </w:pPr>
    <w:r>
      <w:rPr>
        <w:rFonts w:asciiTheme="majorBidi" w:hAnsiTheme="majorBidi" w:cstheme="majorBidi"/>
        <w:noProof/>
        <w:szCs w:val="28"/>
      </w:rPr>
      <mc:AlternateContent>
        <mc:Choice Requires="wps">
          <w:drawing>
            <wp:anchor distT="0" distB="0" distL="114300" distR="114300" simplePos="0" relativeHeight="251890688" behindDoc="0" locked="0" layoutInCell="1" allowOverlap="1">
              <wp:simplePos x="0" y="0"/>
              <wp:positionH relativeFrom="column">
                <wp:posOffset>3535680</wp:posOffset>
              </wp:positionH>
              <wp:positionV relativeFrom="paragraph">
                <wp:posOffset>0</wp:posOffset>
              </wp:positionV>
              <wp:extent cx="6534150" cy="333375"/>
              <wp:effectExtent l="0" t="0" r="0" b="9525"/>
              <wp:wrapNone/>
              <wp:docPr id="8"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81</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left:0;text-align:left;margin-left:278.4pt;margin-top:0;width:514.5pt;height:26.2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cZAuAIAAMM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" filled="f" stroked="f" strokeweight="1.3pt">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81</w:t>
                    </w:r>
                    <w:r>
                      <w:rPr>
                        <w:rFonts w:ascii="Arial" w:hAnsi="Arial" w:cs="Arial"/>
                        <w:b/>
                        <w:sz w:val="12"/>
                        <w:szCs w:val="12"/>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2" w:type="pct"/>
      <w:tblLook w:val="01E0" w:firstRow="1" w:lastRow="1" w:firstColumn="1" w:lastColumn="1" w:noHBand="0" w:noVBand="0"/>
    </w:tblPr>
    <w:tblGrid>
      <w:gridCol w:w="4927"/>
      <w:gridCol w:w="4931"/>
    </w:tblGrid>
    <w:tr>
      <w:tc>
        <w:tcPr>
          <w:tcW w:w="5000" w:type="pct"/>
          <w:gridSpan w:val="2"/>
          <w:tcBorders>
            <w:top w:val="single" w:sz="12" w:space="0" w:color="FFD200"/>
          </w:tcBorders>
          <w:vAlign w:val="center"/>
        </w:tcPr>
        <w:p>
          <w:pPr>
            <w:pStyle w:val="ab"/>
            <w:spacing w:before="60"/>
            <w:rPr>
              <w:rFonts w:ascii="Arial" w:hAnsi="Arial" w:cs="Arial"/>
              <w:b/>
              <w:sz w:val="10"/>
              <w:szCs w:val="10"/>
            </w:rPr>
          </w:pPr>
          <w:r>
            <w:rPr>
              <w:rFonts w:ascii="Arial" w:hAnsi="Arial" w:cs="Arial"/>
              <w:b/>
              <w:spacing w:val="-4"/>
              <w:sz w:val="10"/>
              <w:szCs w:val="10"/>
            </w:rPr>
            <w:t>МЕТОДИЧЕСКИЕ УКАЗАНИЯ КОМПАНИИ</w:t>
          </w:r>
          <w:r>
            <w:rPr>
              <w:rFonts w:ascii="Arial" w:hAnsi="Arial" w:cs="Arial"/>
              <w:b/>
              <w:sz w:val="10"/>
              <w:szCs w:val="10"/>
            </w:rPr>
            <w:t xml:space="preserve"> «ЕДИНЫЕ ТЕХНИЧЕСКИЕ ТРЕБОВАНИЯ. КРАНЫ ШАРОВЫЕ</w:t>
          </w:r>
        </w:p>
      </w:tc>
    </w:tr>
    <w:tr>
      <w:tc>
        <w:tcPr>
          <w:tcW w:w="2499" w:type="pct"/>
          <w:vAlign w:val="center"/>
        </w:tcPr>
        <w:p>
          <w:pPr>
            <w:pStyle w:val="ab"/>
            <w:rPr>
              <w:rFonts w:ascii="Arial" w:hAnsi="Arial" w:cs="Arial"/>
              <w:b/>
              <w:sz w:val="10"/>
              <w:szCs w:val="10"/>
            </w:rPr>
          </w:pPr>
          <w:r>
            <w:rPr>
              <w:rFonts w:ascii="Arial" w:hAnsi="Arial" w:cs="Arial"/>
              <w:b/>
              <w:sz w:val="10"/>
              <w:szCs w:val="10"/>
            </w:rPr>
            <w:t xml:space="preserve">№ П4-06 М-0034  ВЕРСИЯ </w:t>
          </w:r>
          <w:r>
            <w:rPr>
              <w:rFonts w:ascii="Arial" w:hAnsi="Arial" w:cs="Arial"/>
              <w:b/>
              <w:sz w:val="10"/>
              <w:szCs w:val="10"/>
              <w:lang w:val="en-US"/>
            </w:rPr>
            <w:t>2</w:t>
          </w:r>
          <w:r>
            <w:rPr>
              <w:rFonts w:ascii="Arial" w:hAnsi="Arial" w:cs="Arial"/>
              <w:b/>
              <w:sz w:val="10"/>
              <w:szCs w:val="10"/>
            </w:rPr>
            <w:t>.00</w:t>
          </w:r>
        </w:p>
      </w:tc>
      <w:tc>
        <w:tcPr>
          <w:tcW w:w="2501" w:type="pct"/>
        </w:tcPr>
        <w:p>
          <w:pPr>
            <w:pStyle w:val="ab"/>
            <w:rPr>
              <w:rFonts w:ascii="Arial" w:hAnsi="Arial" w:cs="Arial"/>
              <w:b/>
              <w:sz w:val="10"/>
              <w:szCs w:val="10"/>
            </w:rPr>
          </w:pPr>
        </w:p>
      </w:tc>
    </w:tr>
  </w:tbl>
  <w:p>
    <w:pPr>
      <w:pStyle w:val="ab"/>
      <w:rPr>
        <w:rFonts w:asciiTheme="majorBidi" w:hAnsiTheme="majorBidi" w:cstheme="majorBidi"/>
        <w:szCs w:val="28"/>
      </w:rPr>
    </w:pPr>
    <w:r>
      <w:rPr>
        <w:rFonts w:asciiTheme="majorBidi" w:hAnsiTheme="majorBidi" w:cstheme="majorBidi"/>
        <w:noProof/>
        <w:szCs w:val="28"/>
      </w:rPr>
      <mc:AlternateContent>
        <mc:Choice Requires="wps">
          <w:drawing>
            <wp:anchor distT="0" distB="0" distL="114300" distR="114300" simplePos="0" relativeHeight="251892736" behindDoc="0" locked="0" layoutInCell="1" allowOverlap="1">
              <wp:simplePos x="0" y="0"/>
              <wp:positionH relativeFrom="column">
                <wp:posOffset>198755</wp:posOffset>
              </wp:positionH>
              <wp:positionV relativeFrom="paragraph">
                <wp:posOffset>1905</wp:posOffset>
              </wp:positionV>
              <wp:extent cx="5981700" cy="333375"/>
              <wp:effectExtent l="0" t="0" r="0" b="9525"/>
              <wp:wrapNone/>
              <wp:docPr id="16"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104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104</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15.65pt;margin-top:.15pt;width:471pt;height:26.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ex1uA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" filled="f" stroked="f" strokeweight="1.3pt">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104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104</w:t>
                    </w:r>
                    <w:r>
                      <w:rPr>
                        <w:rFonts w:ascii="Arial" w:hAnsi="Arial" w:cs="Arial"/>
                        <w:b/>
                        <w:sz w:val="12"/>
                        <w:szCs w:val="12"/>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988"/>
      <w:gridCol w:w="7989"/>
    </w:tblGrid>
    <w:tr>
      <w:tc>
        <w:tcPr>
          <w:tcW w:w="5000" w:type="pct"/>
          <w:gridSpan w:val="2"/>
          <w:tcBorders>
            <w:top w:val="single" w:sz="12" w:space="0" w:color="FFD200"/>
          </w:tcBorders>
          <w:vAlign w:val="center"/>
        </w:tcPr>
        <w:p>
          <w:pPr>
            <w:tabs>
              <w:tab w:val="center" w:pos="4677"/>
              <w:tab w:val="right" w:pos="9355"/>
            </w:tabs>
            <w:spacing w:before="60"/>
            <w:jc w:val="left"/>
            <w:rPr>
              <w:rFonts w:ascii="Arial" w:eastAsia="Times New Roman" w:hAnsi="Arial" w:cs="Arial"/>
              <w:b/>
              <w:sz w:val="10"/>
              <w:szCs w:val="10"/>
            </w:rPr>
          </w:pPr>
          <w:r>
            <w:rPr>
              <w:rFonts w:ascii="Arial" w:eastAsia="Times New Roman" w:hAnsi="Arial" w:cs="Arial"/>
              <w:b/>
              <w:spacing w:val="-4"/>
              <w:sz w:val="10"/>
              <w:szCs w:val="10"/>
            </w:rPr>
            <w:t>МЕТОДИЧЕСКИЕ УКАЗАНИЯ КОМПАНИИ. «ЕДИНЫЕ ТЕХНИЧЕСКИЕ ТРЕБОВАНИЯ. «КРАНЫ ШАРОВЫЕ»</w:t>
          </w:r>
        </w:p>
      </w:tc>
    </w:tr>
    <w:tr>
      <w:trPr>
        <w:trHeight w:val="80"/>
      </w:trPr>
      <w:tc>
        <w:tcPr>
          <w:tcW w:w="2500" w:type="pct"/>
          <w:vAlign w:val="center"/>
        </w:tcPr>
        <w:p>
          <w:pPr>
            <w:tabs>
              <w:tab w:val="center" w:pos="4677"/>
              <w:tab w:val="right" w:pos="9355"/>
            </w:tabs>
            <w:jc w:val="left"/>
            <w:rPr>
              <w:rFonts w:ascii="Arial" w:eastAsia="Times New Roman" w:hAnsi="Arial" w:cs="Arial"/>
              <w:b/>
              <w:sz w:val="10"/>
              <w:szCs w:val="10"/>
            </w:rPr>
          </w:pPr>
          <w:r>
            <w:rPr>
              <w:noProof/>
            </w:rPr>
            <mc:AlternateContent>
              <mc:Choice Requires="wps">
                <w:drawing>
                  <wp:anchor distT="0" distB="0" distL="114300" distR="114300" simplePos="0" relativeHeight="251880448" behindDoc="0" locked="0" layoutInCell="1" allowOverlap="1">
                    <wp:simplePos x="0" y="0"/>
                    <wp:positionH relativeFrom="column">
                      <wp:posOffset>3829050</wp:posOffset>
                    </wp:positionH>
                    <wp:positionV relativeFrom="paragraph">
                      <wp:posOffset>65405</wp:posOffset>
                    </wp:positionV>
                    <wp:extent cx="6248400" cy="333375"/>
                    <wp:effectExtent l="0" t="0" r="0" b="9525"/>
                    <wp:wrapNone/>
                    <wp:docPr id="42"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108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108</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301.5pt;margin-top:5.15pt;width:492pt;height:26.2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wBLuQ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" filled="f" stroked="f" strokeweight="1.3pt">
                    <v:textbox>
                      <w:txbxContent>
                        <w:p>
                          <w:pPr>
                            <w:spacing w:before="120"/>
                            <w:jc w:val="right"/>
                            <w:rPr>
                              <w:rFonts w:ascii="Arial" w:hAnsi="Arial" w:cs="Arial"/>
                              <w:b/>
                              <w:sz w:val="12"/>
                              <w:szCs w:val="12"/>
                            </w:rPr>
                          </w:pPr>
                          <w:r>
                            <w:rPr>
                              <w:rStyle w:val="af1"/>
                              <w:rFonts w:ascii="Arial" w:hAnsi="Arial" w:cs="Arial"/>
                              <w:color w:val="999999"/>
                              <w:sz w:val="12"/>
                              <w:szCs w:val="12"/>
                            </w:rPr>
                            <w:t xml:space="preserve">СПРАВОЧНО. Выгружено из каталога «НОБ» системы </w:t>
                          </w:r>
                          <w:r>
                            <w:rPr>
                              <w:rStyle w:val="af1"/>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108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108</w:t>
                          </w:r>
                          <w:r>
                            <w:rPr>
                              <w:rFonts w:ascii="Arial" w:hAnsi="Arial" w:cs="Arial"/>
                              <w:b/>
                              <w:sz w:val="12"/>
                              <w:szCs w:val="12"/>
                            </w:rPr>
                            <w:fldChar w:fldCharType="end"/>
                          </w:r>
                        </w:p>
                      </w:txbxContent>
                    </v:textbox>
                  </v:shape>
                </w:pict>
              </mc:Fallback>
            </mc:AlternateContent>
          </w:r>
          <w:r>
            <w:rPr>
              <w:rFonts w:ascii="Arial" w:eastAsia="Times New Roman" w:hAnsi="Arial" w:cs="Arial"/>
              <w:b/>
              <w:sz w:val="10"/>
              <w:szCs w:val="10"/>
            </w:rPr>
            <w:t xml:space="preserve">№ П4-06 М-0034 </w:t>
          </w:r>
          <w:r>
            <w:rPr>
              <w:rFonts w:ascii="Arial" w:eastAsia="Times New Roman" w:hAnsi="Arial" w:cs="Arial"/>
              <w:b/>
              <w:sz w:val="10"/>
              <w:szCs w:val="10"/>
              <w:lang w:val="en-US"/>
            </w:rPr>
            <w:t xml:space="preserve"> </w:t>
          </w:r>
          <w:r>
            <w:rPr>
              <w:rFonts w:ascii="Arial" w:eastAsia="Times New Roman" w:hAnsi="Arial" w:cs="Arial"/>
              <w:b/>
              <w:sz w:val="10"/>
              <w:szCs w:val="10"/>
            </w:rPr>
            <w:t>ВЕРСИЯ 2.00</w:t>
          </w:r>
        </w:p>
      </w:tc>
      <w:tc>
        <w:tcPr>
          <w:tcW w:w="2500" w:type="pct"/>
        </w:tcPr>
        <w:p>
          <w:pPr>
            <w:tabs>
              <w:tab w:val="center" w:pos="4677"/>
              <w:tab w:val="right" w:pos="9355"/>
            </w:tabs>
            <w:rPr>
              <w:rFonts w:ascii="Arial" w:eastAsia="Times New Roman" w:hAnsi="Arial" w:cs="Arial"/>
              <w:b/>
              <w:sz w:val="10"/>
              <w:szCs w:val="10"/>
            </w:rPr>
          </w:pPr>
        </w:p>
      </w:tc>
    </w:tr>
  </w:tbl>
  <w:p>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jc w:val="cen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noProof/>
              <w:sz w:val="10"/>
              <w:szCs w:val="10"/>
            </w:rPr>
            <w:t>ОБОЗНАЧЕНИЯ И СОКРАЩЕНИЯ</w:t>
          </w:r>
        </w:p>
      </w:tc>
    </w:tr>
  </w:tbl>
  <w:p>
    <w:pPr>
      <w:pStyle w:val="a9"/>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noProof/>
              <w:sz w:val="10"/>
              <w:szCs w:val="10"/>
            </w:rPr>
            <w:t>ОБЩАЯ ЧАСТЬ</w:t>
          </w:r>
        </w:p>
      </w:tc>
    </w:tr>
  </w:tbl>
  <w:p>
    <w:pPr>
      <w:pStyle w:val="a9"/>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eastAsia="Times New Roman" w:hAnsi="Arial" w:cs="Arial"/>
              <w:b/>
              <w:sz w:val="10"/>
              <w:szCs w:val="10"/>
            </w:rPr>
          </w:pPr>
          <w:r>
            <w:rPr>
              <w:rFonts w:ascii="Arial" w:eastAsia="Times New Roman" w:hAnsi="Arial" w:cs="Arial"/>
              <w:b/>
              <w:sz w:val="10"/>
              <w:szCs w:val="10"/>
            </w:rPr>
            <w:t>ТРЕБОВАНИЯ К ПРОЕКТИРОВАНИЮ, ИЗГОТОВЛЕНИЮ И ПОСТАВКЕ ОБОРУДОВАНИЯ</w:t>
          </w:r>
        </w:p>
      </w:tc>
    </w:tr>
  </w:tbl>
  <w:p>
    <w:pPr>
      <w:pStyle w:val="a9"/>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УСЛОВНОЕ ОБОЗНАЧЕНИЕ</w:t>
          </w:r>
        </w:p>
      </w:tc>
    </w:tr>
  </w:tbl>
  <w:p>
    <w:pPr>
      <w:pStyle w:val="a9"/>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ССЫЛКИ</w:t>
          </w:r>
        </w:p>
      </w:tc>
    </w:tr>
  </w:tbl>
  <w:p>
    <w:pPr>
      <w:pStyle w:val="a9"/>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БИБЛИОГРАФИЯ</w:t>
          </w:r>
        </w:p>
      </w:tc>
    </w:tr>
  </w:tbl>
  <w:p>
    <w:pPr>
      <w:pStyle w:val="a9"/>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caps/>
              <w:sz w:val="10"/>
              <w:szCs w:val="10"/>
            </w:rPr>
            <w:t>РЕГИСТРАЦИЯ ИЗМЕНЕНИЙ ЛОКАЛЬНОГО НОРМАТИВНОГО ДОКУМЕНТА</w:t>
          </w:r>
        </w:p>
      </w:tc>
    </w:tr>
  </w:tbl>
  <w:p>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noProof/>
              <w:sz w:val="10"/>
              <w:szCs w:val="10"/>
            </w:rPr>
            <w:t>СОДЕРЖАНИЕ</w:t>
          </w:r>
        </w:p>
      </w:tc>
    </w:tr>
  </w:tbl>
  <w:p>
    <w:pPr>
      <w:pStyle w:val="a9"/>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ПРИЛОЖЕНИЯ</w:t>
          </w:r>
        </w:p>
      </w:tc>
    </w:tr>
  </w:tbl>
  <w:p>
    <w:pPr>
      <w:pStyle w:val="a9"/>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S7"/>
            <w:spacing w:before="0"/>
          </w:pPr>
          <w:r>
            <w:rPr>
              <w:noProof/>
            </w:rPr>
            <w:t>ПРИЛОЖЕНИЯ</w:t>
          </w:r>
        </w:p>
      </w:tc>
    </w:tr>
  </w:tbl>
  <w:p>
    <w:pPr>
      <w:rPr>
        <w:rFonts w:asciiTheme="majorBidi" w:hAnsiTheme="majorBidi" w:cstheme="majorBidi"/>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ПРИЛОЖЕНИЯ</w:t>
          </w:r>
        </w:p>
      </w:tc>
    </w:tr>
  </w:tbl>
  <w:p>
    <w:pPr>
      <w:pStyle w:val="a9"/>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S7"/>
            <w:spacing w:before="0"/>
          </w:pPr>
          <w:r>
            <w:rPr>
              <w:noProof/>
            </w:rPr>
            <w:t>приложениЯ</w:t>
          </w:r>
        </w:p>
      </w:tc>
    </w:tr>
  </w:tbl>
  <w:p>
    <w:pPr>
      <w:rPr>
        <w:rFonts w:asciiTheme="majorBidi" w:hAnsiTheme="majorBidi" w:cstheme="majorBidi"/>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trPr>
        <w:trHeight w:val="253"/>
      </w:trPr>
      <w:tc>
        <w:tcPr>
          <w:tcW w:w="5000" w:type="pct"/>
          <w:tcBorders>
            <w:bottom w:val="single" w:sz="12" w:space="0" w:color="FFD200"/>
          </w:tcBorders>
          <w:vAlign w:val="center"/>
        </w:tcPr>
        <w:p>
          <w:pPr>
            <w:pStyle w:val="S7"/>
            <w:spacing w:before="0"/>
          </w:pPr>
          <w:r>
            <w:rPr>
              <w:noProof/>
            </w:rPr>
            <w:t>приложениЯ</w:t>
          </w:r>
        </w:p>
      </w:tc>
    </w:tr>
  </w:tbl>
  <w:p>
    <w:pPr>
      <w:rPr>
        <w:rFonts w:asciiTheme="majorBidi" w:hAnsiTheme="majorBidi" w:cstheme="majorBidi"/>
      </w:rP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S7"/>
            <w:spacing w:before="0"/>
          </w:pPr>
          <w:r>
            <w:rPr>
              <w:noProof/>
            </w:rPr>
            <w:t>приложениЯ</w:t>
          </w:r>
        </w:p>
      </w:tc>
    </w:tr>
  </w:tbl>
  <w:p>
    <w:pPr>
      <w:rPr>
        <w:rFonts w:asciiTheme="majorBidi" w:hAnsiTheme="majorBidi" w:cstheme="majorBidi"/>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429713" o:spid="_x0000_s2094" type="#_x0000_t136" style="position:absolute;left:0;text-align:left;margin-left:0;margin-top:0;width:509.55pt;height:169.85pt;rotation:315;z-index:-251438080;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trPr>
        <w:trHeight w:val="253"/>
      </w:trPr>
      <w:tc>
        <w:tcPr>
          <w:tcW w:w="5000" w:type="pct"/>
          <w:tcBorders>
            <w:bottom w:val="single" w:sz="12" w:space="0" w:color="FFD200"/>
          </w:tcBorders>
          <w:vAlign w:val="center"/>
        </w:tcPr>
        <w:p>
          <w:pPr>
            <w:pStyle w:val="a9"/>
            <w:jc w:val="right"/>
            <w:rPr>
              <w:rFonts w:ascii="Arial" w:eastAsia="Times New Roman" w:hAnsi="Arial" w:cs="Arial"/>
              <w:b/>
              <w:sz w:val="10"/>
              <w:szCs w:val="10"/>
            </w:rPr>
          </w:pPr>
          <w:r>
            <w:rPr>
              <w:rFonts w:ascii="Arial" w:eastAsia="Times New Roman" w:hAnsi="Arial" w:cs="Arial"/>
              <w:b/>
              <w:sz w:val="10"/>
              <w:szCs w:val="10"/>
            </w:rPr>
            <w:t>ПРИЛОЖЕНИЯ</w:t>
          </w:r>
        </w:p>
      </w:tc>
    </w:tr>
  </w:tbl>
  <w:p>
    <w:pPr>
      <w:pStyle w:val="a9"/>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429712" o:spid="_x0000_s2093" type="#_x0000_t136" style="position:absolute;left:0;text-align:left;margin-left:0;margin-top:0;width:509.55pt;height:169.85pt;rotation:315;z-index:-251439104;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2" type="#_x0000_t136" style="position:absolute;left:0;text-align:left;margin-left:0;margin-top:0;width:509.55pt;height:169.85pt;rotation:315;z-index:-251454464;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ПРИЛОЖЕНИЯ</w:t>
          </w:r>
        </w:p>
      </w:tc>
    </w:tr>
  </w:tbl>
  <w:p>
    <w:pPr>
      <w:pStyle w:val="a9"/>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1" type="#_x0000_t136" style="position:absolute;left:0;text-align:left;margin-left:0;margin-top:0;width:509.55pt;height:169.85pt;rotation:315;z-index:-251455488;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ПРИЛОЖЕНИЯ</w:t>
          </w:r>
        </w:p>
      </w:tc>
    </w:tr>
  </w:tbl>
  <w:p>
    <w:pPr>
      <w:pStyle w:val="a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a9"/>
            <w:jc w:val="right"/>
            <w:rPr>
              <w:rFonts w:ascii="Arial" w:hAnsi="Arial" w:cs="Arial"/>
              <w:b/>
              <w:sz w:val="10"/>
              <w:szCs w:val="10"/>
            </w:rPr>
          </w:pPr>
          <w:r>
            <w:rPr>
              <w:rFonts w:ascii="Arial" w:hAnsi="Arial" w:cs="Arial"/>
              <w:b/>
              <w:sz w:val="10"/>
              <w:szCs w:val="10"/>
            </w:rPr>
            <w:t>ВВОДНЫЕ ПОЛОЖЕНИЯ</w:t>
          </w:r>
        </w:p>
      </w:tc>
    </w:tr>
  </w:tbl>
  <w:p>
    <w:pPr>
      <w:pStyle w:val="a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9"/>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trPr>
        <w:trHeight w:val="253"/>
      </w:trPr>
      <w:tc>
        <w:tcPr>
          <w:tcW w:w="5000" w:type="pct"/>
          <w:tcBorders>
            <w:bottom w:val="single" w:sz="12" w:space="0" w:color="FFD200"/>
          </w:tcBorders>
          <w:vAlign w:val="center"/>
        </w:tcPr>
        <w:p>
          <w:pPr>
            <w:pStyle w:val="S7"/>
            <w:spacing w:before="0"/>
            <w:rPr>
              <w:rFonts w:cs="Arial"/>
            </w:rPr>
          </w:pPr>
          <w:r>
            <w:rPr>
              <w:noProof/>
            </w:rPr>
            <w:t>ТЕРМИНЫ И ОПРЕДЕЛЕНИЯ</w:t>
          </w:r>
        </w:p>
      </w:tc>
    </w:tr>
  </w:tbl>
  <w:p>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4F2011E0"/>
    <w:lvl w:ilvl="0">
      <w:start w:val="1"/>
      <w:numFmt w:val="bullet"/>
      <w:pStyle w:val="3"/>
      <w:lvlText w:val=""/>
      <w:lvlJc w:val="left"/>
      <w:pPr>
        <w:tabs>
          <w:tab w:val="num" w:pos="850"/>
        </w:tabs>
        <w:ind w:left="85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0875EC2"/>
    <w:multiLevelType w:val="hybridMultilevel"/>
    <w:tmpl w:val="1EC0F7E8"/>
    <w:lvl w:ilvl="0" w:tplc="D5A49438">
      <w:start w:val="1"/>
      <w:numFmt w:val="decimal"/>
      <w:lvlText w:val="2.%1."/>
      <w:lvlJc w:val="left"/>
      <w:pPr>
        <w:ind w:left="72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374F6F"/>
    <w:multiLevelType w:val="hybridMultilevel"/>
    <w:tmpl w:val="83C491D6"/>
    <w:lvl w:ilvl="0" w:tplc="20585C1E">
      <w:start w:val="1"/>
      <w:numFmt w:val="decimal"/>
      <w:lvlText w:val="1.%1."/>
      <w:lvlJc w:val="left"/>
      <w:pPr>
        <w:ind w:left="72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262491"/>
    <w:multiLevelType w:val="hybridMultilevel"/>
    <w:tmpl w:val="20C6D4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4B304AE"/>
    <w:multiLevelType w:val="hybridMultilevel"/>
    <w:tmpl w:val="CB10B9E0"/>
    <w:lvl w:ilvl="0" w:tplc="505C3618">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
    <w:nsid w:val="0BE617D3"/>
    <w:multiLevelType w:val="multilevel"/>
    <w:tmpl w:val="CBD0A070"/>
    <w:lvl w:ilvl="0">
      <w:start w:val="4"/>
      <w:numFmt w:val="decimal"/>
      <w:lvlText w:val="%1."/>
      <w:lvlJc w:val="left"/>
      <w:pPr>
        <w:ind w:left="390" w:hanging="390"/>
      </w:pPr>
      <w:rPr>
        <w:rFonts w:hint="default"/>
      </w:rPr>
    </w:lvl>
    <w:lvl w:ilvl="1">
      <w:start w:val="1"/>
      <w:numFmt w:val="decimal"/>
      <w:lvlText w:val="%1.%2."/>
      <w:lvlJc w:val="left"/>
      <w:pPr>
        <w:ind w:left="720" w:hanging="720"/>
      </w:pPr>
      <w:rPr>
        <w:rFonts w:ascii="Arial" w:hAnsi="Arial" w:cs="Arial" w:hint="default"/>
        <w:b/>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0E7C6A9B"/>
    <w:multiLevelType w:val="hybridMultilevel"/>
    <w:tmpl w:val="51D01EA8"/>
    <w:lvl w:ilvl="0" w:tplc="942CC874">
      <w:start w:val="1"/>
      <w:numFmt w:val="decimal"/>
      <w:lvlText w:val="5.%1."/>
      <w:lvlJc w:val="left"/>
      <w:pPr>
        <w:ind w:left="72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B82BB6"/>
    <w:multiLevelType w:val="hybridMultilevel"/>
    <w:tmpl w:val="2A4AACC0"/>
    <w:lvl w:ilvl="0" w:tplc="6324BB6C">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13F5083"/>
    <w:multiLevelType w:val="multilevel"/>
    <w:tmpl w:val="BC8001AE"/>
    <w:lvl w:ilvl="0">
      <w:start w:val="3"/>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
    <w:nsid w:val="1164501D"/>
    <w:multiLevelType w:val="hybridMultilevel"/>
    <w:tmpl w:val="496629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29A622D"/>
    <w:multiLevelType w:val="multilevel"/>
    <w:tmpl w:val="F8B25B24"/>
    <w:styleLink w:val="2"/>
    <w:lvl w:ilvl="0">
      <w:start w:val="6"/>
      <w:numFmt w:val="decimal"/>
      <w:lvlText w:val="%1"/>
      <w:lvlJc w:val="left"/>
      <w:pPr>
        <w:ind w:left="360" w:hanging="360"/>
      </w:pPr>
      <w:rPr>
        <w:rFonts w:hint="default"/>
      </w:rPr>
    </w:lvl>
    <w:lvl w:ilvl="1">
      <w:start w:val="5"/>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36E1F78"/>
    <w:multiLevelType w:val="hybridMultilevel"/>
    <w:tmpl w:val="E01E8494"/>
    <w:lvl w:ilvl="0" w:tplc="04190005">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4ED6A6B"/>
    <w:multiLevelType w:val="hybridMultilevel"/>
    <w:tmpl w:val="933618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6770A0D"/>
    <w:multiLevelType w:val="hybridMultilevel"/>
    <w:tmpl w:val="EE0CFE6A"/>
    <w:lvl w:ilvl="0" w:tplc="21AADA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7461F1F"/>
    <w:multiLevelType w:val="hybridMultilevel"/>
    <w:tmpl w:val="33FA48DC"/>
    <w:lvl w:ilvl="0" w:tplc="E5D021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8F108D9"/>
    <w:multiLevelType w:val="hybridMultilevel"/>
    <w:tmpl w:val="EAD0F416"/>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90512C3"/>
    <w:multiLevelType w:val="hybridMultilevel"/>
    <w:tmpl w:val="CEA672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BE848BC"/>
    <w:multiLevelType w:val="multilevel"/>
    <w:tmpl w:val="519A0F1E"/>
    <w:lvl w:ilvl="0">
      <w:start w:val="1"/>
      <w:numFmt w:val="decimal"/>
      <w:pStyle w:val="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nsid w:val="1DF448BB"/>
    <w:multiLevelType w:val="hybridMultilevel"/>
    <w:tmpl w:val="00B8FA1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E7D51B7"/>
    <w:multiLevelType w:val="multilevel"/>
    <w:tmpl w:val="7D464818"/>
    <w:lvl w:ilvl="0">
      <w:start w:val="4"/>
      <w:numFmt w:val="decimal"/>
      <w:lvlText w:val="%1."/>
      <w:lvlJc w:val="left"/>
      <w:pPr>
        <w:ind w:left="495" w:hanging="495"/>
      </w:pPr>
      <w:rPr>
        <w:rFonts w:hint="default"/>
      </w:rPr>
    </w:lvl>
    <w:lvl w:ilvl="1">
      <w:start w:val="3"/>
      <w:numFmt w:val="decimal"/>
      <w:lvlText w:val="%1.%2."/>
      <w:lvlJc w:val="left"/>
      <w:pPr>
        <w:ind w:left="708" w:hanging="49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22">
    <w:nsid w:val="1F1354AA"/>
    <w:multiLevelType w:val="multilevel"/>
    <w:tmpl w:val="DD72E734"/>
    <w:lvl w:ilvl="0">
      <w:start w:val="1"/>
      <w:numFmt w:val="decimal"/>
      <w:pStyle w:val="111111"/>
      <w:lvlText w:val="%1."/>
      <w:lvlJc w:val="left"/>
      <w:pPr>
        <w:ind w:left="360" w:hanging="360"/>
      </w:pPr>
      <w:rPr>
        <w:rFonts w:cs="Times New Roman"/>
        <w:b/>
        <w:strike w:val="0"/>
        <w:color w:val="auto"/>
      </w:rPr>
    </w:lvl>
    <w:lvl w:ilvl="1">
      <w:start w:val="1"/>
      <w:numFmt w:val="decimal"/>
      <w:isLgl/>
      <w:lvlText w:val="%1.%2"/>
      <w:lvlJc w:val="left"/>
      <w:pPr>
        <w:ind w:left="1072" w:hanging="930"/>
      </w:pPr>
      <w:rPr>
        <w:rFonts w:ascii="Times New Roman" w:hAnsi="Times New Roman" w:cs="Times New Roman" w:hint="default"/>
        <w:b w:val="0"/>
        <w:strike w:val="0"/>
        <w:dstrike w:val="0"/>
        <w:u w:val="none"/>
        <w:effect w:val="none"/>
      </w:rPr>
    </w:lvl>
    <w:lvl w:ilvl="2">
      <w:start w:val="1"/>
      <w:numFmt w:val="decimal"/>
      <w:isLgl/>
      <w:lvlText w:val="%1.%2.%3"/>
      <w:lvlJc w:val="left"/>
      <w:pPr>
        <w:ind w:left="1422" w:hanging="930"/>
      </w:pPr>
      <w:rPr>
        <w:rFonts w:cs="Times New Roman"/>
      </w:rPr>
    </w:lvl>
    <w:lvl w:ilvl="3">
      <w:start w:val="1"/>
      <w:numFmt w:val="decimal"/>
      <w:isLgl/>
      <w:lvlText w:val="%1.%2.%3.%4"/>
      <w:lvlJc w:val="left"/>
      <w:pPr>
        <w:ind w:left="1488" w:hanging="930"/>
      </w:pPr>
      <w:rPr>
        <w:rFonts w:cs="Times New Roman"/>
      </w:rPr>
    </w:lvl>
    <w:lvl w:ilvl="4">
      <w:start w:val="1"/>
      <w:numFmt w:val="decimal"/>
      <w:isLgl/>
      <w:lvlText w:val="%1.%2.%3.%4.%5"/>
      <w:lvlJc w:val="left"/>
      <w:pPr>
        <w:ind w:left="1704" w:hanging="1080"/>
      </w:pPr>
      <w:rPr>
        <w:rFonts w:cs="Times New Roman"/>
      </w:rPr>
    </w:lvl>
    <w:lvl w:ilvl="5">
      <w:start w:val="1"/>
      <w:numFmt w:val="decimal"/>
      <w:isLgl/>
      <w:lvlText w:val="%1.%2.%3.%4.%5.%6"/>
      <w:lvlJc w:val="left"/>
      <w:pPr>
        <w:ind w:left="1770" w:hanging="1080"/>
      </w:pPr>
      <w:rPr>
        <w:rFonts w:cs="Times New Roman"/>
      </w:rPr>
    </w:lvl>
    <w:lvl w:ilvl="6">
      <w:start w:val="1"/>
      <w:numFmt w:val="decimal"/>
      <w:isLgl/>
      <w:lvlText w:val="%1.%2.%3.%4.%5.%6.%7"/>
      <w:lvlJc w:val="left"/>
      <w:pPr>
        <w:ind w:left="2196" w:hanging="1440"/>
      </w:pPr>
      <w:rPr>
        <w:rFonts w:cs="Times New Roman"/>
      </w:rPr>
    </w:lvl>
    <w:lvl w:ilvl="7">
      <w:start w:val="1"/>
      <w:numFmt w:val="decimal"/>
      <w:isLgl/>
      <w:lvlText w:val="%1.%2.%3.%4.%5.%6.%7.%8"/>
      <w:lvlJc w:val="left"/>
      <w:pPr>
        <w:ind w:left="2262" w:hanging="1440"/>
      </w:pPr>
      <w:rPr>
        <w:rFonts w:cs="Times New Roman"/>
      </w:rPr>
    </w:lvl>
    <w:lvl w:ilvl="8">
      <w:start w:val="1"/>
      <w:numFmt w:val="decimal"/>
      <w:isLgl/>
      <w:lvlText w:val="%1.%2.%3.%4.%5.%6.%7.%8.%9"/>
      <w:lvlJc w:val="left"/>
      <w:pPr>
        <w:ind w:left="2328" w:hanging="1440"/>
      </w:pPr>
      <w:rPr>
        <w:rFonts w:cs="Times New Roman"/>
      </w:rPr>
    </w:lvl>
  </w:abstractNum>
  <w:abstractNum w:abstractNumId="23">
    <w:nsid w:val="1F553C0C"/>
    <w:multiLevelType w:val="hybridMultilevel"/>
    <w:tmpl w:val="BB72A5EC"/>
    <w:lvl w:ilvl="0" w:tplc="DF6CB278">
      <w:start w:val="1"/>
      <w:numFmt w:val="decimal"/>
      <w:lvlText w:val="%1."/>
      <w:lvlJc w:val="left"/>
      <w:pPr>
        <w:tabs>
          <w:tab w:val="num" w:pos="363"/>
        </w:tabs>
        <w:ind w:left="363" w:hanging="363"/>
      </w:pPr>
      <w:rPr>
        <w:rFonts w:ascii="Times New Roman" w:hAnsi="Times New Roman" w:cs="Times New Roman" w:hint="default"/>
        <w:b w:val="0"/>
        <w:i w:val="0"/>
        <w:color w:val="auto"/>
        <w:sz w:val="24"/>
        <w:u w:val="none"/>
      </w:rPr>
    </w:lvl>
    <w:lvl w:ilvl="1" w:tplc="2D324BA8">
      <w:start w:val="1"/>
      <w:numFmt w:val="bullet"/>
      <w:lvlText w:val="o"/>
      <w:lvlJc w:val="left"/>
      <w:pPr>
        <w:tabs>
          <w:tab w:val="num" w:pos="1440"/>
        </w:tabs>
        <w:ind w:left="1440" w:hanging="360"/>
      </w:pPr>
      <w:rPr>
        <w:rFonts w:ascii="Courier New" w:hAnsi="Courier New" w:cs="Courier New" w:hint="default"/>
      </w:rPr>
    </w:lvl>
    <w:lvl w:ilvl="2" w:tplc="C8A4EA58" w:tentative="1">
      <w:start w:val="1"/>
      <w:numFmt w:val="bullet"/>
      <w:lvlText w:val=""/>
      <w:lvlJc w:val="left"/>
      <w:pPr>
        <w:tabs>
          <w:tab w:val="num" w:pos="2160"/>
        </w:tabs>
        <w:ind w:left="2160" w:hanging="360"/>
      </w:pPr>
      <w:rPr>
        <w:rFonts w:ascii="Wingdings" w:hAnsi="Wingdings" w:hint="default"/>
      </w:rPr>
    </w:lvl>
    <w:lvl w:ilvl="3" w:tplc="C57806E8" w:tentative="1">
      <w:start w:val="1"/>
      <w:numFmt w:val="bullet"/>
      <w:lvlText w:val=""/>
      <w:lvlJc w:val="left"/>
      <w:pPr>
        <w:tabs>
          <w:tab w:val="num" w:pos="2880"/>
        </w:tabs>
        <w:ind w:left="2880" w:hanging="360"/>
      </w:pPr>
      <w:rPr>
        <w:rFonts w:ascii="Symbol" w:hAnsi="Symbol" w:hint="default"/>
      </w:rPr>
    </w:lvl>
    <w:lvl w:ilvl="4" w:tplc="3FC24BF2" w:tentative="1">
      <w:start w:val="1"/>
      <w:numFmt w:val="bullet"/>
      <w:lvlText w:val="o"/>
      <w:lvlJc w:val="left"/>
      <w:pPr>
        <w:tabs>
          <w:tab w:val="num" w:pos="3600"/>
        </w:tabs>
        <w:ind w:left="3600" w:hanging="360"/>
      </w:pPr>
      <w:rPr>
        <w:rFonts w:ascii="Courier New" w:hAnsi="Courier New" w:cs="Courier New" w:hint="default"/>
      </w:rPr>
    </w:lvl>
    <w:lvl w:ilvl="5" w:tplc="D2767B0E" w:tentative="1">
      <w:start w:val="1"/>
      <w:numFmt w:val="bullet"/>
      <w:lvlText w:val=""/>
      <w:lvlJc w:val="left"/>
      <w:pPr>
        <w:tabs>
          <w:tab w:val="num" w:pos="4320"/>
        </w:tabs>
        <w:ind w:left="4320" w:hanging="360"/>
      </w:pPr>
      <w:rPr>
        <w:rFonts w:ascii="Wingdings" w:hAnsi="Wingdings" w:hint="default"/>
      </w:rPr>
    </w:lvl>
    <w:lvl w:ilvl="6" w:tplc="349EE7B8" w:tentative="1">
      <w:start w:val="1"/>
      <w:numFmt w:val="bullet"/>
      <w:lvlText w:val=""/>
      <w:lvlJc w:val="left"/>
      <w:pPr>
        <w:tabs>
          <w:tab w:val="num" w:pos="5040"/>
        </w:tabs>
        <w:ind w:left="5040" w:hanging="360"/>
      </w:pPr>
      <w:rPr>
        <w:rFonts w:ascii="Symbol" w:hAnsi="Symbol" w:hint="default"/>
      </w:rPr>
    </w:lvl>
    <w:lvl w:ilvl="7" w:tplc="00F283AE" w:tentative="1">
      <w:start w:val="1"/>
      <w:numFmt w:val="bullet"/>
      <w:lvlText w:val="o"/>
      <w:lvlJc w:val="left"/>
      <w:pPr>
        <w:tabs>
          <w:tab w:val="num" w:pos="5760"/>
        </w:tabs>
        <w:ind w:left="5760" w:hanging="360"/>
      </w:pPr>
      <w:rPr>
        <w:rFonts w:ascii="Courier New" w:hAnsi="Courier New" w:cs="Courier New" w:hint="default"/>
      </w:rPr>
    </w:lvl>
    <w:lvl w:ilvl="8" w:tplc="225478D2" w:tentative="1">
      <w:start w:val="1"/>
      <w:numFmt w:val="bullet"/>
      <w:lvlText w:val=""/>
      <w:lvlJc w:val="left"/>
      <w:pPr>
        <w:tabs>
          <w:tab w:val="num" w:pos="6480"/>
        </w:tabs>
        <w:ind w:left="6480" w:hanging="360"/>
      </w:pPr>
      <w:rPr>
        <w:rFonts w:ascii="Wingdings" w:hAnsi="Wingdings" w:hint="default"/>
      </w:rPr>
    </w:lvl>
  </w:abstractNum>
  <w:abstractNum w:abstractNumId="24">
    <w:nsid w:val="21254E66"/>
    <w:multiLevelType w:val="hybridMultilevel"/>
    <w:tmpl w:val="7B889898"/>
    <w:lvl w:ilvl="0" w:tplc="DC427B00">
      <w:start w:val="1"/>
      <w:numFmt w:val="bullet"/>
      <w:lvlText w:val=""/>
      <w:lvlJc w:val="left"/>
      <w:pPr>
        <w:ind w:left="1080" w:hanging="360"/>
      </w:pPr>
      <w:rPr>
        <w:rFonts w:ascii="Wingdings" w:hAnsi="Wingdings" w:hint="default"/>
        <w:color w:val="auto"/>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nsid w:val="24644B3A"/>
    <w:multiLevelType w:val="hybridMultilevel"/>
    <w:tmpl w:val="9312C666"/>
    <w:lvl w:ilvl="0" w:tplc="E520BD84">
      <w:start w:val="1"/>
      <w:numFmt w:val="decimal"/>
      <w:lvlText w:val="4.%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258A6588"/>
    <w:multiLevelType w:val="hybridMultilevel"/>
    <w:tmpl w:val="8ED85B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5F033A8"/>
    <w:multiLevelType w:val="hybridMultilevel"/>
    <w:tmpl w:val="E7B6B3A8"/>
    <w:lvl w:ilvl="0" w:tplc="6C160692">
      <w:start w:val="1"/>
      <w:numFmt w:val="bullet"/>
      <w:lvlText w:val=""/>
      <w:lvlJc w:val="left"/>
      <w:pPr>
        <w:ind w:left="1128" w:hanging="360"/>
      </w:pPr>
      <w:rPr>
        <w:rFonts w:ascii="Wingdings" w:hAnsi="Wingdings" w:cs="Courier New" w:hint="default"/>
        <w:b w:val="0"/>
        <w:i w:val="0"/>
        <w:caps/>
        <w:smallCaps w:val="0"/>
        <w:color w:val="000000"/>
        <w:sz w:val="20"/>
      </w:rPr>
    </w:lvl>
    <w:lvl w:ilvl="1" w:tplc="04190003" w:tentative="1">
      <w:start w:val="1"/>
      <w:numFmt w:val="bullet"/>
      <w:lvlText w:val="o"/>
      <w:lvlJc w:val="left"/>
      <w:pPr>
        <w:ind w:left="1848" w:hanging="360"/>
      </w:pPr>
      <w:rPr>
        <w:rFonts w:ascii="Courier New" w:hAnsi="Courier New" w:cs="Courier New" w:hint="default"/>
      </w:rPr>
    </w:lvl>
    <w:lvl w:ilvl="2" w:tplc="6C160692" w:tentative="1">
      <w:start w:val="1"/>
      <w:numFmt w:val="bullet"/>
      <w:pStyle w:val="npb"/>
      <w:lvlText w:val=""/>
      <w:lvlJc w:val="left"/>
      <w:pPr>
        <w:ind w:left="2568" w:hanging="360"/>
      </w:pPr>
      <w:rPr>
        <w:rFonts w:ascii="Wingdings" w:hAnsi="Wingdings" w:hint="default"/>
      </w:rPr>
    </w:lvl>
    <w:lvl w:ilvl="3" w:tplc="04190001" w:tentative="1">
      <w:start w:val="1"/>
      <w:numFmt w:val="bullet"/>
      <w:lvlText w:val=""/>
      <w:lvlJc w:val="left"/>
      <w:pPr>
        <w:ind w:left="3288" w:hanging="360"/>
      </w:pPr>
      <w:rPr>
        <w:rFonts w:ascii="Symbol" w:hAnsi="Symbol" w:hint="default"/>
      </w:rPr>
    </w:lvl>
    <w:lvl w:ilvl="4" w:tplc="04190003" w:tentative="1">
      <w:start w:val="1"/>
      <w:numFmt w:val="bullet"/>
      <w:lvlText w:val="o"/>
      <w:lvlJc w:val="left"/>
      <w:pPr>
        <w:ind w:left="4008" w:hanging="360"/>
      </w:pPr>
      <w:rPr>
        <w:rFonts w:ascii="Courier New" w:hAnsi="Courier New" w:cs="Courier New" w:hint="default"/>
      </w:rPr>
    </w:lvl>
    <w:lvl w:ilvl="5" w:tplc="04190005" w:tentative="1">
      <w:start w:val="1"/>
      <w:numFmt w:val="bullet"/>
      <w:lvlText w:val=""/>
      <w:lvlJc w:val="left"/>
      <w:pPr>
        <w:ind w:left="4728" w:hanging="360"/>
      </w:pPr>
      <w:rPr>
        <w:rFonts w:ascii="Wingdings" w:hAnsi="Wingdings" w:hint="default"/>
      </w:rPr>
    </w:lvl>
    <w:lvl w:ilvl="6" w:tplc="04190001" w:tentative="1">
      <w:start w:val="1"/>
      <w:numFmt w:val="bullet"/>
      <w:lvlText w:val=""/>
      <w:lvlJc w:val="left"/>
      <w:pPr>
        <w:ind w:left="5448" w:hanging="360"/>
      </w:pPr>
      <w:rPr>
        <w:rFonts w:ascii="Symbol" w:hAnsi="Symbol" w:hint="default"/>
      </w:rPr>
    </w:lvl>
    <w:lvl w:ilvl="7" w:tplc="04190003" w:tentative="1">
      <w:start w:val="1"/>
      <w:numFmt w:val="bullet"/>
      <w:lvlText w:val="o"/>
      <w:lvlJc w:val="left"/>
      <w:pPr>
        <w:ind w:left="6168" w:hanging="360"/>
      </w:pPr>
      <w:rPr>
        <w:rFonts w:ascii="Courier New" w:hAnsi="Courier New" w:cs="Courier New" w:hint="default"/>
      </w:rPr>
    </w:lvl>
    <w:lvl w:ilvl="8" w:tplc="04190005" w:tentative="1">
      <w:start w:val="1"/>
      <w:numFmt w:val="bullet"/>
      <w:lvlText w:val=""/>
      <w:lvlJc w:val="left"/>
      <w:pPr>
        <w:ind w:left="6888" w:hanging="360"/>
      </w:pPr>
      <w:rPr>
        <w:rFonts w:ascii="Wingdings" w:hAnsi="Wingdings" w:hint="default"/>
      </w:rPr>
    </w:lvl>
  </w:abstractNum>
  <w:abstractNum w:abstractNumId="28">
    <w:nsid w:val="26890010"/>
    <w:multiLevelType w:val="hybridMultilevel"/>
    <w:tmpl w:val="5576EA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7D4320F"/>
    <w:multiLevelType w:val="hybridMultilevel"/>
    <w:tmpl w:val="2F88D95C"/>
    <w:lvl w:ilvl="0" w:tplc="04190005">
      <w:start w:val="1"/>
      <w:numFmt w:val="bullet"/>
      <w:lvlText w:val=""/>
      <w:lvlJc w:val="left"/>
      <w:pPr>
        <w:ind w:left="1080" w:hanging="360"/>
      </w:pPr>
      <w:rPr>
        <w:rFonts w:ascii="Wingdings" w:hAnsi="Wingdings" w:hint="default"/>
      </w:rPr>
    </w:lvl>
    <w:lvl w:ilvl="1" w:tplc="04190019">
      <w:start w:val="1"/>
      <w:numFmt w:val="lowerLetter"/>
      <w:lvlText w:val="%2."/>
      <w:lvlJc w:val="left"/>
      <w:pPr>
        <w:ind w:left="1800" w:hanging="360"/>
      </w:pPr>
    </w:lvl>
    <w:lvl w:ilvl="2" w:tplc="18DE5DB8">
      <w:start w:val="1"/>
      <w:numFmt w:val="decimal"/>
      <w:lvlText w:val="4.4.%3."/>
      <w:lvlJc w:val="left"/>
      <w:pPr>
        <w:ind w:left="2520" w:hanging="180"/>
      </w:pPr>
      <w:rPr>
        <w:rFonts w:hint="default"/>
        <w:i/>
        <w:sz w:val="20"/>
        <w:szCs w:val="20"/>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284F2A43"/>
    <w:multiLevelType w:val="hybridMultilevel"/>
    <w:tmpl w:val="06A8B0CA"/>
    <w:lvl w:ilvl="0" w:tplc="B29E02D8">
      <w:start w:val="4"/>
      <w:numFmt w:val="decimal"/>
      <w:pStyle w:val="S20"/>
      <w:lvlText w:val="%1.1."/>
      <w:lvlJc w:val="left"/>
      <w:pPr>
        <w:ind w:left="644"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nsid w:val="28F325D6"/>
    <w:multiLevelType w:val="hybridMultilevel"/>
    <w:tmpl w:val="5EBCCB0A"/>
    <w:lvl w:ilvl="0" w:tplc="B6347736">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2B2B562B"/>
    <w:multiLevelType w:val="hybridMultilevel"/>
    <w:tmpl w:val="730AA5F8"/>
    <w:lvl w:ilvl="0" w:tplc="9650EB0E">
      <w:start w:val="1"/>
      <w:numFmt w:val="bullet"/>
      <w:lvlText w:val=""/>
      <w:lvlJc w:val="left"/>
      <w:pPr>
        <w:ind w:left="720" w:hanging="360"/>
      </w:pPr>
      <w:rPr>
        <w:rFonts w:ascii="Wingdings" w:hAnsi="Wingdings" w:cs="Courier New" w:hint="default"/>
        <w:b w:val="0"/>
        <w:caps/>
        <w:color w:val="0000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BE94784"/>
    <w:multiLevelType w:val="hybridMultilevel"/>
    <w:tmpl w:val="9EFEFF82"/>
    <w:lvl w:ilvl="0" w:tplc="04190005">
      <w:start w:val="1"/>
      <w:numFmt w:val="bullet"/>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5">
    <w:nsid w:val="2D555A62"/>
    <w:multiLevelType w:val="hybridMultilevel"/>
    <w:tmpl w:val="6ABE98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ECA248C"/>
    <w:multiLevelType w:val="hybridMultilevel"/>
    <w:tmpl w:val="7FC659A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0D35830"/>
    <w:multiLevelType w:val="hybridMultilevel"/>
    <w:tmpl w:val="07E4021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3D22BF1"/>
    <w:multiLevelType w:val="hybridMultilevel"/>
    <w:tmpl w:val="DEC4B4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9495821"/>
    <w:multiLevelType w:val="hybridMultilevel"/>
    <w:tmpl w:val="50508B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AF93400"/>
    <w:multiLevelType w:val="multilevel"/>
    <w:tmpl w:val="ED64A524"/>
    <w:styleLink w:val="10"/>
    <w:lvl w:ilvl="0">
      <w:start w:val="1"/>
      <w:numFmt w:val="decimal"/>
      <w:suff w:val="space"/>
      <w:lvlText w:val="3.%1"/>
      <w:lvlJc w:val="left"/>
      <w:rPr>
        <w:rFonts w:ascii="Times New Roman" w:hAnsi="Times New Roman" w:cs="Times New Roman" w:hint="default"/>
        <w:b w:val="0"/>
        <w:i w:val="0"/>
        <w:sz w:val="20"/>
        <w:szCs w:val="20"/>
      </w:rPr>
    </w:lvl>
    <w:lvl w:ilvl="1">
      <w:start w:val="1"/>
      <w:numFmt w:val="decimal"/>
      <w:suff w:val="space"/>
      <w:lvlText w:val="%1.%2"/>
      <w:lvlJc w:val="left"/>
      <w:pPr>
        <w:ind w:firstLine="851"/>
      </w:pPr>
      <w:rPr>
        <w:rFonts w:cs="Times New Roman" w:hint="default"/>
      </w:rPr>
    </w:lvl>
    <w:lvl w:ilvl="2">
      <w:start w:val="1"/>
      <w:numFmt w:val="decimal"/>
      <w:suff w:val="space"/>
      <w:lvlText w:val="%1.%2.%3"/>
      <w:lvlJc w:val="left"/>
      <w:pPr>
        <w:ind w:firstLine="357"/>
      </w:pPr>
      <w:rPr>
        <w:rFonts w:ascii="Times New Roman" w:hAnsi="Times New Roman" w:cs="Times New Roman" w:hint="default"/>
        <w:b w:val="0"/>
        <w:i w:val="0"/>
        <w:sz w:val="24"/>
      </w:rPr>
    </w:lvl>
    <w:lvl w:ilvl="3">
      <w:start w:val="1"/>
      <w:numFmt w:val="decimal"/>
      <w:suff w:val="space"/>
      <w:lvlText w:val="%1.%2.%3.%4"/>
      <w:lvlJc w:val="left"/>
      <w:pPr>
        <w:ind w:firstLine="357"/>
      </w:pPr>
      <w:rPr>
        <w:rFonts w:cs="Times New Roman" w:hint="default"/>
      </w:rPr>
    </w:lvl>
    <w:lvl w:ilvl="4">
      <w:start w:val="1"/>
      <w:numFmt w:val="decimal"/>
      <w:suff w:val="space"/>
      <w:lvlText w:val="%1.%2.%3.%4.%5"/>
      <w:lvlJc w:val="left"/>
      <w:pPr>
        <w:ind w:firstLine="357"/>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41">
    <w:nsid w:val="3C5120D3"/>
    <w:multiLevelType w:val="hybridMultilevel"/>
    <w:tmpl w:val="FEA6D924"/>
    <w:lvl w:ilvl="0" w:tplc="85800768">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1B73952"/>
    <w:multiLevelType w:val="hybridMultilevel"/>
    <w:tmpl w:val="909299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3600716"/>
    <w:multiLevelType w:val="multilevel"/>
    <w:tmpl w:val="0BDC60CA"/>
    <w:lvl w:ilvl="0">
      <w:start w:val="1"/>
      <w:numFmt w:val="decimal"/>
      <w:lvlText w:val="%1."/>
      <w:lvlJc w:val="left"/>
      <w:pPr>
        <w:ind w:left="360" w:hanging="360"/>
      </w:pPr>
    </w:lvl>
    <w:lvl w:ilvl="1">
      <w:start w:val="1"/>
      <w:numFmt w:val="decimal"/>
      <w:pStyle w:val="20"/>
      <w:lvlText w:val="%1.%2."/>
      <w:lvlJc w:val="left"/>
      <w:pPr>
        <w:ind w:left="792" w:hanging="432"/>
      </w:pPr>
      <w:rPr>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436C5807"/>
    <w:multiLevelType w:val="hybridMultilevel"/>
    <w:tmpl w:val="A484D406"/>
    <w:lvl w:ilvl="0" w:tplc="04190005">
      <w:start w:val="1"/>
      <w:numFmt w:val="bullet"/>
      <w:lvlText w:val=""/>
      <w:lvlJc w:val="left"/>
      <w:pPr>
        <w:ind w:left="777" w:hanging="360"/>
      </w:pPr>
      <w:rPr>
        <w:rFonts w:ascii="Wingdings" w:hAnsi="Wingding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5">
    <w:nsid w:val="44970948"/>
    <w:multiLevelType w:val="hybridMultilevel"/>
    <w:tmpl w:val="41907CD2"/>
    <w:lvl w:ilvl="0" w:tplc="2C6A5390">
      <w:start w:val="1"/>
      <w:numFmt w:val="decimal"/>
      <w:lvlText w:val="%1"/>
      <w:lvlJc w:val="left"/>
      <w:pPr>
        <w:tabs>
          <w:tab w:val="num" w:pos="360"/>
        </w:tabs>
        <w:ind w:left="227" w:hanging="227"/>
      </w:pPr>
      <w:rPr>
        <w:rFonts w:ascii="Times New Roman" w:hAnsi="Times New Roman" w:cs="Times New Roman"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6">
    <w:nsid w:val="44C92791"/>
    <w:multiLevelType w:val="hybridMultilevel"/>
    <w:tmpl w:val="69B260C4"/>
    <w:lvl w:ilvl="0" w:tplc="CB9CACAA">
      <w:start w:val="1"/>
      <w:numFmt w:val="decimal"/>
      <w:lvlText w:val="3.%1."/>
      <w:lvlJc w:val="left"/>
      <w:pPr>
        <w:ind w:left="720" w:hanging="360"/>
      </w:pPr>
      <w:rPr>
        <w:rFonts w:ascii="Times New Roman" w:hAnsi="Times New Roman" w:cs="Times New Roman" w:hint="default"/>
        <w:b w:val="0"/>
        <w:bCs w:val="0"/>
        <w:i w:val="0"/>
        <w:iCs w:val="0"/>
        <w:caps w:val="0"/>
        <w:strike w:val="0"/>
        <w:dstrike w:val="0"/>
        <w:vanish w:val="0"/>
        <w:color w:val="00000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4F82987"/>
    <w:multiLevelType w:val="hybridMultilevel"/>
    <w:tmpl w:val="BDAC0C8E"/>
    <w:lvl w:ilvl="0" w:tplc="04190005">
      <w:start w:val="1"/>
      <w:numFmt w:val="bullet"/>
      <w:lvlText w:val=""/>
      <w:lvlJc w:val="left"/>
      <w:pPr>
        <w:ind w:left="1100" w:hanging="360"/>
      </w:pPr>
      <w:rPr>
        <w:rFonts w:ascii="Wingdings" w:hAnsi="Wingdings"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48">
    <w:nsid w:val="450F0E50"/>
    <w:multiLevelType w:val="hybridMultilevel"/>
    <w:tmpl w:val="AA2C0F4E"/>
    <w:lvl w:ilvl="0" w:tplc="DBE8DE06">
      <w:start w:val="1"/>
      <w:numFmt w:val="bullet"/>
      <w:lvlText w:val=""/>
      <w:lvlJc w:val="left"/>
      <w:pPr>
        <w:ind w:left="777" w:hanging="360"/>
      </w:pPr>
      <w:rPr>
        <w:rFonts w:ascii="Wingdings" w:hAnsi="Wingdings" w:cs="Courier New" w:hint="default"/>
        <w:b w:val="0"/>
        <w:caps/>
        <w:color w:val="000000"/>
        <w:sz w:val="20"/>
        <w:szCs w:val="20"/>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9">
    <w:nsid w:val="462839F5"/>
    <w:multiLevelType w:val="hybridMultilevel"/>
    <w:tmpl w:val="3948D8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4CEB186E"/>
    <w:multiLevelType w:val="multilevel"/>
    <w:tmpl w:val="5AC846CE"/>
    <w:lvl w:ilvl="0">
      <w:start w:val="1"/>
      <w:numFmt w:val="decimal"/>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4.1.%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nsid w:val="4EB66501"/>
    <w:multiLevelType w:val="hybridMultilevel"/>
    <w:tmpl w:val="4F84035A"/>
    <w:lvl w:ilvl="0" w:tplc="DC427B00">
      <w:start w:val="1"/>
      <w:numFmt w:val="bullet"/>
      <w:lvlText w:val=""/>
      <w:lvlJc w:val="left"/>
      <w:pPr>
        <w:ind w:left="1509" w:hanging="360"/>
      </w:pPr>
      <w:rPr>
        <w:rFonts w:ascii="Wingdings" w:hAnsi="Wingdings" w:hint="default"/>
        <w:color w:val="auto"/>
        <w:sz w:val="24"/>
        <w:szCs w:val="24"/>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52">
    <w:nsid w:val="4F95401E"/>
    <w:multiLevelType w:val="hybridMultilevel"/>
    <w:tmpl w:val="E3D2B5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073086C"/>
    <w:multiLevelType w:val="hybridMultilevel"/>
    <w:tmpl w:val="D0AACAE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399663D"/>
    <w:multiLevelType w:val="hybridMultilevel"/>
    <w:tmpl w:val="DC44AE54"/>
    <w:lvl w:ilvl="0" w:tplc="DC427B00">
      <w:start w:val="1"/>
      <w:numFmt w:val="bullet"/>
      <w:lvlText w:val=""/>
      <w:lvlJc w:val="left"/>
      <w:pPr>
        <w:ind w:left="720" w:hanging="360"/>
      </w:pPr>
      <w:rPr>
        <w:rFonts w:ascii="Wingdings" w:hAnsi="Wingdings" w:hint="default"/>
        <w:color w:val="auto"/>
        <w:sz w:val="24"/>
        <w:szCs w:val="24"/>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nsid w:val="53CC0848"/>
    <w:multiLevelType w:val="hybridMultilevel"/>
    <w:tmpl w:val="BA18D93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4464121"/>
    <w:multiLevelType w:val="hybridMultilevel"/>
    <w:tmpl w:val="8DE651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574F43DB"/>
    <w:multiLevelType w:val="hybridMultilevel"/>
    <w:tmpl w:val="D00254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57730FE1"/>
    <w:multiLevelType w:val="hybridMultilevel"/>
    <w:tmpl w:val="CB7CF130"/>
    <w:lvl w:ilvl="0" w:tplc="7594456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85D1D5D"/>
    <w:multiLevelType w:val="multilevel"/>
    <w:tmpl w:val="385ED974"/>
    <w:lvl w:ilvl="0">
      <w:start w:val="1"/>
      <w:numFmt w:val="decimal"/>
      <w:pStyle w:val="S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nsid w:val="5D1D6DE8"/>
    <w:multiLevelType w:val="hybridMultilevel"/>
    <w:tmpl w:val="1D28F438"/>
    <w:lvl w:ilvl="0" w:tplc="AFBC3B36">
      <w:start w:val="1"/>
      <w:numFmt w:val="bullet"/>
      <w:lvlText w:val=""/>
      <w:lvlJc w:val="left"/>
      <w:pPr>
        <w:ind w:left="1429" w:hanging="360"/>
      </w:pPr>
      <w:rPr>
        <w:rFonts w:ascii="Wingdings" w:hAnsi="Wingdings"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602D633F"/>
    <w:multiLevelType w:val="multilevel"/>
    <w:tmpl w:val="9CA28AA2"/>
    <w:lvl w:ilvl="0">
      <w:start w:val="7"/>
      <w:numFmt w:val="decimal"/>
      <w:suff w:val="space"/>
      <w:lvlText w:val="%1"/>
      <w:lvlJc w:val="left"/>
      <w:pPr>
        <w:ind w:left="360" w:hanging="3"/>
      </w:pPr>
      <w:rPr>
        <w:rFonts w:cs="Times New Roman" w:hint="default"/>
      </w:rPr>
    </w:lvl>
    <w:lvl w:ilvl="1">
      <w:start w:val="2"/>
      <w:numFmt w:val="decimal"/>
      <w:suff w:val="space"/>
      <w:lvlText w:val="%1.%2"/>
      <w:lvlJc w:val="left"/>
      <w:pPr>
        <w:ind w:firstLine="357"/>
      </w:pPr>
      <w:rPr>
        <w:rFonts w:cs="Times New Roman" w:hint="default"/>
      </w:rPr>
    </w:lvl>
    <w:lvl w:ilvl="2">
      <w:start w:val="1"/>
      <w:numFmt w:val="decimal"/>
      <w:lvlRestart w:val="0"/>
      <w:pStyle w:val="a"/>
      <w:suff w:val="space"/>
      <w:lvlText w:val="8.%2.%3"/>
      <w:lvlJc w:val="left"/>
      <w:pPr>
        <w:ind w:left="69" w:firstLine="357"/>
      </w:pPr>
      <w:rPr>
        <w:rFonts w:ascii="Times New Roman" w:hAnsi="Times New Roman" w:cs="Times New Roman" w:hint="default"/>
        <w:b w:val="0"/>
        <w:i w:val="0"/>
        <w:sz w:val="24"/>
      </w:rPr>
    </w:lvl>
    <w:lvl w:ilvl="3">
      <w:start w:val="1"/>
      <w:numFmt w:val="decimal"/>
      <w:suff w:val="space"/>
      <w:lvlText w:val="%1.%2.%3.%4"/>
      <w:lvlJc w:val="left"/>
      <w:pPr>
        <w:ind w:firstLine="357"/>
      </w:pPr>
      <w:rPr>
        <w:rFonts w:cs="Times New Roman" w:hint="default"/>
        <w:b w:val="0"/>
        <w:i w:val="0"/>
      </w:rPr>
    </w:lvl>
    <w:lvl w:ilvl="4">
      <w:start w:val="1"/>
      <w:numFmt w:val="decimal"/>
      <w:suff w:val="space"/>
      <w:lvlText w:val="%1.%2.%3.%4.%5"/>
      <w:lvlJc w:val="left"/>
      <w:pPr>
        <w:ind w:firstLine="357"/>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2">
    <w:nsid w:val="60B83BAD"/>
    <w:multiLevelType w:val="hybridMultilevel"/>
    <w:tmpl w:val="05A84A3C"/>
    <w:lvl w:ilvl="0" w:tplc="6ADAA4B2">
      <w:start w:val="1"/>
      <w:numFmt w:val="bullet"/>
      <w:pStyle w:val="21"/>
      <w:lvlText w:val=""/>
      <w:lvlJc w:val="left"/>
      <w:pPr>
        <w:tabs>
          <w:tab w:val="num" w:pos="1191"/>
        </w:tabs>
        <w:ind w:left="1191" w:hanging="340"/>
      </w:pPr>
      <w:rPr>
        <w:rFonts w:ascii="Symbol" w:hAnsi="Symbol" w:hint="default"/>
      </w:rPr>
    </w:lvl>
    <w:lvl w:ilvl="1" w:tplc="CCFED4C6">
      <w:start w:val="1"/>
      <w:numFmt w:val="bullet"/>
      <w:lvlText w:val="o"/>
      <w:lvlJc w:val="left"/>
      <w:pPr>
        <w:tabs>
          <w:tab w:val="num" w:pos="1440"/>
        </w:tabs>
        <w:ind w:left="1440" w:hanging="360"/>
      </w:pPr>
      <w:rPr>
        <w:rFonts w:ascii="Courier New" w:hAnsi="Courier New" w:hint="default"/>
      </w:rPr>
    </w:lvl>
    <w:lvl w:ilvl="2" w:tplc="577E0DDC">
      <w:start w:val="1"/>
      <w:numFmt w:val="bullet"/>
      <w:lvlText w:val=""/>
      <w:lvlJc w:val="left"/>
      <w:pPr>
        <w:tabs>
          <w:tab w:val="num" w:pos="2160"/>
        </w:tabs>
        <w:ind w:left="2160" w:hanging="360"/>
      </w:pPr>
      <w:rPr>
        <w:rFonts w:ascii="Wingdings" w:hAnsi="Wingdings" w:hint="default"/>
      </w:rPr>
    </w:lvl>
    <w:lvl w:ilvl="3" w:tplc="2ED63214">
      <w:start w:val="1"/>
      <w:numFmt w:val="bullet"/>
      <w:lvlText w:val=""/>
      <w:lvlJc w:val="left"/>
      <w:pPr>
        <w:tabs>
          <w:tab w:val="num" w:pos="2880"/>
        </w:tabs>
        <w:ind w:left="2880" w:hanging="360"/>
      </w:pPr>
      <w:rPr>
        <w:rFonts w:ascii="Symbol" w:hAnsi="Symbol" w:hint="default"/>
      </w:rPr>
    </w:lvl>
    <w:lvl w:ilvl="4" w:tplc="9FB6B506" w:tentative="1">
      <w:start w:val="1"/>
      <w:numFmt w:val="bullet"/>
      <w:lvlText w:val="o"/>
      <w:lvlJc w:val="left"/>
      <w:pPr>
        <w:tabs>
          <w:tab w:val="num" w:pos="3600"/>
        </w:tabs>
        <w:ind w:left="3600" w:hanging="360"/>
      </w:pPr>
      <w:rPr>
        <w:rFonts w:ascii="Courier New" w:hAnsi="Courier New" w:hint="default"/>
      </w:rPr>
    </w:lvl>
    <w:lvl w:ilvl="5" w:tplc="36AE0954" w:tentative="1">
      <w:start w:val="1"/>
      <w:numFmt w:val="bullet"/>
      <w:lvlText w:val=""/>
      <w:lvlJc w:val="left"/>
      <w:pPr>
        <w:tabs>
          <w:tab w:val="num" w:pos="4320"/>
        </w:tabs>
        <w:ind w:left="4320" w:hanging="360"/>
      </w:pPr>
      <w:rPr>
        <w:rFonts w:ascii="Wingdings" w:hAnsi="Wingdings" w:hint="default"/>
      </w:rPr>
    </w:lvl>
    <w:lvl w:ilvl="6" w:tplc="3A868994" w:tentative="1">
      <w:start w:val="1"/>
      <w:numFmt w:val="bullet"/>
      <w:lvlText w:val=""/>
      <w:lvlJc w:val="left"/>
      <w:pPr>
        <w:tabs>
          <w:tab w:val="num" w:pos="5040"/>
        </w:tabs>
        <w:ind w:left="5040" w:hanging="360"/>
      </w:pPr>
      <w:rPr>
        <w:rFonts w:ascii="Symbol" w:hAnsi="Symbol" w:hint="default"/>
      </w:rPr>
    </w:lvl>
    <w:lvl w:ilvl="7" w:tplc="8C1A4FA4" w:tentative="1">
      <w:start w:val="1"/>
      <w:numFmt w:val="bullet"/>
      <w:lvlText w:val="o"/>
      <w:lvlJc w:val="left"/>
      <w:pPr>
        <w:tabs>
          <w:tab w:val="num" w:pos="5760"/>
        </w:tabs>
        <w:ind w:left="5760" w:hanging="360"/>
      </w:pPr>
      <w:rPr>
        <w:rFonts w:ascii="Courier New" w:hAnsi="Courier New" w:hint="default"/>
      </w:rPr>
    </w:lvl>
    <w:lvl w:ilvl="8" w:tplc="B92C671C" w:tentative="1">
      <w:start w:val="1"/>
      <w:numFmt w:val="bullet"/>
      <w:lvlText w:val=""/>
      <w:lvlJc w:val="left"/>
      <w:pPr>
        <w:tabs>
          <w:tab w:val="num" w:pos="6480"/>
        </w:tabs>
        <w:ind w:left="6480" w:hanging="360"/>
      </w:pPr>
      <w:rPr>
        <w:rFonts w:ascii="Wingdings" w:hAnsi="Wingdings" w:hint="default"/>
      </w:rPr>
    </w:lvl>
  </w:abstractNum>
  <w:abstractNum w:abstractNumId="63">
    <w:nsid w:val="638773C1"/>
    <w:multiLevelType w:val="hybridMultilevel"/>
    <w:tmpl w:val="E446CFEC"/>
    <w:lvl w:ilvl="0" w:tplc="04190005">
      <w:start w:val="1"/>
      <w:numFmt w:val="bullet"/>
      <w:lvlText w:val=""/>
      <w:lvlJc w:val="left"/>
      <w:pPr>
        <w:ind w:left="845" w:hanging="360"/>
      </w:pPr>
      <w:rPr>
        <w:rFonts w:ascii="Wingdings" w:hAnsi="Wingdings" w:hint="default"/>
      </w:rPr>
    </w:lvl>
    <w:lvl w:ilvl="1" w:tplc="04190003" w:tentative="1">
      <w:start w:val="1"/>
      <w:numFmt w:val="bullet"/>
      <w:lvlText w:val="o"/>
      <w:lvlJc w:val="left"/>
      <w:pPr>
        <w:ind w:left="1565" w:hanging="360"/>
      </w:pPr>
      <w:rPr>
        <w:rFonts w:ascii="Courier New" w:hAnsi="Courier New" w:cs="Courier New" w:hint="default"/>
      </w:rPr>
    </w:lvl>
    <w:lvl w:ilvl="2" w:tplc="04190005" w:tentative="1">
      <w:start w:val="1"/>
      <w:numFmt w:val="bullet"/>
      <w:lvlText w:val=""/>
      <w:lvlJc w:val="left"/>
      <w:pPr>
        <w:ind w:left="2285" w:hanging="360"/>
      </w:pPr>
      <w:rPr>
        <w:rFonts w:ascii="Wingdings" w:hAnsi="Wingdings" w:hint="default"/>
      </w:rPr>
    </w:lvl>
    <w:lvl w:ilvl="3" w:tplc="04190001" w:tentative="1">
      <w:start w:val="1"/>
      <w:numFmt w:val="bullet"/>
      <w:lvlText w:val=""/>
      <w:lvlJc w:val="left"/>
      <w:pPr>
        <w:ind w:left="3005" w:hanging="360"/>
      </w:pPr>
      <w:rPr>
        <w:rFonts w:ascii="Symbol" w:hAnsi="Symbol" w:hint="default"/>
      </w:rPr>
    </w:lvl>
    <w:lvl w:ilvl="4" w:tplc="04190003" w:tentative="1">
      <w:start w:val="1"/>
      <w:numFmt w:val="bullet"/>
      <w:lvlText w:val="o"/>
      <w:lvlJc w:val="left"/>
      <w:pPr>
        <w:ind w:left="3725" w:hanging="360"/>
      </w:pPr>
      <w:rPr>
        <w:rFonts w:ascii="Courier New" w:hAnsi="Courier New" w:cs="Courier New" w:hint="default"/>
      </w:rPr>
    </w:lvl>
    <w:lvl w:ilvl="5" w:tplc="04190005" w:tentative="1">
      <w:start w:val="1"/>
      <w:numFmt w:val="bullet"/>
      <w:lvlText w:val=""/>
      <w:lvlJc w:val="left"/>
      <w:pPr>
        <w:ind w:left="4445" w:hanging="360"/>
      </w:pPr>
      <w:rPr>
        <w:rFonts w:ascii="Wingdings" w:hAnsi="Wingdings" w:hint="default"/>
      </w:rPr>
    </w:lvl>
    <w:lvl w:ilvl="6" w:tplc="04190001" w:tentative="1">
      <w:start w:val="1"/>
      <w:numFmt w:val="bullet"/>
      <w:lvlText w:val=""/>
      <w:lvlJc w:val="left"/>
      <w:pPr>
        <w:ind w:left="5165" w:hanging="360"/>
      </w:pPr>
      <w:rPr>
        <w:rFonts w:ascii="Symbol" w:hAnsi="Symbol" w:hint="default"/>
      </w:rPr>
    </w:lvl>
    <w:lvl w:ilvl="7" w:tplc="04190003" w:tentative="1">
      <w:start w:val="1"/>
      <w:numFmt w:val="bullet"/>
      <w:lvlText w:val="o"/>
      <w:lvlJc w:val="left"/>
      <w:pPr>
        <w:ind w:left="5885" w:hanging="360"/>
      </w:pPr>
      <w:rPr>
        <w:rFonts w:ascii="Courier New" w:hAnsi="Courier New" w:cs="Courier New" w:hint="default"/>
      </w:rPr>
    </w:lvl>
    <w:lvl w:ilvl="8" w:tplc="04190005" w:tentative="1">
      <w:start w:val="1"/>
      <w:numFmt w:val="bullet"/>
      <w:lvlText w:val=""/>
      <w:lvlJc w:val="left"/>
      <w:pPr>
        <w:ind w:left="6605" w:hanging="360"/>
      </w:pPr>
      <w:rPr>
        <w:rFonts w:ascii="Wingdings" w:hAnsi="Wingdings" w:hint="default"/>
      </w:rPr>
    </w:lvl>
  </w:abstractNum>
  <w:abstractNum w:abstractNumId="64">
    <w:nsid w:val="647C2805"/>
    <w:multiLevelType w:val="hybridMultilevel"/>
    <w:tmpl w:val="156885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4B55070"/>
    <w:multiLevelType w:val="hybridMultilevel"/>
    <w:tmpl w:val="3746F32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65233090"/>
    <w:multiLevelType w:val="hybridMultilevel"/>
    <w:tmpl w:val="950EE84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68">
    <w:nsid w:val="66EA7EE8"/>
    <w:multiLevelType w:val="multilevel"/>
    <w:tmpl w:val="0B0C3C46"/>
    <w:lvl w:ilvl="0">
      <w:start w:val="1"/>
      <w:numFmt w:val="decimal"/>
      <w:lvlText w:val="%1."/>
      <w:lvlJc w:val="left"/>
      <w:pPr>
        <w:ind w:left="720" w:hanging="360"/>
      </w:pPr>
      <w:rPr>
        <w:b/>
        <w:sz w:val="24"/>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nsid w:val="6732248C"/>
    <w:multiLevelType w:val="hybridMultilevel"/>
    <w:tmpl w:val="9C62EB3E"/>
    <w:lvl w:ilvl="0" w:tplc="04190005">
      <w:start w:val="1"/>
      <w:numFmt w:val="bullet"/>
      <w:lvlText w:val=""/>
      <w:lvlJc w:val="left"/>
      <w:pPr>
        <w:ind w:left="786"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0">
    <w:nsid w:val="695F2423"/>
    <w:multiLevelType w:val="hybridMultilevel"/>
    <w:tmpl w:val="0994BD7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6ACC5184"/>
    <w:multiLevelType w:val="hybridMultilevel"/>
    <w:tmpl w:val="DD58FA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C9A19A0"/>
    <w:multiLevelType w:val="hybridMultilevel"/>
    <w:tmpl w:val="820CAFD2"/>
    <w:lvl w:ilvl="0" w:tplc="04190005">
      <w:start w:val="1"/>
      <w:numFmt w:val="bullet"/>
      <w:lvlText w:val=""/>
      <w:lvlJc w:val="left"/>
      <w:pPr>
        <w:ind w:left="827" w:hanging="360"/>
      </w:pPr>
      <w:rPr>
        <w:rFonts w:ascii="Wingdings" w:hAnsi="Wingdings" w:hint="default"/>
      </w:rPr>
    </w:lvl>
    <w:lvl w:ilvl="1" w:tplc="04190003" w:tentative="1">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73">
    <w:nsid w:val="6D621C91"/>
    <w:multiLevelType w:val="multilevel"/>
    <w:tmpl w:val="F9FCED94"/>
    <w:lvl w:ilvl="0">
      <w:start w:val="1"/>
      <w:numFmt w:val="bullet"/>
      <w:pStyle w:val="lists"/>
      <w:lvlText w:val=""/>
      <w:lvlJc w:val="left"/>
      <w:pPr>
        <w:tabs>
          <w:tab w:val="num" w:pos="851"/>
        </w:tabs>
        <w:ind w:left="851" w:hanging="567"/>
      </w:pPr>
      <w:rPr>
        <w:rFonts w:ascii="Wingdings" w:hAnsi="Wingdings" w:hint="default"/>
        <w:color w:val="auto"/>
      </w:rPr>
    </w:lvl>
    <w:lvl w:ilvl="1">
      <w:start w:val="1"/>
      <w:numFmt w:val="bullet"/>
      <w:pStyle w:val="listsn"/>
      <w:lvlText w:val=""/>
      <w:lvlJc w:val="left"/>
      <w:pPr>
        <w:tabs>
          <w:tab w:val="num" w:pos="1134"/>
        </w:tabs>
        <w:ind w:left="1134" w:hanging="567"/>
      </w:pPr>
      <w:rPr>
        <w:rFonts w:ascii="Symbol" w:hAnsi="Symbol" w:hint="default"/>
        <w:color w:val="auto"/>
      </w:rPr>
    </w:lvl>
    <w:lvl w:ilvl="2">
      <w:start w:val="1"/>
      <w:numFmt w:val="bullet"/>
      <w:pStyle w:val="listsnn"/>
      <w:lvlText w:val="○"/>
      <w:lvlJc w:val="left"/>
      <w:pPr>
        <w:tabs>
          <w:tab w:val="num" w:pos="1418"/>
        </w:tabs>
        <w:ind w:left="1418" w:hanging="567"/>
      </w:pPr>
      <w:rPr>
        <w:rFonts w:ascii="Arial" w:hAnsi="Arial" w:hint="default"/>
      </w:rPr>
    </w:lvl>
    <w:lvl w:ilvl="3">
      <w:start w:val="1"/>
      <w:numFmt w:val="bullet"/>
      <w:pStyle w:val="listsnnn"/>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74">
    <w:nsid w:val="6FF72F3E"/>
    <w:multiLevelType w:val="multilevel"/>
    <w:tmpl w:val="EBE42E4A"/>
    <w:lvl w:ilvl="0">
      <w:start w:val="7"/>
      <w:numFmt w:val="decimal"/>
      <w:lvlText w:val="%1"/>
      <w:lvlJc w:val="left"/>
      <w:pPr>
        <w:ind w:left="1164" w:hanging="423"/>
      </w:pPr>
      <w:rPr>
        <w:rFonts w:hint="default"/>
      </w:rPr>
    </w:lvl>
    <w:lvl w:ilvl="1">
      <w:start w:val="9"/>
      <w:numFmt w:val="decimal"/>
      <w:lvlText w:val="%1.%2"/>
      <w:lvlJc w:val="left"/>
      <w:pPr>
        <w:ind w:left="1164" w:hanging="423"/>
        <w:jc w:val="right"/>
      </w:pPr>
      <w:rPr>
        <w:rFonts w:ascii="Times New Roman" w:eastAsia="Times New Roman" w:hAnsi="Times New Roman" w:hint="default"/>
        <w:b/>
        <w:bCs/>
        <w:sz w:val="28"/>
        <w:szCs w:val="28"/>
      </w:rPr>
    </w:lvl>
    <w:lvl w:ilvl="2">
      <w:start w:val="1"/>
      <w:numFmt w:val="decimal"/>
      <w:lvlText w:val="%1.%2.%3"/>
      <w:lvlJc w:val="left"/>
      <w:pPr>
        <w:ind w:left="1373" w:hanging="631"/>
        <w:jc w:val="right"/>
      </w:pPr>
      <w:rPr>
        <w:rFonts w:ascii="Times New Roman" w:eastAsia="Times New Roman" w:hAnsi="Times New Roman" w:hint="default"/>
        <w:sz w:val="28"/>
        <w:szCs w:val="28"/>
      </w:rPr>
    </w:lvl>
    <w:lvl w:ilvl="3">
      <w:start w:val="1"/>
      <w:numFmt w:val="bullet"/>
      <w:lvlText w:val=""/>
      <w:lvlJc w:val="left"/>
      <w:pPr>
        <w:ind w:left="118" w:hanging="286"/>
      </w:pPr>
      <w:rPr>
        <w:rFonts w:ascii="Wingdings" w:hAnsi="Wingdings" w:hint="default"/>
        <w:sz w:val="24"/>
        <w:szCs w:val="28"/>
      </w:rPr>
    </w:lvl>
    <w:lvl w:ilvl="4">
      <w:start w:val="1"/>
      <w:numFmt w:val="bullet"/>
      <w:lvlText w:val="•"/>
      <w:lvlJc w:val="left"/>
      <w:pPr>
        <w:ind w:left="2493" w:hanging="286"/>
      </w:pPr>
      <w:rPr>
        <w:rFonts w:hint="default"/>
      </w:rPr>
    </w:lvl>
    <w:lvl w:ilvl="5">
      <w:start w:val="1"/>
      <w:numFmt w:val="bullet"/>
      <w:lvlText w:val="•"/>
      <w:lvlJc w:val="left"/>
      <w:pPr>
        <w:ind w:left="3612" w:hanging="286"/>
      </w:pPr>
      <w:rPr>
        <w:rFonts w:hint="default"/>
      </w:rPr>
    </w:lvl>
    <w:lvl w:ilvl="6">
      <w:start w:val="1"/>
      <w:numFmt w:val="bullet"/>
      <w:lvlText w:val="•"/>
      <w:lvlJc w:val="left"/>
      <w:pPr>
        <w:ind w:left="4732" w:hanging="286"/>
      </w:pPr>
      <w:rPr>
        <w:rFonts w:hint="default"/>
      </w:rPr>
    </w:lvl>
    <w:lvl w:ilvl="7">
      <w:start w:val="1"/>
      <w:numFmt w:val="bullet"/>
      <w:lvlText w:val="•"/>
      <w:lvlJc w:val="left"/>
      <w:pPr>
        <w:ind w:left="5851" w:hanging="286"/>
      </w:pPr>
      <w:rPr>
        <w:rFonts w:hint="default"/>
      </w:rPr>
    </w:lvl>
    <w:lvl w:ilvl="8">
      <w:start w:val="1"/>
      <w:numFmt w:val="bullet"/>
      <w:lvlText w:val="•"/>
      <w:lvlJc w:val="left"/>
      <w:pPr>
        <w:ind w:left="6971" w:hanging="286"/>
      </w:pPr>
      <w:rPr>
        <w:rFonts w:hint="default"/>
      </w:rPr>
    </w:lvl>
  </w:abstractNum>
  <w:abstractNum w:abstractNumId="75">
    <w:nsid w:val="71A9358D"/>
    <w:multiLevelType w:val="hybridMultilevel"/>
    <w:tmpl w:val="1EC4B514"/>
    <w:lvl w:ilvl="0" w:tplc="73C27D68">
      <w:start w:val="1"/>
      <w:numFmt w:val="bullet"/>
      <w:pStyle w:val="11"/>
      <w:lvlText w:val=""/>
      <w:lvlJc w:val="left"/>
      <w:pPr>
        <w:tabs>
          <w:tab w:val="num" w:pos="1440"/>
        </w:tabs>
        <w:ind w:left="1440" w:hanging="360"/>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73600D02"/>
    <w:multiLevelType w:val="hybridMultilevel"/>
    <w:tmpl w:val="BB72A5EC"/>
    <w:lvl w:ilvl="0" w:tplc="DF6CB278">
      <w:start w:val="1"/>
      <w:numFmt w:val="decimal"/>
      <w:lvlText w:val="%1."/>
      <w:lvlJc w:val="left"/>
      <w:pPr>
        <w:tabs>
          <w:tab w:val="num" w:pos="363"/>
        </w:tabs>
        <w:ind w:left="363" w:hanging="363"/>
      </w:pPr>
      <w:rPr>
        <w:rFonts w:ascii="Times New Roman" w:hAnsi="Times New Roman" w:cs="Times New Roman" w:hint="default"/>
        <w:b w:val="0"/>
        <w:i w:val="0"/>
        <w:color w:val="auto"/>
        <w:sz w:val="24"/>
        <w:u w:val="none"/>
      </w:rPr>
    </w:lvl>
    <w:lvl w:ilvl="1" w:tplc="2D324BA8">
      <w:start w:val="1"/>
      <w:numFmt w:val="bullet"/>
      <w:lvlText w:val="o"/>
      <w:lvlJc w:val="left"/>
      <w:pPr>
        <w:tabs>
          <w:tab w:val="num" w:pos="1440"/>
        </w:tabs>
        <w:ind w:left="1440" w:hanging="360"/>
      </w:pPr>
      <w:rPr>
        <w:rFonts w:ascii="Courier New" w:hAnsi="Courier New" w:cs="Courier New" w:hint="default"/>
      </w:rPr>
    </w:lvl>
    <w:lvl w:ilvl="2" w:tplc="C8A4EA58" w:tentative="1">
      <w:start w:val="1"/>
      <w:numFmt w:val="bullet"/>
      <w:lvlText w:val=""/>
      <w:lvlJc w:val="left"/>
      <w:pPr>
        <w:tabs>
          <w:tab w:val="num" w:pos="2160"/>
        </w:tabs>
        <w:ind w:left="2160" w:hanging="360"/>
      </w:pPr>
      <w:rPr>
        <w:rFonts w:ascii="Wingdings" w:hAnsi="Wingdings" w:hint="default"/>
      </w:rPr>
    </w:lvl>
    <w:lvl w:ilvl="3" w:tplc="C57806E8" w:tentative="1">
      <w:start w:val="1"/>
      <w:numFmt w:val="bullet"/>
      <w:lvlText w:val=""/>
      <w:lvlJc w:val="left"/>
      <w:pPr>
        <w:tabs>
          <w:tab w:val="num" w:pos="2880"/>
        </w:tabs>
        <w:ind w:left="2880" w:hanging="360"/>
      </w:pPr>
      <w:rPr>
        <w:rFonts w:ascii="Symbol" w:hAnsi="Symbol" w:hint="default"/>
      </w:rPr>
    </w:lvl>
    <w:lvl w:ilvl="4" w:tplc="3FC24BF2" w:tentative="1">
      <w:start w:val="1"/>
      <w:numFmt w:val="bullet"/>
      <w:lvlText w:val="o"/>
      <w:lvlJc w:val="left"/>
      <w:pPr>
        <w:tabs>
          <w:tab w:val="num" w:pos="3600"/>
        </w:tabs>
        <w:ind w:left="3600" w:hanging="360"/>
      </w:pPr>
      <w:rPr>
        <w:rFonts w:ascii="Courier New" w:hAnsi="Courier New" w:cs="Courier New" w:hint="default"/>
      </w:rPr>
    </w:lvl>
    <w:lvl w:ilvl="5" w:tplc="D2767B0E" w:tentative="1">
      <w:start w:val="1"/>
      <w:numFmt w:val="bullet"/>
      <w:lvlText w:val=""/>
      <w:lvlJc w:val="left"/>
      <w:pPr>
        <w:tabs>
          <w:tab w:val="num" w:pos="4320"/>
        </w:tabs>
        <w:ind w:left="4320" w:hanging="360"/>
      </w:pPr>
      <w:rPr>
        <w:rFonts w:ascii="Wingdings" w:hAnsi="Wingdings" w:hint="default"/>
      </w:rPr>
    </w:lvl>
    <w:lvl w:ilvl="6" w:tplc="349EE7B8" w:tentative="1">
      <w:start w:val="1"/>
      <w:numFmt w:val="bullet"/>
      <w:lvlText w:val=""/>
      <w:lvlJc w:val="left"/>
      <w:pPr>
        <w:tabs>
          <w:tab w:val="num" w:pos="5040"/>
        </w:tabs>
        <w:ind w:left="5040" w:hanging="360"/>
      </w:pPr>
      <w:rPr>
        <w:rFonts w:ascii="Symbol" w:hAnsi="Symbol" w:hint="default"/>
      </w:rPr>
    </w:lvl>
    <w:lvl w:ilvl="7" w:tplc="00F283AE" w:tentative="1">
      <w:start w:val="1"/>
      <w:numFmt w:val="bullet"/>
      <w:lvlText w:val="o"/>
      <w:lvlJc w:val="left"/>
      <w:pPr>
        <w:tabs>
          <w:tab w:val="num" w:pos="5760"/>
        </w:tabs>
        <w:ind w:left="5760" w:hanging="360"/>
      </w:pPr>
      <w:rPr>
        <w:rFonts w:ascii="Courier New" w:hAnsi="Courier New" w:cs="Courier New" w:hint="default"/>
      </w:rPr>
    </w:lvl>
    <w:lvl w:ilvl="8" w:tplc="225478D2" w:tentative="1">
      <w:start w:val="1"/>
      <w:numFmt w:val="bullet"/>
      <w:lvlText w:val=""/>
      <w:lvlJc w:val="left"/>
      <w:pPr>
        <w:tabs>
          <w:tab w:val="num" w:pos="6480"/>
        </w:tabs>
        <w:ind w:left="6480" w:hanging="360"/>
      </w:pPr>
      <w:rPr>
        <w:rFonts w:ascii="Wingdings" w:hAnsi="Wingdings" w:hint="default"/>
      </w:rPr>
    </w:lvl>
  </w:abstractNum>
  <w:abstractNum w:abstractNumId="77">
    <w:nsid w:val="73EF61D5"/>
    <w:multiLevelType w:val="hybridMultilevel"/>
    <w:tmpl w:val="C63ED7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747B70B0"/>
    <w:multiLevelType w:val="multilevel"/>
    <w:tmpl w:val="A86EF9E2"/>
    <w:styleLink w:val="12"/>
    <w:lvl w:ilvl="0">
      <w:start w:val="1"/>
      <w:numFmt w:val="decimal"/>
      <w:lvlText w:val="%1."/>
      <w:lvlJc w:val="left"/>
      <w:pPr>
        <w:ind w:left="360" w:hanging="360"/>
      </w:pPr>
      <w:rPr>
        <w:rFonts w:hint="default"/>
      </w:rPr>
    </w:lvl>
    <w:lvl w:ilvl="1">
      <w:start w:val="1"/>
      <w:numFmt w:val="decimal"/>
      <w:lvlText w:val="%1.%2"/>
      <w:lvlJc w:val="left"/>
      <w:pPr>
        <w:ind w:left="383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nsid w:val="7484353D"/>
    <w:multiLevelType w:val="hybridMultilevel"/>
    <w:tmpl w:val="6DDE7ADE"/>
    <w:lvl w:ilvl="0" w:tplc="49BAD72A">
      <w:start w:val="1"/>
      <w:numFmt w:val="decimal"/>
      <w:lvlText w:val="1.%1."/>
      <w:lvlJc w:val="left"/>
      <w:pPr>
        <w:ind w:left="720" w:hanging="36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6072FD8"/>
    <w:multiLevelType w:val="hybridMultilevel"/>
    <w:tmpl w:val="7DC2FCE8"/>
    <w:lvl w:ilvl="0" w:tplc="04190005">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81">
    <w:nsid w:val="763D58D7"/>
    <w:multiLevelType w:val="multilevel"/>
    <w:tmpl w:val="7ED675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2">
    <w:nsid w:val="7E560384"/>
    <w:multiLevelType w:val="multilevel"/>
    <w:tmpl w:val="EF2AC986"/>
    <w:lvl w:ilvl="0">
      <w:start w:val="1"/>
      <w:numFmt w:val="decimal"/>
      <w:pStyle w:val="S10"/>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40"/>
  </w:num>
  <w:num w:numId="2">
    <w:abstractNumId w:val="61"/>
  </w:num>
  <w:num w:numId="3">
    <w:abstractNumId w:val="75"/>
  </w:num>
  <w:num w:numId="4">
    <w:abstractNumId w:val="73"/>
  </w:num>
  <w:num w:numId="5">
    <w:abstractNumId w:val="82"/>
  </w:num>
  <w:num w:numId="6">
    <w:abstractNumId w:val="50"/>
  </w:num>
  <w:num w:numId="7">
    <w:abstractNumId w:val="59"/>
  </w:num>
  <w:num w:numId="8">
    <w:abstractNumId w:val="6"/>
  </w:num>
  <w:num w:numId="9">
    <w:abstractNumId w:val="32"/>
  </w:num>
  <w:num w:numId="10">
    <w:abstractNumId w:val="67"/>
  </w:num>
  <w:num w:numId="11">
    <w:abstractNumId w:val="30"/>
  </w:num>
  <w:num w:numId="12">
    <w:abstractNumId w:val="58"/>
  </w:num>
  <w:num w:numId="13">
    <w:abstractNumId w:val="43"/>
  </w:num>
  <w:num w:numId="14">
    <w:abstractNumId w:val="19"/>
  </w:num>
  <w:num w:numId="15">
    <w:abstractNumId w:val="62"/>
  </w:num>
  <w:num w:numId="16">
    <w:abstractNumId w:val="27"/>
  </w:num>
  <w:num w:numId="17">
    <w:abstractNumId w:val="9"/>
  </w:num>
  <w:num w:numId="18">
    <w:abstractNumId w:val="10"/>
  </w:num>
  <w:num w:numId="19">
    <w:abstractNumId w:val="63"/>
  </w:num>
  <w:num w:numId="20">
    <w:abstractNumId w:val="36"/>
  </w:num>
  <w:num w:numId="21">
    <w:abstractNumId w:val="77"/>
  </w:num>
  <w:num w:numId="22">
    <w:abstractNumId w:val="39"/>
  </w:num>
  <w:num w:numId="23">
    <w:abstractNumId w:val="45"/>
  </w:num>
  <w:num w:numId="24">
    <w:abstractNumId w:val="23"/>
  </w:num>
  <w:num w:numId="25">
    <w:abstractNumId w:val="74"/>
  </w:num>
  <w:num w:numId="26">
    <w:abstractNumId w:val="7"/>
  </w:num>
  <w:num w:numId="27">
    <w:abstractNumId w:val="54"/>
  </w:num>
  <w:num w:numId="28">
    <w:abstractNumId w:val="42"/>
  </w:num>
  <w:num w:numId="29">
    <w:abstractNumId w:val="65"/>
  </w:num>
  <w:num w:numId="30">
    <w:abstractNumId w:val="13"/>
  </w:num>
  <w:num w:numId="31">
    <w:abstractNumId w:val="34"/>
  </w:num>
  <w:num w:numId="32">
    <w:abstractNumId w:val="14"/>
  </w:num>
  <w:num w:numId="33">
    <w:abstractNumId w:val="71"/>
  </w:num>
  <w:num w:numId="34">
    <w:abstractNumId w:val="70"/>
  </w:num>
  <w:num w:numId="35">
    <w:abstractNumId w:val="18"/>
  </w:num>
  <w:num w:numId="36">
    <w:abstractNumId w:val="7"/>
    <w:lvlOverride w:ilvl="0">
      <w:startOverride w:val="4"/>
    </w:lvlOverride>
    <w:lvlOverride w:ilvl="1">
      <w:startOverride w:val="1"/>
    </w:lvlOverride>
  </w:num>
  <w:num w:numId="37">
    <w:abstractNumId w:val="69"/>
  </w:num>
  <w:num w:numId="38">
    <w:abstractNumId w:val="31"/>
  </w:num>
  <w:num w:numId="39">
    <w:abstractNumId w:val="16"/>
  </w:num>
  <w:num w:numId="40">
    <w:abstractNumId w:val="68"/>
  </w:num>
  <w:num w:numId="41">
    <w:abstractNumId w:val="35"/>
  </w:num>
  <w:num w:numId="42">
    <w:abstractNumId w:val="52"/>
  </w:num>
  <w:num w:numId="43">
    <w:abstractNumId w:val="17"/>
  </w:num>
  <w:num w:numId="44">
    <w:abstractNumId w:val="41"/>
  </w:num>
  <w:num w:numId="45">
    <w:abstractNumId w:val="21"/>
  </w:num>
  <w:num w:numId="46">
    <w:abstractNumId w:val="15"/>
  </w:num>
  <w:num w:numId="47">
    <w:abstractNumId w:val="76"/>
  </w:num>
  <w:num w:numId="48">
    <w:abstractNumId w:val="22"/>
  </w:num>
  <w:num w:numId="49">
    <w:abstractNumId w:val="78"/>
  </w:num>
  <w:num w:numId="50">
    <w:abstractNumId w:val="12"/>
  </w:num>
  <w:num w:numId="51">
    <w:abstractNumId w:val="72"/>
  </w:num>
  <w:num w:numId="52">
    <w:abstractNumId w:val="48"/>
  </w:num>
  <w:num w:numId="53">
    <w:abstractNumId w:val="44"/>
  </w:num>
  <w:num w:numId="54">
    <w:abstractNumId w:val="56"/>
  </w:num>
  <w:num w:numId="55">
    <w:abstractNumId w:val="60"/>
  </w:num>
  <w:num w:numId="56">
    <w:abstractNumId w:val="80"/>
  </w:num>
  <w:num w:numId="57">
    <w:abstractNumId w:val="66"/>
  </w:num>
  <w:num w:numId="58">
    <w:abstractNumId w:val="3"/>
  </w:num>
  <w:num w:numId="59">
    <w:abstractNumId w:val="2"/>
  </w:num>
  <w:num w:numId="60">
    <w:abstractNumId w:val="46"/>
  </w:num>
  <w:num w:numId="61">
    <w:abstractNumId w:val="25"/>
  </w:num>
  <w:num w:numId="62">
    <w:abstractNumId w:val="8"/>
  </w:num>
  <w:num w:numId="63">
    <w:abstractNumId w:val="0"/>
  </w:num>
  <w:num w:numId="64">
    <w:abstractNumId w:val="11"/>
  </w:num>
  <w:num w:numId="65">
    <w:abstractNumId w:val="49"/>
  </w:num>
  <w:num w:numId="66">
    <w:abstractNumId w:val="47"/>
  </w:num>
  <w:num w:numId="67">
    <w:abstractNumId w:val="57"/>
  </w:num>
  <w:num w:numId="68">
    <w:abstractNumId w:val="5"/>
  </w:num>
  <w:num w:numId="69">
    <w:abstractNumId w:val="64"/>
  </w:num>
  <w:num w:numId="70">
    <w:abstractNumId w:val="37"/>
  </w:num>
  <w:num w:numId="71">
    <w:abstractNumId w:val="53"/>
  </w:num>
  <w:num w:numId="72">
    <w:abstractNumId w:val="4"/>
  </w:num>
  <w:num w:numId="73">
    <w:abstractNumId w:val="29"/>
  </w:num>
  <w:num w:numId="74">
    <w:abstractNumId w:val="55"/>
  </w:num>
  <w:num w:numId="75">
    <w:abstractNumId w:val="33"/>
  </w:num>
  <w:num w:numId="76">
    <w:abstractNumId w:val="20"/>
  </w:num>
  <w:num w:numId="77">
    <w:abstractNumId w:val="26"/>
  </w:num>
  <w:num w:numId="78">
    <w:abstractNumId w:val="24"/>
  </w:num>
  <w:num w:numId="79">
    <w:abstractNumId w:val="51"/>
  </w:num>
  <w:num w:numId="80">
    <w:abstractNumId w:val="79"/>
  </w:num>
  <w:num w:numId="81">
    <w:abstractNumId w:val="76"/>
    <w:lvlOverride w:ilvl="0">
      <w:startOverride w:val="1"/>
    </w:lvlOverride>
    <w:lvlOverride w:ilvl="1"/>
    <w:lvlOverride w:ilvl="2"/>
    <w:lvlOverride w:ilvl="3"/>
    <w:lvlOverride w:ilvl="4"/>
    <w:lvlOverride w:ilvl="5"/>
    <w:lvlOverride w:ilvl="6"/>
    <w:lvlOverride w:ilvl="7"/>
    <w:lvlOverride w:ilvl="8"/>
  </w:num>
  <w:num w:numId="82">
    <w:abstractNumId w:val="38"/>
  </w:num>
  <w:num w:numId="83">
    <w:abstractNumId w:val="28"/>
  </w:num>
  <w:num w:numId="84">
    <w:abstractNumId w:val="8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ocumentProtection w:edit="readOnly" w:enforcement="1" w:cryptProviderType="rsaFull" w:cryptAlgorithmClass="hash" w:cryptAlgorithmType="typeAny" w:cryptAlgorithmSid="4" w:cryptSpinCount="100000" w:hash="g0xpZV+ptK/xkJuw/E2K4cmFUV4=" w:salt="/EwZ70ixnnYAi7GxlQqcKw=="/>
  <w:defaultTabStop w:val="709"/>
  <w:hyphenationZone w:val="357"/>
  <w:doNotHyphenateCaps/>
  <w:characterSpacingControl w:val="doNotCompress"/>
  <w:hdrShapeDefaults>
    <o:shapedefaults v:ext="edit" spidmax="209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uiPriority="9" w:qFormat="1"/>
    <w:lsdException w:name="heading 8" w:qFormat="1"/>
    <w:lsdException w:name="heading 9"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page number" w:uiPriority="0"/>
    <w:lsdException w:name="List 2" w:uiPriority="0"/>
    <w:lsdException w:name="List Bullet 3"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line="240" w:lineRule="auto"/>
      <w:jc w:val="both"/>
    </w:pPr>
    <w:rPr>
      <w:rFonts w:ascii="Times New Roman" w:eastAsiaTheme="minorEastAsia" w:hAnsi="Times New Roman" w:cs="Times New Roman"/>
      <w:sz w:val="24"/>
      <w:szCs w:val="24"/>
      <w:lang w:eastAsia="ru-RU"/>
    </w:rPr>
  </w:style>
  <w:style w:type="paragraph" w:styleId="13">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0"/>
    <w:next w:val="a0"/>
    <w:link w:val="14"/>
    <w:uiPriority w:val="99"/>
    <w:qFormat/>
    <w:pPr>
      <w:keepNext/>
      <w:outlineLvl w:val="0"/>
    </w:pPr>
    <w:rPr>
      <w:rFonts w:ascii="Arial" w:hAnsi="Arial" w:cs="Arial"/>
      <w:b/>
      <w:bCs/>
      <w:caps/>
      <w:kern w:val="32"/>
      <w:sz w:val="32"/>
      <w:szCs w:val="32"/>
    </w:rPr>
  </w:style>
  <w:style w:type="paragraph" w:styleId="22">
    <w:name w:val="heading 2"/>
    <w:aliases w:val="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Знак2"/>
    <w:basedOn w:val="a0"/>
    <w:next w:val="a0"/>
    <w:link w:val="23"/>
    <w:uiPriority w:val="99"/>
    <w:qFormat/>
    <w:pPr>
      <w:keepNext/>
      <w:outlineLvl w:val="1"/>
    </w:pPr>
    <w:rPr>
      <w:rFonts w:ascii="Arial" w:hAnsi="Arial"/>
      <w:b/>
      <w:bCs/>
      <w:iCs/>
      <w:caps/>
      <w:szCs w:val="28"/>
    </w:rPr>
  </w:style>
  <w:style w:type="paragraph" w:styleId="30">
    <w:name w:val="heading 3"/>
    <w:aliases w:val="- 1.1.1,Пункт,- 1.1.11,- 1.1.12,- 1.1.13,- 1.1.14,H3,Caaieiaie 3 Ciae,Çàãîëîâîê 3 Çíàê,Gliederung3,Заголовок 3 Знак Знак Знак,Gliederung3 Знак,Ведомость (название),Ведомость (название) Знак,- 1.1.1 Знак"/>
    <w:basedOn w:val="a0"/>
    <w:next w:val="a0"/>
    <w:link w:val="31"/>
    <w:qFormat/>
    <w:pPr>
      <w:keepNext/>
      <w:spacing w:before="240" w:after="60"/>
      <w:outlineLvl w:val="2"/>
    </w:pPr>
    <w:rPr>
      <w:rFonts w:ascii="Arial" w:hAnsi="Arial" w:cs="Arial"/>
      <w:b/>
      <w:bCs/>
      <w:sz w:val="26"/>
      <w:szCs w:val="26"/>
    </w:rPr>
  </w:style>
  <w:style w:type="paragraph" w:styleId="4">
    <w:name w:val="heading 4"/>
    <w:aliases w:val="Подпункт"/>
    <w:basedOn w:val="a0"/>
    <w:next w:val="a0"/>
    <w:link w:val="40"/>
    <w:uiPriority w:val="99"/>
    <w:qFormat/>
    <w:pPr>
      <w:keepNext/>
      <w:ind w:right="-365"/>
      <w:jc w:val="right"/>
      <w:outlineLvl w:val="3"/>
    </w:pPr>
    <w:rPr>
      <w:rFonts w:ascii="Arial" w:hAnsi="Arial" w:cs="Arial"/>
      <w:b/>
      <w:sz w:val="20"/>
      <w:szCs w:val="20"/>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0"/>
    <w:next w:val="a0"/>
    <w:link w:val="50"/>
    <w:uiPriority w:val="99"/>
    <w:qFormat/>
    <w:pPr>
      <w:spacing w:before="240" w:after="60"/>
      <w:outlineLvl w:val="4"/>
    </w:pPr>
    <w:rPr>
      <w:b/>
      <w:bCs/>
      <w:i/>
      <w:iCs/>
      <w:color w:val="000000"/>
      <w:sz w:val="26"/>
      <w:szCs w:val="26"/>
    </w:rPr>
  </w:style>
  <w:style w:type="paragraph" w:styleId="6">
    <w:name w:val="heading 6"/>
    <w:basedOn w:val="a0"/>
    <w:next w:val="a0"/>
    <w:link w:val="60"/>
    <w:uiPriority w:val="99"/>
    <w:qFormat/>
    <w:pPr>
      <w:spacing w:before="240" w:after="60"/>
      <w:outlineLvl w:val="5"/>
    </w:pPr>
    <w:rPr>
      <w:b/>
      <w:bCs/>
      <w:color w:val="000000"/>
      <w:sz w:val="22"/>
      <w:szCs w:val="22"/>
    </w:rPr>
  </w:style>
  <w:style w:type="paragraph" w:styleId="7">
    <w:name w:val="heading 7"/>
    <w:basedOn w:val="a0"/>
    <w:next w:val="a0"/>
    <w:link w:val="70"/>
    <w:uiPriority w:val="9"/>
    <w:qFormat/>
    <w:pPr>
      <w:spacing w:before="240" w:after="60"/>
      <w:outlineLvl w:val="6"/>
    </w:pPr>
    <w:rPr>
      <w:color w:val="000000"/>
    </w:rPr>
  </w:style>
  <w:style w:type="paragraph" w:styleId="8">
    <w:name w:val="heading 8"/>
    <w:aliases w:val="Знак8"/>
    <w:basedOn w:val="a0"/>
    <w:next w:val="a0"/>
    <w:link w:val="80"/>
    <w:uiPriority w:val="99"/>
    <w:qFormat/>
    <w:pPr>
      <w:spacing w:before="240" w:after="60"/>
      <w:outlineLvl w:val="7"/>
    </w:pPr>
    <w:rPr>
      <w:i/>
      <w:iCs/>
      <w:color w:val="000000"/>
    </w:rPr>
  </w:style>
  <w:style w:type="paragraph" w:styleId="9">
    <w:name w:val="heading 9"/>
    <w:basedOn w:val="a0"/>
    <w:next w:val="a0"/>
    <w:link w:val="90"/>
    <w:uiPriority w:val="99"/>
    <w:qFormat/>
    <w:pPr>
      <w:spacing w:before="240" w:after="60"/>
      <w:outlineLvl w:val="8"/>
    </w:pPr>
    <w:rPr>
      <w:rFonts w:ascii="Arial" w:hAnsi="Arial" w:cs="Arial"/>
      <w:color w:val="000000"/>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4">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1"/>
    <w:link w:val="13"/>
    <w:uiPriority w:val="99"/>
    <w:rPr>
      <w:rFonts w:ascii="Arial" w:eastAsiaTheme="minorEastAsia" w:hAnsi="Arial" w:cs="Arial"/>
      <w:b/>
      <w:bCs/>
      <w:caps/>
      <w:kern w:val="32"/>
      <w:sz w:val="32"/>
      <w:szCs w:val="32"/>
      <w:lang w:eastAsia="ru-RU"/>
    </w:rPr>
  </w:style>
  <w:style w:type="character" w:customStyle="1" w:styleId="23">
    <w:name w:val="Заголовок 2 Знак"/>
    <w:aliases w:val="Знак Знак1,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заголово Знак"/>
    <w:basedOn w:val="a1"/>
    <w:link w:val="22"/>
    <w:uiPriority w:val="99"/>
    <w:rPr>
      <w:rFonts w:ascii="Arial" w:eastAsiaTheme="minorEastAsia" w:hAnsi="Arial" w:cs="Times New Roman"/>
      <w:b/>
      <w:bCs/>
      <w:iCs/>
      <w:caps/>
      <w:sz w:val="24"/>
      <w:szCs w:val="28"/>
      <w:lang w:eastAsia="ru-RU"/>
    </w:rPr>
  </w:style>
  <w:style w:type="character" w:customStyle="1" w:styleId="31">
    <w:name w:val="Заголовок 3 Знак"/>
    <w:aliases w:val="- 1.1.1 Знак1,Пункт Знак,- 1.1.11 Знак,- 1.1.12 Знак,- 1.1.13 Знак,- 1.1.14 Знак,H3 Знак,Caaieiaie 3 Ciae Знак,Çàãîëîâîê 3 Çíàê Знак,Gliederung3 Знак1,Заголовок 3 Знак Знак Знак Знак,Gliederung3 Знак Знак,Ведомость (название) Знак1"/>
    <w:basedOn w:val="a1"/>
    <w:link w:val="30"/>
    <w:rPr>
      <w:rFonts w:ascii="Arial" w:eastAsiaTheme="minorEastAsia" w:hAnsi="Arial" w:cs="Arial"/>
      <w:b/>
      <w:bCs/>
      <w:sz w:val="26"/>
      <w:szCs w:val="26"/>
      <w:lang w:eastAsia="ru-RU"/>
    </w:rPr>
  </w:style>
  <w:style w:type="character" w:customStyle="1" w:styleId="40">
    <w:name w:val="Заголовок 4 Знак"/>
    <w:aliases w:val="Подпункт Знак"/>
    <w:basedOn w:val="a1"/>
    <w:link w:val="4"/>
    <w:uiPriority w:val="99"/>
    <w:rPr>
      <w:rFonts w:ascii="Arial" w:eastAsiaTheme="minorEastAsia" w:hAnsi="Arial" w:cs="Arial"/>
      <w:b/>
      <w:sz w:val="20"/>
      <w:szCs w:val="20"/>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1"/>
    <w:link w:val="5"/>
    <w:uiPriority w:val="99"/>
    <w:rPr>
      <w:rFonts w:ascii="Times New Roman" w:eastAsiaTheme="minorEastAsia" w:hAnsi="Times New Roman" w:cs="Times New Roman"/>
      <w:b/>
      <w:bCs/>
      <w:i/>
      <w:iCs/>
      <w:color w:val="000000"/>
      <w:sz w:val="26"/>
      <w:szCs w:val="26"/>
      <w:lang w:eastAsia="ru-RU"/>
    </w:rPr>
  </w:style>
  <w:style w:type="character" w:customStyle="1" w:styleId="60">
    <w:name w:val="Заголовок 6 Знак"/>
    <w:basedOn w:val="a1"/>
    <w:link w:val="6"/>
    <w:uiPriority w:val="99"/>
    <w:rPr>
      <w:rFonts w:ascii="Times New Roman" w:eastAsiaTheme="minorEastAsia" w:hAnsi="Times New Roman" w:cs="Times New Roman"/>
      <w:b/>
      <w:bCs/>
      <w:color w:val="000000"/>
      <w:lang w:eastAsia="ru-RU"/>
    </w:rPr>
  </w:style>
  <w:style w:type="character" w:customStyle="1" w:styleId="70">
    <w:name w:val="Заголовок 7 Знак"/>
    <w:basedOn w:val="a1"/>
    <w:link w:val="7"/>
    <w:uiPriority w:val="9"/>
    <w:rPr>
      <w:rFonts w:ascii="Times New Roman" w:eastAsiaTheme="minorEastAsia" w:hAnsi="Times New Roman" w:cs="Times New Roman"/>
      <w:color w:val="000000"/>
      <w:sz w:val="24"/>
      <w:szCs w:val="24"/>
      <w:lang w:eastAsia="ru-RU"/>
    </w:rPr>
  </w:style>
  <w:style w:type="character" w:customStyle="1" w:styleId="80">
    <w:name w:val="Заголовок 8 Знак"/>
    <w:aliases w:val="Знак8 Знак"/>
    <w:basedOn w:val="a1"/>
    <w:link w:val="8"/>
    <w:uiPriority w:val="99"/>
    <w:rPr>
      <w:rFonts w:ascii="Times New Roman" w:eastAsiaTheme="minorEastAsia" w:hAnsi="Times New Roman" w:cs="Times New Roman"/>
      <w:i/>
      <w:iCs/>
      <w:color w:val="000000"/>
      <w:sz w:val="24"/>
      <w:szCs w:val="24"/>
      <w:lang w:eastAsia="ru-RU"/>
    </w:rPr>
  </w:style>
  <w:style w:type="character" w:customStyle="1" w:styleId="90">
    <w:name w:val="Заголовок 9 Знак"/>
    <w:basedOn w:val="a1"/>
    <w:link w:val="9"/>
    <w:uiPriority w:val="9"/>
    <w:rPr>
      <w:rFonts w:ascii="Arial" w:eastAsiaTheme="minorEastAsia" w:hAnsi="Arial" w:cs="Arial"/>
      <w:color w:val="000000"/>
      <w:lang w:eastAsia="ru-RU"/>
    </w:rPr>
  </w:style>
  <w:style w:type="paragraph" w:customStyle="1" w:styleId="a4">
    <w:name w:val="ФИО"/>
    <w:basedOn w:val="a0"/>
    <w:pPr>
      <w:spacing w:after="180"/>
      <w:ind w:left="5670"/>
    </w:pPr>
    <w:rPr>
      <w:szCs w:val="20"/>
    </w:rPr>
  </w:style>
  <w:style w:type="paragraph" w:styleId="15">
    <w:name w:val="index 1"/>
    <w:basedOn w:val="a0"/>
    <w:next w:val="a0"/>
  </w:style>
  <w:style w:type="paragraph" w:styleId="a5">
    <w:name w:val="index heading"/>
    <w:basedOn w:val="a0"/>
    <w:next w:val="15"/>
  </w:style>
  <w:style w:type="character" w:styleId="a6">
    <w:name w:val="Hyperlink"/>
    <w:uiPriority w:val="99"/>
    <w:rPr>
      <w:color w:val="0000FF"/>
      <w:u w:val="single"/>
    </w:rPr>
  </w:style>
  <w:style w:type="paragraph" w:styleId="a7">
    <w:name w:val="Body Text"/>
    <w:aliases w:val=" Знак"/>
    <w:basedOn w:val="a0"/>
    <w:link w:val="a8"/>
    <w:uiPriority w:val="99"/>
    <w:qFormat/>
    <w:pPr>
      <w:spacing w:after="120"/>
    </w:pPr>
  </w:style>
  <w:style w:type="character" w:customStyle="1" w:styleId="a8">
    <w:name w:val="Основной текст Знак"/>
    <w:aliases w:val=" Знак Знак"/>
    <w:basedOn w:val="a1"/>
    <w:link w:val="a7"/>
    <w:uiPriority w:val="99"/>
    <w:rPr>
      <w:rFonts w:ascii="Times New Roman" w:eastAsiaTheme="minorEastAsia" w:hAnsi="Times New Roman" w:cs="Times New Roman"/>
      <w:sz w:val="24"/>
      <w:szCs w:val="24"/>
      <w:lang w:eastAsia="ru-RU"/>
    </w:rPr>
  </w:style>
  <w:style w:type="paragraph" w:styleId="a9">
    <w:name w:val="header"/>
    <w:aliases w:val="h"/>
    <w:basedOn w:val="a0"/>
    <w:link w:val="aa"/>
    <w:pPr>
      <w:tabs>
        <w:tab w:val="center" w:pos="4677"/>
        <w:tab w:val="right" w:pos="9355"/>
      </w:tabs>
    </w:pPr>
  </w:style>
  <w:style w:type="character" w:customStyle="1" w:styleId="aa">
    <w:name w:val="Верхний колонтитул Знак"/>
    <w:aliases w:val="h Знак"/>
    <w:basedOn w:val="a1"/>
    <w:link w:val="a9"/>
    <w:rPr>
      <w:rFonts w:ascii="Times New Roman" w:eastAsiaTheme="minorEastAsia" w:hAnsi="Times New Roman" w:cs="Times New Roman"/>
      <w:sz w:val="24"/>
      <w:szCs w:val="24"/>
      <w:lang w:eastAsia="ru-RU"/>
    </w:rPr>
  </w:style>
  <w:style w:type="paragraph" w:styleId="ab">
    <w:name w:val="footer"/>
    <w:aliases w:val="список"/>
    <w:basedOn w:val="a0"/>
    <w:link w:val="ac"/>
    <w:uiPriority w:val="99"/>
    <w:pPr>
      <w:tabs>
        <w:tab w:val="center" w:pos="4677"/>
        <w:tab w:val="right" w:pos="9355"/>
      </w:tabs>
    </w:pPr>
  </w:style>
  <w:style w:type="character" w:customStyle="1" w:styleId="ac">
    <w:name w:val="Нижний колонтитул Знак"/>
    <w:aliases w:val="список Знак"/>
    <w:basedOn w:val="a1"/>
    <w:link w:val="ab"/>
    <w:uiPriority w:val="99"/>
    <w:rPr>
      <w:rFonts w:ascii="Times New Roman" w:eastAsiaTheme="minorEastAsia" w:hAnsi="Times New Roman" w:cs="Times New Roman"/>
      <w:sz w:val="24"/>
      <w:szCs w:val="24"/>
      <w:lang w:eastAsia="ru-RU"/>
    </w:rPr>
  </w:style>
  <w:style w:type="paragraph" w:styleId="16">
    <w:name w:val="toc 1"/>
    <w:basedOn w:val="a0"/>
    <w:next w:val="a0"/>
    <w:uiPriority w:val="39"/>
    <w:qFormat/>
    <w:pPr>
      <w:tabs>
        <w:tab w:val="right" w:leader="dot" w:pos="9628"/>
      </w:tabs>
      <w:spacing w:before="240"/>
    </w:pPr>
    <w:rPr>
      <w:rFonts w:ascii="Arial" w:hAnsi="Arial" w:cs="Arial"/>
      <w:b/>
      <w:bCs/>
      <w:caps/>
      <w:noProof/>
      <w:sz w:val="20"/>
      <w:szCs w:val="20"/>
    </w:rPr>
  </w:style>
  <w:style w:type="paragraph" w:styleId="24">
    <w:name w:val="toc 2"/>
    <w:basedOn w:val="a0"/>
    <w:next w:val="a0"/>
    <w:uiPriority w:val="39"/>
    <w:qFormat/>
    <w:pPr>
      <w:spacing w:before="240"/>
      <w:ind w:left="284"/>
    </w:pPr>
    <w:rPr>
      <w:rFonts w:ascii="Arial" w:hAnsi="Arial"/>
      <w:b/>
      <w:bCs/>
      <w:sz w:val="18"/>
      <w:szCs w:val="20"/>
    </w:rPr>
  </w:style>
  <w:style w:type="paragraph" w:styleId="32">
    <w:name w:val="Body Text 3"/>
    <w:basedOn w:val="a0"/>
    <w:link w:val="33"/>
    <w:pPr>
      <w:spacing w:before="240" w:after="240"/>
    </w:pPr>
  </w:style>
  <w:style w:type="character" w:customStyle="1" w:styleId="33">
    <w:name w:val="Основной текст 3 Знак"/>
    <w:basedOn w:val="a1"/>
    <w:link w:val="32"/>
    <w:rPr>
      <w:rFonts w:ascii="Times New Roman" w:eastAsiaTheme="minorEastAsia" w:hAnsi="Times New Roman" w:cs="Times New Roman"/>
      <w:sz w:val="24"/>
      <w:szCs w:val="24"/>
      <w:lang w:eastAsia="ru-RU"/>
    </w:rPr>
  </w:style>
  <w:style w:type="paragraph" w:styleId="34">
    <w:name w:val="toc 3"/>
    <w:basedOn w:val="a0"/>
    <w:next w:val="a0"/>
    <w:uiPriority w:val="39"/>
    <w:qFormat/>
    <w:pPr>
      <w:spacing w:before="240"/>
      <w:ind w:left="567"/>
    </w:pPr>
    <w:rPr>
      <w:rFonts w:ascii="Arial" w:hAnsi="Arial"/>
      <w:i/>
      <w:sz w:val="16"/>
      <w:szCs w:val="20"/>
    </w:rPr>
  </w:style>
  <w:style w:type="paragraph" w:styleId="ad">
    <w:name w:val="footnote text"/>
    <w:basedOn w:val="a0"/>
    <w:link w:val="ae"/>
    <w:rPr>
      <w:sz w:val="20"/>
      <w:szCs w:val="20"/>
    </w:rPr>
  </w:style>
  <w:style w:type="character" w:customStyle="1" w:styleId="ae">
    <w:name w:val="Текст сноски Знак"/>
    <w:basedOn w:val="a1"/>
    <w:link w:val="ad"/>
    <w:rPr>
      <w:rFonts w:ascii="Times New Roman" w:eastAsiaTheme="minorEastAsia" w:hAnsi="Times New Roman" w:cs="Times New Roman"/>
      <w:sz w:val="20"/>
      <w:szCs w:val="20"/>
      <w:lang w:eastAsia="ru-RU"/>
    </w:rPr>
  </w:style>
  <w:style w:type="character" w:styleId="af">
    <w:name w:val="footnote reference"/>
    <w:rPr>
      <w:vertAlign w:val="superscript"/>
    </w:rPr>
  </w:style>
  <w:style w:type="paragraph" w:styleId="35">
    <w:name w:val="Body Text Indent 3"/>
    <w:basedOn w:val="a0"/>
    <w:link w:val="36"/>
    <w:pPr>
      <w:spacing w:after="120"/>
      <w:ind w:left="283"/>
    </w:pPr>
    <w:rPr>
      <w:sz w:val="16"/>
      <w:szCs w:val="16"/>
    </w:rPr>
  </w:style>
  <w:style w:type="character" w:customStyle="1" w:styleId="36">
    <w:name w:val="Основной текст с отступом 3 Знак"/>
    <w:basedOn w:val="a1"/>
    <w:link w:val="35"/>
    <w:rPr>
      <w:rFonts w:ascii="Times New Roman" w:eastAsiaTheme="minorEastAsia" w:hAnsi="Times New Roman" w:cs="Times New Roman"/>
      <w:sz w:val="16"/>
      <w:szCs w:val="16"/>
      <w:lang w:eastAsia="ru-RU"/>
    </w:rPr>
  </w:style>
  <w:style w:type="paragraph" w:customStyle="1" w:styleId="af0">
    <w:name w:val="Текст таблица"/>
    <w:basedOn w:val="a0"/>
    <w:pPr>
      <w:numPr>
        <w:ilvl w:val="12"/>
      </w:numPr>
      <w:spacing w:before="60"/>
    </w:pPr>
    <w:rPr>
      <w:iCs/>
      <w:sz w:val="22"/>
      <w:szCs w:val="20"/>
    </w:rPr>
  </w:style>
  <w:style w:type="character" w:styleId="af1">
    <w:name w:val="Strong"/>
    <w:qFormat/>
    <w:rPr>
      <w:b/>
      <w:bCs/>
    </w:rPr>
  </w:style>
  <w:style w:type="paragraph" w:customStyle="1" w:styleId="17">
    <w:name w:val="Список 1"/>
    <w:basedOn w:val="af2"/>
    <w:link w:val="18"/>
    <w:pPr>
      <w:widowControl w:val="0"/>
      <w:overflowPunct w:val="0"/>
      <w:autoSpaceDE w:val="0"/>
      <w:autoSpaceDN w:val="0"/>
      <w:adjustRightInd w:val="0"/>
      <w:spacing w:before="60"/>
      <w:textAlignment w:val="baseline"/>
    </w:pPr>
    <w:rPr>
      <w:szCs w:val="20"/>
    </w:rPr>
  </w:style>
  <w:style w:type="paragraph" w:styleId="af2">
    <w:name w:val="List Bullet"/>
    <w:basedOn w:val="a0"/>
    <w:uiPriority w:val="99"/>
    <w:pPr>
      <w:tabs>
        <w:tab w:val="num" w:pos="900"/>
      </w:tabs>
      <w:ind w:left="900" w:hanging="360"/>
    </w:pPr>
  </w:style>
  <w:style w:type="paragraph" w:styleId="af3">
    <w:name w:val="caption"/>
    <w:basedOn w:val="a0"/>
    <w:next w:val="a0"/>
    <w:qFormat/>
    <w:rPr>
      <w:b/>
      <w:bCs/>
      <w:sz w:val="20"/>
      <w:szCs w:val="20"/>
    </w:rPr>
  </w:style>
  <w:style w:type="character" w:styleId="af4">
    <w:name w:val="annotation reference"/>
    <w:rPr>
      <w:sz w:val="16"/>
      <w:szCs w:val="16"/>
    </w:rPr>
  </w:style>
  <w:style w:type="paragraph" w:styleId="af5">
    <w:name w:val="annotation text"/>
    <w:basedOn w:val="a0"/>
    <w:link w:val="af6"/>
    <w:rPr>
      <w:sz w:val="20"/>
      <w:szCs w:val="20"/>
    </w:rPr>
  </w:style>
  <w:style w:type="character" w:customStyle="1" w:styleId="af6">
    <w:name w:val="Текст примечания Знак"/>
    <w:basedOn w:val="a1"/>
    <w:link w:val="af5"/>
    <w:rPr>
      <w:rFonts w:ascii="Times New Roman" w:eastAsiaTheme="minorEastAsia" w:hAnsi="Times New Roman" w:cs="Times New Roman"/>
      <w:sz w:val="20"/>
      <w:szCs w:val="20"/>
      <w:lang w:eastAsia="ru-RU"/>
    </w:rPr>
  </w:style>
  <w:style w:type="paragraph" w:styleId="af7">
    <w:name w:val="annotation subject"/>
    <w:basedOn w:val="af5"/>
    <w:next w:val="af5"/>
    <w:link w:val="af8"/>
    <w:uiPriority w:val="99"/>
    <w:rPr>
      <w:b/>
      <w:bCs/>
    </w:rPr>
  </w:style>
  <w:style w:type="character" w:customStyle="1" w:styleId="af8">
    <w:name w:val="Тема примечания Знак"/>
    <w:basedOn w:val="af6"/>
    <w:link w:val="af7"/>
    <w:uiPriority w:val="99"/>
    <w:rPr>
      <w:rFonts w:ascii="Times New Roman" w:eastAsiaTheme="minorEastAsia" w:hAnsi="Times New Roman" w:cs="Times New Roman"/>
      <w:b/>
      <w:bCs/>
      <w:sz w:val="20"/>
      <w:szCs w:val="20"/>
      <w:lang w:eastAsia="ru-RU"/>
    </w:rPr>
  </w:style>
  <w:style w:type="paragraph" w:styleId="af9">
    <w:name w:val="Balloon Text"/>
    <w:basedOn w:val="a0"/>
    <w:link w:val="afa"/>
    <w:rPr>
      <w:rFonts w:ascii="Tahoma" w:hAnsi="Tahoma" w:cs="Tahoma"/>
      <w:sz w:val="16"/>
      <w:szCs w:val="16"/>
    </w:rPr>
  </w:style>
  <w:style w:type="character" w:customStyle="1" w:styleId="afa">
    <w:name w:val="Текст выноски Знак"/>
    <w:basedOn w:val="a1"/>
    <w:link w:val="af9"/>
    <w:uiPriority w:val="99"/>
    <w:rPr>
      <w:rFonts w:ascii="Tahoma" w:eastAsiaTheme="minorEastAsia" w:hAnsi="Tahoma" w:cs="Tahoma"/>
      <w:sz w:val="16"/>
      <w:szCs w:val="16"/>
      <w:lang w:eastAsia="ru-RU"/>
    </w:rPr>
  </w:style>
  <w:style w:type="paragraph" w:styleId="41">
    <w:name w:val="toc 4"/>
    <w:basedOn w:val="a0"/>
    <w:next w:val="a0"/>
    <w:uiPriority w:val="39"/>
    <w:pPr>
      <w:ind w:left="480"/>
    </w:pPr>
    <w:rPr>
      <w:sz w:val="20"/>
      <w:szCs w:val="20"/>
    </w:rPr>
  </w:style>
  <w:style w:type="paragraph" w:styleId="51">
    <w:name w:val="toc 5"/>
    <w:basedOn w:val="a0"/>
    <w:next w:val="a0"/>
    <w:uiPriority w:val="39"/>
    <w:pPr>
      <w:ind w:left="720"/>
    </w:pPr>
    <w:rPr>
      <w:sz w:val="20"/>
      <w:szCs w:val="20"/>
    </w:rPr>
  </w:style>
  <w:style w:type="paragraph" w:styleId="61">
    <w:name w:val="toc 6"/>
    <w:basedOn w:val="a0"/>
    <w:next w:val="a0"/>
    <w:uiPriority w:val="39"/>
    <w:pPr>
      <w:ind w:left="960"/>
    </w:pPr>
    <w:rPr>
      <w:sz w:val="20"/>
      <w:szCs w:val="20"/>
    </w:rPr>
  </w:style>
  <w:style w:type="paragraph" w:styleId="71">
    <w:name w:val="toc 7"/>
    <w:basedOn w:val="a0"/>
    <w:next w:val="a0"/>
    <w:uiPriority w:val="39"/>
    <w:pPr>
      <w:ind w:left="1200"/>
    </w:pPr>
    <w:rPr>
      <w:sz w:val="20"/>
      <w:szCs w:val="20"/>
    </w:rPr>
  </w:style>
  <w:style w:type="paragraph" w:styleId="81">
    <w:name w:val="toc 8"/>
    <w:basedOn w:val="a0"/>
    <w:next w:val="a0"/>
    <w:uiPriority w:val="39"/>
    <w:pPr>
      <w:ind w:left="1440"/>
    </w:pPr>
    <w:rPr>
      <w:sz w:val="20"/>
      <w:szCs w:val="20"/>
    </w:rPr>
  </w:style>
  <w:style w:type="paragraph" w:styleId="91">
    <w:name w:val="toc 9"/>
    <w:basedOn w:val="a0"/>
    <w:next w:val="a0"/>
    <w:uiPriority w:val="39"/>
    <w:pPr>
      <w:ind w:left="1680"/>
    </w:pPr>
    <w:rPr>
      <w:sz w:val="20"/>
      <w:szCs w:val="20"/>
    </w:rPr>
  </w:style>
  <w:style w:type="paragraph" w:customStyle="1" w:styleId="afb">
    <w:name w:val="текст резюме"/>
    <w:basedOn w:val="a0"/>
    <w:pPr>
      <w:widowControl w:val="0"/>
      <w:overflowPunct w:val="0"/>
      <w:autoSpaceDE w:val="0"/>
      <w:autoSpaceDN w:val="0"/>
      <w:adjustRightInd w:val="0"/>
      <w:spacing w:before="60"/>
      <w:textAlignment w:val="baseline"/>
    </w:pPr>
    <w:rPr>
      <w:szCs w:val="20"/>
    </w:rPr>
  </w:style>
  <w:style w:type="paragraph" w:customStyle="1" w:styleId="afc">
    <w:name w:val="Знак Знак Знак Знак"/>
    <w:basedOn w:val="a0"/>
    <w:pPr>
      <w:spacing w:after="160" w:line="240" w:lineRule="exact"/>
    </w:pPr>
    <w:rPr>
      <w:rFonts w:ascii="Verdana" w:hAnsi="Verdana" w:cs="Verdana"/>
      <w:sz w:val="20"/>
      <w:szCs w:val="20"/>
      <w:lang w:val="en-US" w:eastAsia="en-US"/>
    </w:rPr>
  </w:style>
  <w:style w:type="paragraph" w:customStyle="1" w:styleId="afd">
    <w:name w:val="Текст МУ"/>
    <w:basedOn w:val="a0"/>
    <w:link w:val="afe"/>
    <w:pPr>
      <w:spacing w:before="180" w:after="120"/>
    </w:pPr>
    <w:rPr>
      <w:szCs w:val="20"/>
    </w:rPr>
  </w:style>
  <w:style w:type="character" w:customStyle="1" w:styleId="afe">
    <w:name w:val="Текст МУ Знак"/>
    <w:link w:val="afd"/>
    <w:rPr>
      <w:rFonts w:ascii="Times New Roman" w:eastAsiaTheme="minorEastAsia" w:hAnsi="Times New Roman" w:cs="Times New Roman"/>
      <w:sz w:val="24"/>
      <w:szCs w:val="20"/>
      <w:lang w:eastAsia="ru-RU"/>
    </w:rPr>
  </w:style>
  <w:style w:type="paragraph" w:customStyle="1" w:styleId="aff">
    <w:name w:val="Термин МУ"/>
    <w:basedOn w:val="afd"/>
    <w:link w:val="aff0"/>
    <w:rPr>
      <w:rFonts w:ascii="Arial" w:hAnsi="Arial"/>
      <w:b/>
      <w:bCs/>
      <w:i/>
      <w:iCs/>
    </w:rPr>
  </w:style>
  <w:style w:type="character" w:customStyle="1" w:styleId="aff0">
    <w:name w:val="Термин МУ Знак"/>
    <w:link w:val="aff"/>
    <w:rPr>
      <w:rFonts w:ascii="Arial" w:eastAsiaTheme="minorEastAsia" w:hAnsi="Arial" w:cs="Times New Roman"/>
      <w:b/>
      <w:bCs/>
      <w:i/>
      <w:iCs/>
      <w:sz w:val="24"/>
      <w:szCs w:val="20"/>
      <w:lang w:eastAsia="ru-RU"/>
    </w:rPr>
  </w:style>
  <w:style w:type="paragraph" w:styleId="aff1">
    <w:name w:val="Normal (Web)"/>
    <w:basedOn w:val="a0"/>
    <w:uiPriority w:val="99"/>
    <w:pPr>
      <w:spacing w:before="100" w:beforeAutospacing="1" w:after="100" w:afterAutospacing="1"/>
    </w:pPr>
  </w:style>
  <w:style w:type="character" w:styleId="aff2">
    <w:name w:val="Emphasis"/>
    <w:uiPriority w:val="20"/>
    <w:qFormat/>
    <w:rPr>
      <w:i/>
      <w:iCs/>
    </w:rPr>
  </w:style>
  <w:style w:type="character" w:customStyle="1" w:styleId="18">
    <w:name w:val="Список 1 Знак"/>
    <w:link w:val="17"/>
    <w:rPr>
      <w:rFonts w:ascii="Times New Roman" w:eastAsiaTheme="minorEastAsia" w:hAnsi="Times New Roman" w:cs="Times New Roman"/>
      <w:sz w:val="24"/>
      <w:szCs w:val="20"/>
      <w:lang w:eastAsia="ru-RU"/>
    </w:rPr>
  </w:style>
  <w:style w:type="character" w:customStyle="1" w:styleId="urtxtstd">
    <w:name w:val="urtxtstd"/>
    <w:basedOn w:val="a1"/>
  </w:style>
  <w:style w:type="paragraph" w:customStyle="1" w:styleId="aff3">
    <w:name w:val="Знак Знак"/>
    <w:basedOn w:val="a0"/>
    <w:pPr>
      <w:spacing w:after="160"/>
    </w:pPr>
    <w:rPr>
      <w:rFonts w:ascii="Arial" w:hAnsi="Arial"/>
      <w:b/>
      <w:color w:val="FFFFFF"/>
      <w:sz w:val="32"/>
      <w:szCs w:val="20"/>
      <w:lang w:val="en-US" w:eastAsia="en-US"/>
    </w:rPr>
  </w:style>
  <w:style w:type="paragraph" w:styleId="aff4">
    <w:name w:val="Plain Text"/>
    <w:basedOn w:val="a0"/>
    <w:link w:val="aff5"/>
    <w:uiPriority w:val="99"/>
    <w:rPr>
      <w:rFonts w:ascii="Courier New" w:hAnsi="Courier New" w:cs="Courier New"/>
      <w:sz w:val="20"/>
      <w:szCs w:val="20"/>
    </w:rPr>
  </w:style>
  <w:style w:type="character" w:customStyle="1" w:styleId="aff5">
    <w:name w:val="Текст Знак"/>
    <w:basedOn w:val="a1"/>
    <w:link w:val="aff4"/>
    <w:uiPriority w:val="99"/>
    <w:rPr>
      <w:rFonts w:ascii="Courier New" w:eastAsiaTheme="minorEastAsia" w:hAnsi="Courier New" w:cs="Courier New"/>
      <w:sz w:val="20"/>
      <w:szCs w:val="20"/>
      <w:lang w:eastAsia="ru-RU"/>
    </w:rPr>
  </w:style>
  <w:style w:type="table" w:styleId="aff6">
    <w:name w:val="Table Grid"/>
    <w:basedOn w:val="a2"/>
    <w:uiPriority w:val="39"/>
    <w:pPr>
      <w:spacing w:after="0" w:line="240" w:lineRule="auto"/>
    </w:pPr>
    <w:rPr>
      <w:rFonts w:ascii="Times New Roman" w:eastAsiaTheme="minorEastAsia"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endnote text"/>
    <w:basedOn w:val="a0"/>
    <w:link w:val="aff8"/>
    <w:uiPriority w:val="99"/>
    <w:rPr>
      <w:sz w:val="20"/>
      <w:szCs w:val="20"/>
    </w:rPr>
  </w:style>
  <w:style w:type="character" w:customStyle="1" w:styleId="aff8">
    <w:name w:val="Текст концевой сноски Знак"/>
    <w:basedOn w:val="a1"/>
    <w:link w:val="aff7"/>
    <w:uiPriority w:val="99"/>
    <w:rPr>
      <w:rFonts w:ascii="Times New Roman" w:eastAsiaTheme="minorEastAsia" w:hAnsi="Times New Roman" w:cs="Times New Roman"/>
      <w:sz w:val="20"/>
      <w:szCs w:val="20"/>
      <w:lang w:eastAsia="ru-RU"/>
    </w:rPr>
  </w:style>
  <w:style w:type="character" w:styleId="aff9">
    <w:name w:val="endnote reference"/>
    <w:uiPriority w:val="99"/>
    <w:rPr>
      <w:vertAlign w:val="superscript"/>
    </w:rPr>
  </w:style>
  <w:style w:type="character" w:styleId="affa">
    <w:name w:val="page number"/>
    <w:basedOn w:val="a1"/>
  </w:style>
  <w:style w:type="paragraph" w:styleId="affb">
    <w:name w:val="No Spacing"/>
    <w:aliases w:val="Table text"/>
    <w:qFormat/>
    <w:pPr>
      <w:spacing w:after="0" w:line="240" w:lineRule="auto"/>
    </w:pPr>
    <w:rPr>
      <w:rFonts w:ascii="Calibri" w:eastAsia="Calibri" w:hAnsi="Calibri" w:cs="Times New Roman"/>
    </w:rPr>
  </w:style>
  <w:style w:type="character" w:customStyle="1" w:styleId="urtxtemph">
    <w:name w:val="urtxtemph"/>
    <w:basedOn w:val="a1"/>
  </w:style>
  <w:style w:type="paragraph" w:customStyle="1" w:styleId="S0">
    <w:name w:val="S_Обычный"/>
    <w:basedOn w:val="a0"/>
    <w:link w:val="S4"/>
    <w:pPr>
      <w:widowControl w:val="0"/>
    </w:pPr>
    <w:rPr>
      <w:rFonts w:eastAsia="Times New Roman"/>
    </w:rPr>
  </w:style>
  <w:style w:type="character" w:customStyle="1" w:styleId="S4">
    <w:name w:val="S_Обычный Знак"/>
    <w:link w:val="S0"/>
    <w:rPr>
      <w:rFonts w:ascii="Times New Roman" w:eastAsia="Times New Roman" w:hAnsi="Times New Roman" w:cs="Times New Roman"/>
      <w:sz w:val="24"/>
      <w:szCs w:val="24"/>
      <w:lang w:eastAsia="ru-RU"/>
    </w:rPr>
  </w:style>
  <w:style w:type="character" w:customStyle="1" w:styleId="S01">
    <w:name w:val="S_Термин01"/>
    <w:rPr>
      <w:rFonts w:ascii="Arial" w:hAnsi="Arial" w:cs="Arial"/>
      <w:b/>
      <w:bCs/>
      <w:i/>
      <w:iCs/>
      <w:caps/>
      <w:sz w:val="20"/>
      <w:szCs w:val="20"/>
      <w:lang w:val="ru-RU" w:eastAsia="ru-RU"/>
    </w:rPr>
  </w:style>
  <w:style w:type="paragraph" w:customStyle="1" w:styleId="ConsPlusNormal">
    <w:name w:val="ConsPlusNormal"/>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Default">
    <w:name w:val="Default"/>
    <w:pPr>
      <w:autoSpaceDE w:val="0"/>
      <w:autoSpaceDN w:val="0"/>
      <w:adjustRightInd w:val="0"/>
      <w:spacing w:after="0" w:line="240" w:lineRule="auto"/>
    </w:pPr>
    <w:rPr>
      <w:rFonts w:ascii="Verdana" w:eastAsiaTheme="minorEastAsia" w:hAnsi="Verdana" w:cs="Verdana"/>
      <w:color w:val="000000"/>
      <w:sz w:val="24"/>
      <w:szCs w:val="24"/>
      <w:lang w:eastAsia="ru-RU"/>
    </w:rPr>
  </w:style>
  <w:style w:type="paragraph" w:customStyle="1" w:styleId="formattext">
    <w:name w:val="formattext"/>
    <w:basedOn w:val="a0"/>
    <w:pPr>
      <w:spacing w:before="100" w:beforeAutospacing="1" w:after="100" w:afterAutospacing="1"/>
    </w:pPr>
  </w:style>
  <w:style w:type="paragraph" w:styleId="affc">
    <w:name w:val="Revision"/>
    <w:hidden/>
    <w:uiPriority w:val="99"/>
    <w:semiHidden/>
    <w:pPr>
      <w:spacing w:after="0" w:line="240" w:lineRule="auto"/>
    </w:pPr>
    <w:rPr>
      <w:rFonts w:ascii="Times New Roman" w:eastAsiaTheme="minorEastAsia" w:hAnsi="Times New Roman" w:cs="Times New Roman"/>
      <w:sz w:val="24"/>
      <w:szCs w:val="24"/>
      <w:lang w:eastAsia="ru-RU"/>
    </w:rPr>
  </w:style>
  <w:style w:type="paragraph" w:styleId="affd">
    <w:name w:val="List Paragraph"/>
    <w:basedOn w:val="a0"/>
    <w:link w:val="affe"/>
    <w:uiPriority w:val="34"/>
    <w:qFormat/>
    <w:pPr>
      <w:spacing w:line="360" w:lineRule="auto"/>
      <w:ind w:left="720" w:firstLine="709"/>
      <w:contextualSpacing/>
    </w:pPr>
    <w:rPr>
      <w:rFonts w:ascii="Arial" w:eastAsia="Calibri" w:hAnsi="Arial"/>
      <w:sz w:val="22"/>
      <w:lang w:eastAsia="en-US"/>
    </w:rPr>
  </w:style>
  <w:style w:type="character" w:customStyle="1" w:styleId="afff">
    <w:name w:val="Основной текст_"/>
    <w:link w:val="37"/>
    <w:rPr>
      <w:b/>
      <w:bCs/>
      <w:spacing w:val="-7"/>
      <w:shd w:val="clear" w:color="auto" w:fill="FFFFFF"/>
    </w:rPr>
  </w:style>
  <w:style w:type="character" w:customStyle="1" w:styleId="Tahoma9pt0pt">
    <w:name w:val="Основной текст + Tahoma;9 pt;Не полужирный;Курсив;Интервал 0 pt"/>
    <w:rPr>
      <w:rFonts w:ascii="Tahoma" w:eastAsia="Tahoma" w:hAnsi="Tahoma" w:cs="Tahoma"/>
      <w:b/>
      <w:bCs/>
      <w:i/>
      <w:iCs/>
      <w:smallCaps w:val="0"/>
      <w:strike w:val="0"/>
      <w:color w:val="000000"/>
      <w:spacing w:val="-17"/>
      <w:w w:val="100"/>
      <w:position w:val="0"/>
      <w:sz w:val="18"/>
      <w:szCs w:val="18"/>
      <w:u w:val="none"/>
      <w:lang w:val="ru-RU" w:eastAsia="ru-RU" w:bidi="ru-RU"/>
    </w:rPr>
  </w:style>
  <w:style w:type="paragraph" w:customStyle="1" w:styleId="37">
    <w:name w:val="Основной текст3"/>
    <w:basedOn w:val="a0"/>
    <w:link w:val="afff"/>
    <w:pPr>
      <w:widowControl w:val="0"/>
      <w:shd w:val="clear" w:color="auto" w:fill="FFFFFF"/>
      <w:spacing w:after="300" w:line="299" w:lineRule="exact"/>
      <w:ind w:hanging="700"/>
    </w:pPr>
    <w:rPr>
      <w:rFonts w:asciiTheme="minorHAnsi" w:eastAsiaTheme="minorHAnsi" w:hAnsiTheme="minorHAnsi" w:cstheme="minorBidi"/>
      <w:b/>
      <w:bCs/>
      <w:spacing w:val="-7"/>
      <w:sz w:val="22"/>
      <w:szCs w:val="22"/>
      <w:lang w:eastAsia="en-US"/>
    </w:rPr>
  </w:style>
  <w:style w:type="character" w:customStyle="1" w:styleId="12pt0pt">
    <w:name w:val="Основной текст + 12 pt;Не полужирный;Интервал 0 pt"/>
    <w:rPr>
      <w:rFonts w:ascii="Times New Roman" w:eastAsia="Times New Roman" w:hAnsi="Times New Roman" w:cs="Times New Roman"/>
      <w:b/>
      <w:bCs/>
      <w:i w:val="0"/>
      <w:iCs w:val="0"/>
      <w:smallCaps w:val="0"/>
      <w:strike w:val="0"/>
      <w:color w:val="000000"/>
      <w:spacing w:val="-3"/>
      <w:w w:val="100"/>
      <w:position w:val="0"/>
      <w:sz w:val="24"/>
      <w:szCs w:val="24"/>
      <w:u w:val="none"/>
      <w:lang w:val="ru-RU" w:eastAsia="ru-RU" w:bidi="ru-RU"/>
    </w:rPr>
  </w:style>
  <w:style w:type="paragraph" w:styleId="25">
    <w:name w:val="Body Text 2"/>
    <w:basedOn w:val="a0"/>
    <w:link w:val="26"/>
    <w:pPr>
      <w:spacing w:after="120" w:line="480" w:lineRule="auto"/>
    </w:pPr>
    <w:rPr>
      <w:color w:val="000000"/>
    </w:rPr>
  </w:style>
  <w:style w:type="character" w:customStyle="1" w:styleId="26">
    <w:name w:val="Основной текст 2 Знак"/>
    <w:basedOn w:val="a1"/>
    <w:link w:val="25"/>
    <w:rPr>
      <w:rFonts w:ascii="Times New Roman" w:eastAsiaTheme="minorEastAsia" w:hAnsi="Times New Roman" w:cs="Times New Roman"/>
      <w:color w:val="000000"/>
      <w:sz w:val="24"/>
      <w:szCs w:val="24"/>
      <w:lang w:eastAsia="ru-RU"/>
    </w:rPr>
  </w:style>
  <w:style w:type="character" w:customStyle="1" w:styleId="82">
    <w:name w:val="Основной текст (8)_"/>
    <w:link w:val="83"/>
    <w:rPr>
      <w:spacing w:val="-3"/>
      <w:shd w:val="clear" w:color="auto" w:fill="FFFFFF"/>
    </w:rPr>
  </w:style>
  <w:style w:type="paragraph" w:customStyle="1" w:styleId="83">
    <w:name w:val="Основной текст (8)"/>
    <w:basedOn w:val="a0"/>
    <w:link w:val="82"/>
    <w:pPr>
      <w:widowControl w:val="0"/>
      <w:shd w:val="clear" w:color="auto" w:fill="FFFFFF"/>
      <w:spacing w:after="300" w:line="252" w:lineRule="exact"/>
      <w:ind w:hanging="140"/>
    </w:pPr>
    <w:rPr>
      <w:rFonts w:asciiTheme="minorHAnsi" w:eastAsiaTheme="minorHAnsi" w:hAnsiTheme="minorHAnsi" w:cstheme="minorBidi"/>
      <w:spacing w:val="-3"/>
      <w:sz w:val="22"/>
      <w:szCs w:val="22"/>
      <w:lang w:eastAsia="en-US"/>
    </w:rPr>
  </w:style>
  <w:style w:type="paragraph" w:customStyle="1" w:styleId="27">
    <w:name w:val="Основной текст2"/>
    <w:basedOn w:val="a0"/>
    <w:pPr>
      <w:widowControl w:val="0"/>
      <w:shd w:val="clear" w:color="auto" w:fill="FFFFFF"/>
      <w:spacing w:line="245" w:lineRule="exact"/>
      <w:ind w:hanging="340"/>
    </w:pPr>
    <w:rPr>
      <w:sz w:val="20"/>
      <w:szCs w:val="20"/>
    </w:rPr>
  </w:style>
  <w:style w:type="character" w:customStyle="1" w:styleId="28">
    <w:name w:val="Заголовок №2_"/>
    <w:basedOn w:val="a1"/>
    <w:link w:val="29"/>
    <w:locked/>
    <w:rPr>
      <w:b/>
      <w:bCs/>
      <w:sz w:val="27"/>
      <w:szCs w:val="27"/>
      <w:shd w:val="clear" w:color="auto" w:fill="FFFFFF"/>
    </w:rPr>
  </w:style>
  <w:style w:type="paragraph" w:customStyle="1" w:styleId="29">
    <w:name w:val="Заголовок №2"/>
    <w:basedOn w:val="a0"/>
    <w:link w:val="28"/>
    <w:pPr>
      <w:widowControl w:val="0"/>
      <w:shd w:val="clear" w:color="auto" w:fill="FFFFFF"/>
      <w:spacing w:line="0" w:lineRule="atLeast"/>
      <w:jc w:val="center"/>
      <w:outlineLvl w:val="1"/>
    </w:pPr>
    <w:rPr>
      <w:rFonts w:asciiTheme="minorHAnsi" w:eastAsiaTheme="minorHAnsi" w:hAnsiTheme="minorHAnsi" w:cstheme="minorBidi"/>
      <w:b/>
      <w:bCs/>
      <w:sz w:val="27"/>
      <w:szCs w:val="27"/>
      <w:lang w:eastAsia="en-US"/>
    </w:rPr>
  </w:style>
  <w:style w:type="paragraph" w:customStyle="1" w:styleId="THKfullname">
    <w:name w:val="THKfullname"/>
    <w:basedOn w:val="a0"/>
    <w:next w:val="THKaddress"/>
    <w:uiPriority w:val="99"/>
    <w:pPr>
      <w:spacing w:before="70" w:line="180" w:lineRule="exact"/>
    </w:pPr>
    <w:rPr>
      <w:rFonts w:ascii="Arial" w:hAnsi="Arial"/>
      <w:b/>
      <w:sz w:val="14"/>
      <w:lang w:eastAsia="en-US"/>
    </w:rPr>
  </w:style>
  <w:style w:type="paragraph" w:customStyle="1" w:styleId="THKaddress">
    <w:name w:val="THKaddress"/>
    <w:basedOn w:val="THKfullname"/>
    <w:uiPriority w:val="99"/>
    <w:pPr>
      <w:spacing w:before="0"/>
    </w:pPr>
    <w:rPr>
      <w:b w:val="0"/>
    </w:rPr>
  </w:style>
  <w:style w:type="paragraph" w:styleId="afff0">
    <w:name w:val="Body Text Indent"/>
    <w:basedOn w:val="a0"/>
    <w:link w:val="afff1"/>
    <w:uiPriority w:val="99"/>
    <w:pPr>
      <w:ind w:firstLine="360"/>
    </w:pPr>
    <w:rPr>
      <w:bCs/>
    </w:rPr>
  </w:style>
  <w:style w:type="character" w:customStyle="1" w:styleId="afff1">
    <w:name w:val="Основной текст с отступом Знак"/>
    <w:basedOn w:val="a1"/>
    <w:link w:val="afff0"/>
    <w:uiPriority w:val="99"/>
    <w:rPr>
      <w:rFonts w:ascii="Times New Roman" w:eastAsiaTheme="minorEastAsia" w:hAnsi="Times New Roman" w:cs="Times New Roman"/>
      <w:bCs/>
      <w:sz w:val="24"/>
      <w:szCs w:val="24"/>
      <w:lang w:eastAsia="ru-RU"/>
    </w:rPr>
  </w:style>
  <w:style w:type="paragraph" w:customStyle="1" w:styleId="THKRecipaddress">
    <w:name w:val="THKRecipaddress"/>
    <w:uiPriority w:val="99"/>
    <w:pPr>
      <w:spacing w:after="280" w:line="280" w:lineRule="exact"/>
    </w:pPr>
    <w:rPr>
      <w:rFonts w:ascii="Arial" w:eastAsiaTheme="minorEastAsia" w:hAnsi="Arial" w:cs="Times New Roman"/>
      <w:sz w:val="24"/>
      <w:szCs w:val="20"/>
      <w:lang w:eastAsia="ru-RU"/>
    </w:rPr>
  </w:style>
  <w:style w:type="paragraph" w:customStyle="1" w:styleId="CharCharCharCharCharCharCharCharCharCharCharCharCharChar">
    <w:name w:val="Знак Знак Char Char Знак Знак Char Char Знак Знак Char Char Знак Знак Char Char Знак Знак Char Char Знак Знак Char Char Знак Знак Char Char"/>
    <w:basedOn w:val="a0"/>
    <w:uiPriority w:val="99"/>
    <w:pPr>
      <w:spacing w:after="160" w:line="240" w:lineRule="exact"/>
    </w:pPr>
    <w:rPr>
      <w:rFonts w:ascii="Verdana" w:hAnsi="Verdana"/>
      <w:sz w:val="20"/>
      <w:szCs w:val="20"/>
      <w:lang w:val="en-GB" w:eastAsia="en-US"/>
    </w:rPr>
  </w:style>
  <w:style w:type="paragraph" w:customStyle="1" w:styleId="150">
    <w:name w:val="Текст1.5"/>
    <w:basedOn w:val="a0"/>
    <w:uiPriority w:val="99"/>
    <w:pPr>
      <w:widowControl w:val="0"/>
      <w:tabs>
        <w:tab w:val="left" w:leader="dot" w:pos="7088"/>
      </w:tabs>
      <w:spacing w:before="120"/>
      <w:ind w:firstLine="851"/>
    </w:pPr>
  </w:style>
  <w:style w:type="paragraph" w:customStyle="1" w:styleId="afff2">
    <w:name w:val="Готовый"/>
    <w:basedOn w:val="a0"/>
    <w:uiPriority w:val="9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character" w:customStyle="1" w:styleId="EmailStyle53">
    <w:name w:val="EmailStyle53"/>
    <w:basedOn w:val="a1"/>
    <w:uiPriority w:val="99"/>
    <w:semiHidden/>
    <w:rPr>
      <w:rFonts w:ascii="Arial" w:hAnsi="Arial" w:cs="Arial"/>
      <w:color w:val="000080"/>
      <w:sz w:val="20"/>
      <w:szCs w:val="20"/>
    </w:rPr>
  </w:style>
  <w:style w:type="paragraph" w:customStyle="1" w:styleId="a">
    <w:name w:val="СМС Пункт подраздела"/>
    <w:basedOn w:val="a0"/>
    <w:link w:val="afff3"/>
    <w:autoRedefine/>
    <w:uiPriority w:val="99"/>
    <w:pPr>
      <w:numPr>
        <w:ilvl w:val="2"/>
        <w:numId w:val="2"/>
      </w:numPr>
      <w:tabs>
        <w:tab w:val="left" w:pos="1560"/>
      </w:tabs>
      <w:contextualSpacing/>
    </w:pPr>
    <w:rPr>
      <w:bCs/>
      <w:kern w:val="32"/>
    </w:rPr>
  </w:style>
  <w:style w:type="character" w:customStyle="1" w:styleId="afff3">
    <w:name w:val="СМС Пункт подраздела Знак"/>
    <w:basedOn w:val="a1"/>
    <w:link w:val="a"/>
    <w:uiPriority w:val="99"/>
    <w:locked/>
    <w:rPr>
      <w:rFonts w:ascii="Times New Roman" w:eastAsiaTheme="minorEastAsia" w:hAnsi="Times New Roman" w:cs="Times New Roman"/>
      <w:bCs/>
      <w:kern w:val="32"/>
      <w:sz w:val="24"/>
      <w:szCs w:val="24"/>
      <w:lang w:eastAsia="ru-RU"/>
    </w:rPr>
  </w:style>
  <w:style w:type="paragraph" w:styleId="2a">
    <w:name w:val="Body Text Indent 2"/>
    <w:basedOn w:val="a0"/>
    <w:link w:val="2b"/>
    <w:pPr>
      <w:spacing w:after="120" w:line="480" w:lineRule="auto"/>
      <w:ind w:left="283"/>
    </w:pPr>
    <w:rPr>
      <w:color w:val="000000"/>
    </w:rPr>
  </w:style>
  <w:style w:type="character" w:customStyle="1" w:styleId="2b">
    <w:name w:val="Основной текст с отступом 2 Знак"/>
    <w:basedOn w:val="a1"/>
    <w:link w:val="2a"/>
    <w:rPr>
      <w:rFonts w:ascii="Times New Roman" w:eastAsiaTheme="minorEastAsia" w:hAnsi="Times New Roman" w:cs="Times New Roman"/>
      <w:color w:val="000000"/>
      <w:sz w:val="24"/>
      <w:szCs w:val="24"/>
      <w:lang w:eastAsia="ru-RU"/>
    </w:rPr>
  </w:style>
  <w:style w:type="character" w:customStyle="1" w:styleId="62">
    <w:name w:val="Знак Знак6"/>
    <w:basedOn w:val="a1"/>
    <w:uiPriority w:val="99"/>
    <w:rPr>
      <w:rFonts w:cs="Times New Roman"/>
      <w:b/>
      <w:i/>
      <w:sz w:val="24"/>
      <w:lang w:val="ru-RU" w:eastAsia="ru-RU" w:bidi="ar-SA"/>
    </w:rPr>
  </w:style>
  <w:style w:type="numbering" w:customStyle="1" w:styleId="10">
    <w:name w:val="Текущий список1"/>
    <w:pPr>
      <w:numPr>
        <w:numId w:val="1"/>
      </w:numPr>
    </w:pPr>
  </w:style>
  <w:style w:type="character" w:customStyle="1" w:styleId="FontStyle60">
    <w:name w:val="Font Style60"/>
    <w:basedOn w:val="a1"/>
    <w:uiPriority w:val="99"/>
    <w:rPr>
      <w:rFonts w:ascii="Times New Roman" w:hAnsi="Times New Roman" w:cs="Times New Roman" w:hint="default"/>
      <w:sz w:val="20"/>
      <w:szCs w:val="20"/>
    </w:rPr>
  </w:style>
  <w:style w:type="character" w:customStyle="1" w:styleId="FontStyle126">
    <w:name w:val="Font Style126"/>
    <w:rPr>
      <w:rFonts w:ascii="Arial" w:hAnsi="Arial"/>
      <w:sz w:val="18"/>
    </w:rPr>
  </w:style>
  <w:style w:type="character" w:customStyle="1" w:styleId="FontStyle141">
    <w:name w:val="Font Style141"/>
    <w:rPr>
      <w:rFonts w:ascii="Arial" w:hAnsi="Arial"/>
      <w:sz w:val="18"/>
    </w:rPr>
  </w:style>
  <w:style w:type="character" w:customStyle="1" w:styleId="FontStyle58">
    <w:name w:val="Font Style58"/>
    <w:basedOn w:val="a1"/>
    <w:uiPriority w:val="99"/>
    <w:rPr>
      <w:rFonts w:ascii="Times New Roman" w:hAnsi="Times New Roman" w:cs="Times New Roman" w:hint="default"/>
      <w:sz w:val="22"/>
      <w:szCs w:val="22"/>
    </w:rPr>
  </w:style>
  <w:style w:type="character" w:customStyle="1" w:styleId="afff4">
    <w:name w:val="т№ Знак"/>
    <w:link w:val="afff5"/>
    <w:locked/>
    <w:rPr>
      <w:rFonts w:ascii="SimSun" w:eastAsia="SimSun" w:hAnsi="SimSun"/>
      <w:b/>
      <w:sz w:val="24"/>
      <w:szCs w:val="24"/>
    </w:rPr>
  </w:style>
  <w:style w:type="paragraph" w:customStyle="1" w:styleId="afff5">
    <w:name w:val="т№"/>
    <w:basedOn w:val="a0"/>
    <w:next w:val="a0"/>
    <w:link w:val="afff4"/>
    <w:pPr>
      <w:autoSpaceDE w:val="0"/>
      <w:autoSpaceDN w:val="0"/>
      <w:adjustRightInd w:val="0"/>
      <w:spacing w:before="120"/>
    </w:pPr>
    <w:rPr>
      <w:rFonts w:ascii="SimSun" w:eastAsia="SimSun" w:hAnsi="SimSun" w:cstheme="minorBidi"/>
      <w:b/>
    </w:rPr>
  </w:style>
  <w:style w:type="character" w:customStyle="1" w:styleId="st1">
    <w:name w:val="st1"/>
    <w:basedOn w:val="a1"/>
  </w:style>
  <w:style w:type="character" w:customStyle="1" w:styleId="apple-converted-space">
    <w:name w:val="apple-converted-space"/>
    <w:basedOn w:val="a1"/>
  </w:style>
  <w:style w:type="paragraph" w:customStyle="1" w:styleId="afff6">
    <w:name w:val="М_Обычный"/>
    <w:basedOn w:val="a0"/>
    <w:uiPriority w:val="99"/>
    <w:rPr>
      <w:rFonts w:eastAsia="Times New Roman"/>
      <w:szCs w:val="22"/>
      <w:lang w:eastAsia="en-US"/>
    </w:rPr>
  </w:style>
  <w:style w:type="paragraph" w:customStyle="1" w:styleId="11">
    <w:name w:val="М_СписокМарк_Уровень 1"/>
    <w:basedOn w:val="a0"/>
    <w:uiPriority w:val="99"/>
    <w:pPr>
      <w:numPr>
        <w:numId w:val="3"/>
      </w:numPr>
      <w:tabs>
        <w:tab w:val="left" w:pos="540"/>
      </w:tabs>
      <w:spacing w:before="120"/>
    </w:pPr>
    <w:rPr>
      <w:rFonts w:eastAsia="Times New Roman"/>
      <w:bCs/>
      <w:szCs w:val="22"/>
      <w:lang w:eastAsia="en-US"/>
    </w:rPr>
  </w:style>
  <w:style w:type="paragraph" w:customStyle="1" w:styleId="S20">
    <w:name w:val="S_Заголовок2_СписокН"/>
    <w:basedOn w:val="S22"/>
    <w:next w:val="S0"/>
    <w:pPr>
      <w:numPr>
        <w:numId w:val="11"/>
      </w:numPr>
      <w:ind w:left="0" w:firstLine="0"/>
    </w:pPr>
  </w:style>
  <w:style w:type="paragraph" w:customStyle="1" w:styleId="TableParagraph">
    <w:name w:val="Table Paragraph"/>
    <w:basedOn w:val="a0"/>
    <w:uiPriority w:val="1"/>
    <w:qFormat/>
    <w:pPr>
      <w:widowControl w:val="0"/>
    </w:pPr>
    <w:rPr>
      <w:rFonts w:ascii="Calibri" w:eastAsia="Calibri" w:hAnsi="Calibri"/>
      <w:sz w:val="22"/>
      <w:szCs w:val="22"/>
      <w:lang w:val="en-US" w:eastAsia="en-US"/>
    </w:rPr>
  </w:style>
  <w:style w:type="paragraph" w:customStyle="1" w:styleId="FORMATTEXT0">
    <w:name w:val=".FORMATTEXT"/>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Абзац списка1"/>
    <w:basedOn w:val="a0"/>
    <w:pPr>
      <w:ind w:left="720" w:firstLine="720"/>
      <w:contextualSpacing/>
    </w:pPr>
    <w:rPr>
      <w:rFonts w:eastAsia="Times New Roman"/>
    </w:rPr>
  </w:style>
  <w:style w:type="character" w:customStyle="1" w:styleId="afff7">
    <w:name w:val="перечень Знак"/>
    <w:link w:val="afff8"/>
    <w:locked/>
    <w:rPr>
      <w:rFonts w:eastAsia="Times New Roman"/>
    </w:rPr>
  </w:style>
  <w:style w:type="paragraph" w:customStyle="1" w:styleId="afff8">
    <w:name w:val="перечень"/>
    <w:basedOn w:val="a0"/>
    <w:link w:val="afff7"/>
    <w:pPr>
      <w:tabs>
        <w:tab w:val="num" w:pos="5557"/>
      </w:tabs>
      <w:ind w:left="5557" w:hanging="170"/>
    </w:pPr>
    <w:rPr>
      <w:rFonts w:asciiTheme="minorHAnsi" w:eastAsia="Times New Roman" w:hAnsiTheme="minorHAnsi" w:cstheme="minorBidi"/>
      <w:sz w:val="22"/>
      <w:szCs w:val="22"/>
    </w:rPr>
  </w:style>
  <w:style w:type="paragraph" w:customStyle="1" w:styleId="M">
    <w:name w:val="M_Обычный"/>
    <w:basedOn w:val="a0"/>
    <w:qFormat/>
    <w:rPr>
      <w:rFonts w:eastAsia="PMingLiU"/>
      <w:szCs w:val="20"/>
      <w:lang w:eastAsia="en-US"/>
    </w:rPr>
  </w:style>
  <w:style w:type="paragraph" w:customStyle="1" w:styleId="S30">
    <w:name w:val="S_Заголовок3_СписокН"/>
    <w:basedOn w:val="30"/>
    <w:next w:val="S0"/>
    <w:autoRedefine/>
    <w:pPr>
      <w:tabs>
        <w:tab w:val="left" w:pos="851"/>
      </w:tabs>
      <w:spacing w:before="0" w:after="0"/>
    </w:pPr>
    <w:rPr>
      <w:rFonts w:eastAsia="Times New Roman"/>
      <w:i/>
      <w:caps/>
      <w:sz w:val="20"/>
      <w:szCs w:val="20"/>
      <w:lang w:eastAsia="en-US"/>
    </w:rPr>
  </w:style>
  <w:style w:type="paragraph" w:customStyle="1" w:styleId="wp-caption-text">
    <w:name w:val="wp-caption-text"/>
    <w:basedOn w:val="a0"/>
    <w:pPr>
      <w:spacing w:before="100" w:beforeAutospacing="1" w:after="100" w:afterAutospacing="1"/>
    </w:pPr>
    <w:rPr>
      <w:rFonts w:eastAsia="Times New Roman"/>
    </w:rPr>
  </w:style>
  <w:style w:type="paragraph" w:customStyle="1" w:styleId="error">
    <w:name w:val="error"/>
    <w:basedOn w:val="a0"/>
    <w:pPr>
      <w:spacing w:before="100" w:beforeAutospacing="1" w:after="100" w:afterAutospacing="1"/>
    </w:pPr>
    <w:rPr>
      <w:rFonts w:eastAsia="Times New Roman"/>
    </w:rPr>
  </w:style>
  <w:style w:type="paragraph" w:customStyle="1" w:styleId="warning">
    <w:name w:val="warning"/>
    <w:basedOn w:val="a0"/>
    <w:pPr>
      <w:spacing w:before="100" w:beforeAutospacing="1" w:after="100" w:afterAutospacing="1"/>
    </w:pPr>
    <w:rPr>
      <w:rFonts w:eastAsia="Times New Roman"/>
    </w:rPr>
  </w:style>
  <w:style w:type="paragraph" w:customStyle="1" w:styleId="info">
    <w:name w:val="info"/>
    <w:basedOn w:val="a0"/>
    <w:pPr>
      <w:spacing w:before="100" w:beforeAutospacing="1" w:after="100" w:afterAutospacing="1"/>
    </w:pPr>
    <w:rPr>
      <w:rFonts w:eastAsia="Times New Roman"/>
    </w:rPr>
  </w:style>
  <w:style w:type="paragraph" w:customStyle="1" w:styleId="success">
    <w:name w:val="success"/>
    <w:basedOn w:val="a0"/>
    <w:pPr>
      <w:spacing w:before="100" w:beforeAutospacing="1" w:after="100" w:afterAutospacing="1"/>
    </w:pPr>
    <w:rPr>
      <w:rFonts w:eastAsia="Times New Roman"/>
    </w:rPr>
  </w:style>
  <w:style w:type="paragraph" w:customStyle="1" w:styleId="predc">
    <w:name w:val="predc"/>
    <w:basedOn w:val="a0"/>
    <w:pPr>
      <w:spacing w:before="100" w:beforeAutospacing="1" w:after="100" w:afterAutospacing="1"/>
    </w:pPr>
    <w:rPr>
      <w:rFonts w:eastAsia="Times New Roman"/>
    </w:rPr>
  </w:style>
  <w:style w:type="character" w:customStyle="1" w:styleId="afff9">
    <w:name w:val="перечень Знак Знак"/>
    <w:locked/>
    <w:rPr>
      <w:rFonts w:eastAsia="Times New Roman"/>
      <w:sz w:val="24"/>
    </w:rPr>
  </w:style>
  <w:style w:type="character" w:customStyle="1" w:styleId="FontStyle67">
    <w:name w:val="Font Style67"/>
    <w:rPr>
      <w:rFonts w:ascii="Arial" w:hAnsi="Arial"/>
      <w:sz w:val="24"/>
    </w:rPr>
  </w:style>
  <w:style w:type="paragraph" w:customStyle="1" w:styleId="afffa">
    <w:name w:val="Обычный строгий"/>
    <w:basedOn w:val="a0"/>
    <w:link w:val="afffb"/>
    <w:uiPriority w:val="99"/>
    <w:rPr>
      <w:rFonts w:eastAsia="Times New Roman"/>
      <w:b/>
      <w:i/>
      <w:szCs w:val="20"/>
      <w:lang w:eastAsia="en-US"/>
    </w:rPr>
  </w:style>
  <w:style w:type="character" w:customStyle="1" w:styleId="afffb">
    <w:name w:val="Обычный строгий Знак"/>
    <w:link w:val="afffa"/>
    <w:uiPriority w:val="99"/>
    <w:locked/>
    <w:rPr>
      <w:rFonts w:ascii="Times New Roman" w:eastAsia="Times New Roman" w:hAnsi="Times New Roman" w:cs="Times New Roman"/>
      <w:b/>
      <w:i/>
      <w:sz w:val="24"/>
      <w:szCs w:val="20"/>
    </w:rPr>
  </w:style>
  <w:style w:type="paragraph" w:customStyle="1" w:styleId="lists">
    <w:name w:val="list_s"/>
    <w:basedOn w:val="a0"/>
    <w:link w:val="lists0"/>
    <w:uiPriority w:val="99"/>
    <w:pPr>
      <w:numPr>
        <w:numId w:val="4"/>
      </w:numPr>
      <w:tabs>
        <w:tab w:val="left" w:pos="8820"/>
      </w:tabs>
      <w:spacing w:before="120" w:after="120"/>
      <w:ind w:right="535"/>
    </w:pPr>
    <w:rPr>
      <w:rFonts w:eastAsia="Times New Roman"/>
      <w:sz w:val="20"/>
      <w:szCs w:val="20"/>
      <w:lang w:eastAsia="en-US"/>
    </w:rPr>
  </w:style>
  <w:style w:type="paragraph" w:customStyle="1" w:styleId="listsn">
    <w:name w:val="list_s_n"/>
    <w:basedOn w:val="lists"/>
    <w:uiPriority w:val="99"/>
    <w:pPr>
      <w:numPr>
        <w:ilvl w:val="1"/>
      </w:numPr>
      <w:tabs>
        <w:tab w:val="clear" w:pos="1134"/>
      </w:tabs>
      <w:ind w:firstLine="357"/>
    </w:pPr>
  </w:style>
  <w:style w:type="paragraph" w:customStyle="1" w:styleId="listsnn">
    <w:name w:val="list_s_n_n"/>
    <w:basedOn w:val="listsn"/>
    <w:uiPriority w:val="99"/>
    <w:pPr>
      <w:numPr>
        <w:ilvl w:val="2"/>
      </w:numPr>
      <w:tabs>
        <w:tab w:val="clear" w:pos="1418"/>
      </w:tabs>
      <w:ind w:left="69" w:firstLine="357"/>
    </w:pPr>
  </w:style>
  <w:style w:type="paragraph" w:customStyle="1" w:styleId="listsnnn">
    <w:name w:val="list_s_n_n_n"/>
    <w:basedOn w:val="listsnn"/>
    <w:uiPriority w:val="99"/>
    <w:pPr>
      <w:numPr>
        <w:ilvl w:val="3"/>
      </w:numPr>
      <w:tabs>
        <w:tab w:val="clear" w:pos="1701"/>
      </w:tabs>
      <w:ind w:firstLine="357"/>
    </w:pPr>
  </w:style>
  <w:style w:type="character" w:customStyle="1" w:styleId="lists0">
    <w:name w:val="list_s Знак Знак"/>
    <w:link w:val="lists"/>
    <w:uiPriority w:val="99"/>
    <w:locked/>
    <w:rPr>
      <w:rFonts w:ascii="Times New Roman" w:eastAsia="Times New Roman" w:hAnsi="Times New Roman" w:cs="Times New Roman"/>
      <w:sz w:val="20"/>
      <w:szCs w:val="20"/>
    </w:rPr>
  </w:style>
  <w:style w:type="paragraph" w:customStyle="1" w:styleId="S11">
    <w:name w:val="S_ЗаголовкиТаблицы1"/>
    <w:basedOn w:val="S0"/>
    <w:pPr>
      <w:keepNext/>
      <w:jc w:val="center"/>
    </w:pPr>
    <w:rPr>
      <w:rFonts w:ascii="Arial" w:hAnsi="Arial"/>
      <w:b/>
      <w:caps/>
      <w:sz w:val="16"/>
      <w:szCs w:val="16"/>
    </w:rPr>
  </w:style>
  <w:style w:type="paragraph" w:customStyle="1" w:styleId="S5">
    <w:name w:val="S_НазваниеРисунка"/>
    <w:basedOn w:val="a0"/>
    <w:next w:val="S0"/>
    <w:pPr>
      <w:spacing w:before="60"/>
      <w:jc w:val="center"/>
    </w:pPr>
    <w:rPr>
      <w:rFonts w:ascii="Arial" w:eastAsia="Times New Roman" w:hAnsi="Arial"/>
      <w:b/>
      <w:sz w:val="20"/>
    </w:rPr>
  </w:style>
  <w:style w:type="character" w:customStyle="1" w:styleId="2c">
    <w:name w:val="Основной текст (2)_"/>
    <w:basedOn w:val="a1"/>
    <w:link w:val="2d"/>
    <w:rPr>
      <w:rFonts w:ascii="Arial Narrow" w:eastAsia="Arial Narrow" w:hAnsi="Arial Narrow" w:cs="Arial Narrow"/>
      <w:sz w:val="18"/>
      <w:szCs w:val="18"/>
      <w:shd w:val="clear" w:color="auto" w:fill="FFFFFF"/>
    </w:rPr>
  </w:style>
  <w:style w:type="character" w:customStyle="1" w:styleId="38">
    <w:name w:val="Основной текст (3)"/>
    <w:basedOn w:val="a1"/>
    <w:rPr>
      <w:rFonts w:ascii="Arial Narrow" w:eastAsia="Arial Narrow" w:hAnsi="Arial Narrow" w:cs="Arial Narrow"/>
      <w:b w:val="0"/>
      <w:bCs w:val="0"/>
      <w:i w:val="0"/>
      <w:iCs w:val="0"/>
      <w:smallCaps w:val="0"/>
      <w:strike w:val="0"/>
      <w:sz w:val="14"/>
      <w:szCs w:val="14"/>
      <w:u w:val="none"/>
    </w:rPr>
  </w:style>
  <w:style w:type="character" w:customStyle="1" w:styleId="39">
    <w:name w:val="Основной текст (3)_"/>
    <w:basedOn w:val="a1"/>
    <w:rPr>
      <w:rFonts w:ascii="Arial Narrow" w:eastAsia="Arial Narrow" w:hAnsi="Arial Narrow" w:cs="Arial Narrow"/>
      <w:b w:val="0"/>
      <w:bCs w:val="0"/>
      <w:i w:val="0"/>
      <w:iCs w:val="0"/>
      <w:smallCaps w:val="0"/>
      <w:strike w:val="0"/>
      <w:sz w:val="14"/>
      <w:szCs w:val="14"/>
      <w:u w:val="none"/>
    </w:rPr>
  </w:style>
  <w:style w:type="character" w:customStyle="1" w:styleId="3a">
    <w:name w:val="Основной текст (3) + Малые прописные"/>
    <w:basedOn w:val="39"/>
    <w:rPr>
      <w:rFonts w:ascii="Arial Narrow" w:eastAsia="Arial Narrow" w:hAnsi="Arial Narrow" w:cs="Arial Narrow"/>
      <w:b w:val="0"/>
      <w:bCs w:val="0"/>
      <w:i w:val="0"/>
      <w:iCs w:val="0"/>
      <w:smallCaps/>
      <w:strike w:val="0"/>
      <w:color w:val="000000"/>
      <w:spacing w:val="0"/>
      <w:w w:val="100"/>
      <w:position w:val="0"/>
      <w:sz w:val="14"/>
      <w:szCs w:val="14"/>
      <w:u w:val="none"/>
    </w:rPr>
  </w:style>
  <w:style w:type="paragraph" w:customStyle="1" w:styleId="2d">
    <w:name w:val="Основной текст (2)"/>
    <w:basedOn w:val="a0"/>
    <w:link w:val="2c"/>
    <w:pPr>
      <w:widowControl w:val="0"/>
      <w:shd w:val="clear" w:color="auto" w:fill="FFFFFF"/>
      <w:spacing w:line="269" w:lineRule="exact"/>
      <w:jc w:val="center"/>
    </w:pPr>
    <w:rPr>
      <w:rFonts w:ascii="Arial Narrow" w:eastAsia="Arial Narrow" w:hAnsi="Arial Narrow" w:cs="Arial Narrow"/>
      <w:sz w:val="18"/>
      <w:szCs w:val="18"/>
      <w:lang w:eastAsia="en-US"/>
    </w:rPr>
  </w:style>
  <w:style w:type="paragraph" w:styleId="afffc">
    <w:name w:val="TOC Heading"/>
    <w:basedOn w:val="13"/>
    <w:next w:val="a0"/>
    <w:uiPriority w:val="39"/>
    <w:unhideWhenUsed/>
    <w:qFormat/>
    <w:pPr>
      <w:keepLines/>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S6">
    <w:name w:val="S_Версия"/>
    <w:basedOn w:val="S0"/>
    <w:next w:val="S0"/>
    <w:autoRedefine/>
    <w:pPr>
      <w:spacing w:before="120" w:after="120"/>
      <w:jc w:val="center"/>
    </w:pPr>
    <w:rPr>
      <w:rFonts w:ascii="Arial" w:hAnsi="Arial"/>
      <w:b/>
      <w:caps/>
      <w:sz w:val="20"/>
      <w:szCs w:val="20"/>
    </w:rPr>
  </w:style>
  <w:style w:type="paragraph" w:customStyle="1" w:styleId="S7">
    <w:name w:val="S_ВерхКолонтитулТекст"/>
    <w:basedOn w:val="S0"/>
    <w:next w:val="S0"/>
    <w:pPr>
      <w:spacing w:before="120"/>
      <w:jc w:val="right"/>
    </w:pPr>
    <w:rPr>
      <w:rFonts w:ascii="Arial" w:hAnsi="Arial"/>
      <w:b/>
      <w:caps/>
      <w:sz w:val="10"/>
      <w:szCs w:val="10"/>
    </w:rPr>
  </w:style>
  <w:style w:type="paragraph" w:customStyle="1" w:styleId="S8">
    <w:name w:val="S_ВидДокумента"/>
    <w:basedOn w:val="a7"/>
    <w:next w:val="S0"/>
    <w:link w:val="S9"/>
    <w:pPr>
      <w:spacing w:before="120" w:after="0"/>
      <w:jc w:val="right"/>
    </w:pPr>
    <w:rPr>
      <w:rFonts w:ascii="EuropeDemiC" w:eastAsia="Times New Roman" w:hAnsi="EuropeDemiC" w:cs="Arial"/>
      <w:b/>
      <w:caps/>
      <w:sz w:val="36"/>
      <w:szCs w:val="36"/>
    </w:rPr>
  </w:style>
  <w:style w:type="character" w:customStyle="1" w:styleId="S9">
    <w:name w:val="S_ВидДокумента Знак"/>
    <w:link w:val="S8"/>
    <w:rPr>
      <w:rFonts w:ascii="EuropeDemiC" w:eastAsia="Times New Roman" w:hAnsi="EuropeDemiC" w:cs="Arial"/>
      <w:b/>
      <w:caps/>
      <w:sz w:val="36"/>
      <w:szCs w:val="36"/>
      <w:lang w:eastAsia="ru-RU"/>
    </w:rPr>
  </w:style>
  <w:style w:type="paragraph" w:customStyle="1" w:styleId="Sa">
    <w:name w:val="S_Гиперссылка"/>
    <w:basedOn w:val="S0"/>
    <w:rPr>
      <w:color w:val="0000FF"/>
      <w:u w:val="single"/>
    </w:rPr>
  </w:style>
  <w:style w:type="paragraph" w:customStyle="1" w:styleId="Sb">
    <w:name w:val="S_Гриф"/>
    <w:basedOn w:val="S0"/>
    <w:pPr>
      <w:widowControl/>
      <w:spacing w:line="360" w:lineRule="auto"/>
      <w:ind w:left="5392"/>
      <w:jc w:val="left"/>
    </w:pPr>
    <w:rPr>
      <w:rFonts w:ascii="Arial" w:hAnsi="Arial"/>
      <w:b/>
      <w:sz w:val="20"/>
    </w:rPr>
  </w:style>
  <w:style w:type="paragraph" w:customStyle="1" w:styleId="S23">
    <w:name w:val="S_ЗаголовкиТаблицы2"/>
    <w:basedOn w:val="S0"/>
    <w:pPr>
      <w:jc w:val="center"/>
    </w:pPr>
    <w:rPr>
      <w:rFonts w:ascii="Arial" w:hAnsi="Arial"/>
      <w:b/>
      <w:sz w:val="14"/>
    </w:rPr>
  </w:style>
  <w:style w:type="paragraph" w:customStyle="1" w:styleId="S12">
    <w:name w:val="S_Заголовок1"/>
    <w:basedOn w:val="a0"/>
    <w:next w:val="S0"/>
    <w:pPr>
      <w:keepNext/>
      <w:pageBreakBefore/>
      <w:outlineLvl w:val="0"/>
    </w:pPr>
    <w:rPr>
      <w:rFonts w:ascii="Arial" w:eastAsia="Times New Roman" w:hAnsi="Arial"/>
      <w:b/>
      <w:caps/>
      <w:sz w:val="32"/>
      <w:szCs w:val="32"/>
    </w:rPr>
  </w:style>
  <w:style w:type="paragraph" w:customStyle="1" w:styleId="S10">
    <w:name w:val="S_Заголовок1_Прил_СписокН"/>
    <w:basedOn w:val="S0"/>
    <w:next w:val="S0"/>
    <w:pPr>
      <w:keepNext/>
      <w:pageBreakBefore/>
      <w:widowControl/>
      <w:numPr>
        <w:numId w:val="5"/>
      </w:numPr>
      <w:ind w:left="0" w:firstLine="0"/>
      <w:outlineLvl w:val="1"/>
    </w:pPr>
    <w:rPr>
      <w:rFonts w:ascii="Arial" w:hAnsi="Arial"/>
      <w:b/>
      <w:caps/>
    </w:rPr>
  </w:style>
  <w:style w:type="paragraph" w:customStyle="1" w:styleId="S13">
    <w:name w:val="S_Заголовок1_СписокН"/>
    <w:basedOn w:val="S12"/>
    <w:next w:val="S0"/>
    <w:uiPriority w:val="99"/>
  </w:style>
  <w:style w:type="paragraph" w:customStyle="1" w:styleId="S22">
    <w:name w:val="S_Заголовок2"/>
    <w:basedOn w:val="a0"/>
    <w:next w:val="S0"/>
    <w:pPr>
      <w:keepNext/>
      <w:outlineLvl w:val="1"/>
    </w:pPr>
    <w:rPr>
      <w:rFonts w:ascii="Arial" w:eastAsia="Times New Roman" w:hAnsi="Arial"/>
      <w:b/>
      <w:caps/>
    </w:rPr>
  </w:style>
  <w:style w:type="paragraph" w:customStyle="1" w:styleId="S21">
    <w:name w:val="S_Заголовок2_Прил_СписокН"/>
    <w:basedOn w:val="S0"/>
    <w:next w:val="S0"/>
    <w:pPr>
      <w:keepNext/>
      <w:keepLines/>
      <w:numPr>
        <w:ilvl w:val="2"/>
        <w:numId w:val="5"/>
      </w:numPr>
      <w:tabs>
        <w:tab w:val="clear" w:pos="1224"/>
        <w:tab w:val="num" w:pos="360"/>
        <w:tab w:val="left" w:pos="720"/>
      </w:tabs>
      <w:ind w:left="0" w:firstLine="0"/>
      <w:jc w:val="left"/>
      <w:outlineLvl w:val="2"/>
    </w:pPr>
    <w:rPr>
      <w:rFonts w:ascii="Arial" w:hAnsi="Arial"/>
      <w:b/>
      <w:caps/>
      <w:szCs w:val="20"/>
    </w:rPr>
  </w:style>
  <w:style w:type="paragraph" w:customStyle="1" w:styleId="Sc">
    <w:name w:val="S_МестоГод"/>
    <w:basedOn w:val="S0"/>
    <w:pPr>
      <w:spacing w:before="120"/>
      <w:jc w:val="center"/>
    </w:pPr>
    <w:rPr>
      <w:rFonts w:ascii="Arial" w:hAnsi="Arial"/>
      <w:b/>
      <w:caps/>
      <w:sz w:val="18"/>
      <w:szCs w:val="18"/>
    </w:rPr>
  </w:style>
  <w:style w:type="paragraph" w:customStyle="1" w:styleId="Sd">
    <w:name w:val="S_НазваниеТаблицы"/>
    <w:basedOn w:val="S0"/>
    <w:next w:val="S0"/>
    <w:pPr>
      <w:keepNext/>
      <w:jc w:val="right"/>
    </w:pPr>
    <w:rPr>
      <w:rFonts w:ascii="Arial" w:hAnsi="Arial"/>
      <w:b/>
      <w:sz w:val="20"/>
    </w:rPr>
  </w:style>
  <w:style w:type="paragraph" w:customStyle="1" w:styleId="Se">
    <w:name w:val="S_НаименованиеДокумента"/>
    <w:basedOn w:val="S0"/>
    <w:next w:val="S0"/>
    <w:pPr>
      <w:widowControl/>
      <w:ind w:right="641"/>
      <w:jc w:val="left"/>
    </w:pPr>
    <w:rPr>
      <w:rFonts w:ascii="Arial" w:hAnsi="Arial"/>
      <w:b/>
      <w:caps/>
    </w:rPr>
  </w:style>
  <w:style w:type="paragraph" w:customStyle="1" w:styleId="Sf">
    <w:name w:val="S_НижнКолонтЛев"/>
    <w:basedOn w:val="S0"/>
    <w:next w:val="S0"/>
    <w:pPr>
      <w:jc w:val="left"/>
    </w:pPr>
    <w:rPr>
      <w:rFonts w:ascii="Arial" w:hAnsi="Arial"/>
      <w:b/>
      <w:caps/>
      <w:sz w:val="10"/>
      <w:szCs w:val="10"/>
    </w:rPr>
  </w:style>
  <w:style w:type="paragraph" w:customStyle="1" w:styleId="Sf0">
    <w:name w:val="S_НижнКолонтПрав"/>
    <w:basedOn w:val="S0"/>
    <w:next w:val="S0"/>
    <w:pPr>
      <w:widowControl/>
      <w:ind w:hanging="181"/>
      <w:jc w:val="right"/>
    </w:pPr>
    <w:rPr>
      <w:rFonts w:ascii="Arial" w:hAnsi="Arial"/>
      <w:b/>
      <w:caps/>
      <w:sz w:val="12"/>
      <w:szCs w:val="12"/>
    </w:rPr>
  </w:style>
  <w:style w:type="paragraph" w:customStyle="1" w:styleId="Sf1">
    <w:name w:val="S_НомерДокумента"/>
    <w:basedOn w:val="S0"/>
    <w:next w:val="S0"/>
    <w:pPr>
      <w:spacing w:before="120" w:after="120"/>
      <w:jc w:val="center"/>
    </w:pPr>
    <w:rPr>
      <w:rFonts w:ascii="Arial" w:hAnsi="Arial"/>
      <w:b/>
      <w:caps/>
    </w:rPr>
  </w:style>
  <w:style w:type="paragraph" w:customStyle="1" w:styleId="S14">
    <w:name w:val="S_ТекстВТаблице1"/>
    <w:basedOn w:val="S0"/>
    <w:next w:val="S0"/>
    <w:pPr>
      <w:spacing w:before="120"/>
      <w:jc w:val="left"/>
    </w:pPr>
    <w:rPr>
      <w:szCs w:val="28"/>
    </w:rPr>
  </w:style>
  <w:style w:type="paragraph" w:customStyle="1" w:styleId="S1">
    <w:name w:val="S_НумСписВ Таблице1"/>
    <w:basedOn w:val="S14"/>
    <w:next w:val="S0"/>
    <w:pPr>
      <w:numPr>
        <w:numId w:val="7"/>
      </w:numPr>
      <w:ind w:left="0" w:firstLine="0"/>
    </w:pPr>
  </w:style>
  <w:style w:type="paragraph" w:customStyle="1" w:styleId="S24">
    <w:name w:val="S_ТекстВТаблице2"/>
    <w:basedOn w:val="S0"/>
    <w:next w:val="S0"/>
    <w:pPr>
      <w:spacing w:before="120"/>
      <w:jc w:val="left"/>
    </w:pPr>
    <w:rPr>
      <w:sz w:val="20"/>
    </w:rPr>
  </w:style>
  <w:style w:type="paragraph" w:customStyle="1" w:styleId="S2">
    <w:name w:val="S_НумСписВТаблице2"/>
    <w:basedOn w:val="S24"/>
    <w:next w:val="S0"/>
    <w:pPr>
      <w:numPr>
        <w:numId w:val="8"/>
      </w:numPr>
      <w:ind w:left="0" w:firstLine="0"/>
    </w:pPr>
  </w:style>
  <w:style w:type="paragraph" w:customStyle="1" w:styleId="S31">
    <w:name w:val="S_ТекстВТаблице3"/>
    <w:basedOn w:val="S0"/>
    <w:next w:val="S0"/>
    <w:pPr>
      <w:spacing w:before="120"/>
      <w:jc w:val="left"/>
    </w:pPr>
    <w:rPr>
      <w:sz w:val="16"/>
    </w:rPr>
  </w:style>
  <w:style w:type="paragraph" w:customStyle="1" w:styleId="S3">
    <w:name w:val="S_НумСписВТаблице3"/>
    <w:basedOn w:val="S31"/>
    <w:next w:val="S0"/>
    <w:pPr>
      <w:numPr>
        <w:numId w:val="9"/>
      </w:numPr>
      <w:tabs>
        <w:tab w:val="clear" w:pos="432"/>
        <w:tab w:val="num" w:pos="360"/>
      </w:tabs>
      <w:ind w:left="0" w:firstLine="0"/>
    </w:pPr>
  </w:style>
  <w:style w:type="paragraph" w:customStyle="1" w:styleId="Sf2">
    <w:name w:val="S_Примечание"/>
    <w:basedOn w:val="S0"/>
    <w:next w:val="S0"/>
    <w:pPr>
      <w:ind w:left="567"/>
    </w:pPr>
    <w:rPr>
      <w:i/>
      <w:u w:val="single"/>
    </w:rPr>
  </w:style>
  <w:style w:type="paragraph" w:customStyle="1" w:styleId="Sf3">
    <w:name w:val="S_ПримечаниеТекст"/>
    <w:basedOn w:val="S0"/>
    <w:next w:val="S0"/>
    <w:pPr>
      <w:spacing w:before="120"/>
      <w:ind w:left="567"/>
    </w:pPr>
    <w:rPr>
      <w:i/>
    </w:rPr>
  </w:style>
  <w:style w:type="paragraph" w:customStyle="1" w:styleId="Sf4">
    <w:name w:val="S_Рисунок"/>
    <w:basedOn w:val="S0"/>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Pr>
      <w:rFonts w:ascii="Arial" w:hAnsi="Arial"/>
      <w:sz w:val="16"/>
    </w:rPr>
  </w:style>
  <w:style w:type="paragraph" w:customStyle="1" w:styleId="Sf6">
    <w:name w:val="S_Содержание"/>
    <w:basedOn w:val="S0"/>
    <w:next w:val="S0"/>
    <w:rPr>
      <w:rFonts w:ascii="Arial" w:hAnsi="Arial"/>
      <w:b/>
      <w:caps/>
      <w:sz w:val="32"/>
      <w:szCs w:val="32"/>
    </w:rPr>
  </w:style>
  <w:style w:type="paragraph" w:customStyle="1" w:styleId="S">
    <w:name w:val="S_СписокМ_Обычный"/>
    <w:basedOn w:val="a0"/>
    <w:next w:val="S0"/>
    <w:link w:val="Sf7"/>
    <w:pPr>
      <w:numPr>
        <w:numId w:val="10"/>
      </w:numPr>
      <w:spacing w:before="120"/>
    </w:pPr>
    <w:rPr>
      <w:rFonts w:eastAsia="Times New Roman"/>
    </w:rPr>
  </w:style>
  <w:style w:type="character" w:customStyle="1" w:styleId="Sf7">
    <w:name w:val="S_СписокМ_Обычный Знак"/>
    <w:link w:val="S"/>
    <w:rPr>
      <w:rFonts w:ascii="Times New Roman" w:eastAsia="Times New Roman" w:hAnsi="Times New Roman" w:cs="Times New Roman"/>
      <w:sz w:val="24"/>
      <w:szCs w:val="24"/>
      <w:lang w:eastAsia="ru-RU"/>
    </w:rPr>
  </w:style>
  <w:style w:type="table" w:customStyle="1" w:styleId="Sf8">
    <w:name w:val="S_Таблица"/>
    <w:basedOn w:val="a2"/>
    <w:pPr>
      <w:spacing w:after="0" w:line="240" w:lineRule="auto"/>
    </w:pPr>
    <w:rPr>
      <w:rFonts w:ascii="Calibri" w:eastAsia="Times New Roman" w:hAnsi="Calibri"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0"/>
    <w:pPr>
      <w:ind w:left="431"/>
    </w:pPr>
    <w:rPr>
      <w:rFonts w:ascii="EuropeExt" w:hAnsi="EuropeExt" w:cs="Tahoma"/>
      <w:bCs/>
      <w:spacing w:val="18"/>
      <w:sz w:val="12"/>
      <w:szCs w:val="12"/>
    </w:rPr>
  </w:style>
  <w:style w:type="paragraph" w:customStyle="1" w:styleId="S15">
    <w:name w:val="S_ТекстЛоготипа1"/>
    <w:basedOn w:val="S0"/>
    <w:next w:val="S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0"/>
    <w:next w:val="S0"/>
    <w:pPr>
      <w:ind w:left="431"/>
    </w:pPr>
    <w:rPr>
      <w:rFonts w:ascii="EuropeExt" w:hAnsi="EuropeExt" w:cs="Tahoma"/>
      <w:bCs/>
      <w:spacing w:val="18"/>
      <w:sz w:val="12"/>
      <w:szCs w:val="12"/>
    </w:rPr>
  </w:style>
  <w:style w:type="paragraph" w:customStyle="1" w:styleId="S16">
    <w:name w:val="S_ТекстСодержания1"/>
    <w:basedOn w:val="S0"/>
    <w:next w:val="S0"/>
    <w:link w:val="S17"/>
    <w:pPr>
      <w:spacing w:before="120"/>
    </w:pPr>
    <w:rPr>
      <w:rFonts w:ascii="Arial" w:hAnsi="Arial"/>
      <w:b/>
      <w:caps/>
      <w:sz w:val="20"/>
      <w:szCs w:val="20"/>
    </w:rPr>
  </w:style>
  <w:style w:type="character" w:customStyle="1" w:styleId="S17">
    <w:name w:val="S_ТекстСодержания1 Знак"/>
    <w:link w:val="S16"/>
    <w:rPr>
      <w:rFonts w:ascii="Arial" w:eastAsia="Times New Roman" w:hAnsi="Arial" w:cs="Times New Roman"/>
      <w:b/>
      <w:caps/>
      <w:sz w:val="20"/>
      <w:szCs w:val="20"/>
      <w:lang w:eastAsia="ru-RU"/>
    </w:rPr>
  </w:style>
  <w:style w:type="paragraph" w:customStyle="1" w:styleId="Sfa">
    <w:name w:val="S_Термин"/>
    <w:basedOn w:val="a0"/>
    <w:next w:val="S0"/>
    <w:link w:val="Sfb"/>
    <w:rPr>
      <w:rFonts w:ascii="Arial" w:eastAsia="Times New Roman" w:hAnsi="Arial"/>
      <w:b/>
      <w:i/>
      <w:caps/>
      <w:sz w:val="20"/>
      <w:szCs w:val="20"/>
    </w:rPr>
  </w:style>
  <w:style w:type="character" w:customStyle="1" w:styleId="Sfb">
    <w:name w:val="S_Термин Знак"/>
    <w:link w:val="Sfa"/>
    <w:rPr>
      <w:rFonts w:ascii="Arial" w:eastAsia="Times New Roman" w:hAnsi="Arial" w:cs="Times New Roman"/>
      <w:b/>
      <w:i/>
      <w:caps/>
      <w:sz w:val="20"/>
      <w:szCs w:val="20"/>
      <w:lang w:eastAsia="ru-RU"/>
    </w:rPr>
  </w:style>
  <w:style w:type="character" w:customStyle="1" w:styleId="section-title-id">
    <w:name w:val="section-title-id"/>
    <w:basedOn w:val="a1"/>
  </w:style>
  <w:style w:type="numbering" w:customStyle="1" w:styleId="1a">
    <w:name w:val="Нет списка1"/>
    <w:next w:val="a3"/>
    <w:uiPriority w:val="99"/>
    <w:semiHidden/>
    <w:unhideWhenUsed/>
  </w:style>
  <w:style w:type="numbering" w:customStyle="1" w:styleId="110">
    <w:name w:val="Нет списка11"/>
    <w:next w:val="a3"/>
    <w:uiPriority w:val="99"/>
    <w:semiHidden/>
    <w:unhideWhenUsed/>
  </w:style>
  <w:style w:type="paragraph" w:customStyle="1" w:styleId="20">
    <w:name w:val="м_Заголовок2"/>
    <w:basedOn w:val="a0"/>
    <w:qFormat/>
    <w:pPr>
      <w:keepNext/>
      <w:numPr>
        <w:ilvl w:val="1"/>
        <w:numId w:val="13"/>
      </w:numPr>
      <w:tabs>
        <w:tab w:val="left" w:pos="425"/>
      </w:tabs>
      <w:outlineLvl w:val="1"/>
    </w:pPr>
    <w:rPr>
      <w:rFonts w:ascii="Arial" w:eastAsia="Times New Roman" w:hAnsi="Arial" w:cs="Arial"/>
      <w:b/>
      <w:caps/>
      <w:szCs w:val="32"/>
    </w:rPr>
  </w:style>
  <w:style w:type="paragraph" w:customStyle="1" w:styleId="1">
    <w:name w:val="м_Заголовок 1"/>
    <w:basedOn w:val="affd"/>
    <w:qFormat/>
    <w:pPr>
      <w:numPr>
        <w:numId w:val="14"/>
      </w:numPr>
      <w:tabs>
        <w:tab w:val="left" w:pos="425"/>
      </w:tabs>
      <w:spacing w:line="240" w:lineRule="auto"/>
      <w:contextualSpacing w:val="0"/>
      <w:jc w:val="left"/>
      <w:outlineLvl w:val="0"/>
    </w:pPr>
    <w:rPr>
      <w:rFonts w:eastAsia="Times New Roman" w:cs="Arial"/>
      <w:b/>
      <w:caps/>
      <w:sz w:val="32"/>
      <w:szCs w:val="32"/>
      <w:lang w:eastAsia="ru-RU"/>
    </w:rPr>
  </w:style>
  <w:style w:type="paragraph" w:styleId="afffd">
    <w:name w:val="Title"/>
    <w:basedOn w:val="a0"/>
    <w:next w:val="a0"/>
    <w:link w:val="afffe"/>
    <w:uiPriority w:val="10"/>
    <w:qFormat/>
    <w:pPr>
      <w:jc w:val="center"/>
    </w:pPr>
    <w:rPr>
      <w:rFonts w:ascii="Arial" w:eastAsiaTheme="majorEastAsia" w:hAnsi="Arial" w:cstheme="majorBidi"/>
      <w:b/>
      <w:spacing w:val="5"/>
      <w:kern w:val="28"/>
      <w:sz w:val="20"/>
      <w:szCs w:val="52"/>
    </w:rPr>
  </w:style>
  <w:style w:type="character" w:customStyle="1" w:styleId="afffe">
    <w:name w:val="Название Знак"/>
    <w:basedOn w:val="a1"/>
    <w:link w:val="afffd"/>
    <w:uiPriority w:val="10"/>
    <w:rPr>
      <w:rFonts w:ascii="Arial" w:eastAsiaTheme="majorEastAsia" w:hAnsi="Arial" w:cstheme="majorBidi"/>
      <w:b/>
      <w:spacing w:val="5"/>
      <w:kern w:val="28"/>
      <w:sz w:val="20"/>
      <w:szCs w:val="52"/>
      <w:lang w:eastAsia="ru-RU"/>
    </w:rPr>
  </w:style>
  <w:style w:type="paragraph" w:styleId="21">
    <w:name w:val="List 2"/>
    <w:basedOn w:val="a0"/>
    <w:pPr>
      <w:widowControl w:val="0"/>
      <w:numPr>
        <w:numId w:val="15"/>
      </w:numPr>
      <w:overflowPunct w:val="0"/>
      <w:autoSpaceDE w:val="0"/>
      <w:autoSpaceDN w:val="0"/>
      <w:adjustRightInd w:val="0"/>
      <w:spacing w:before="60"/>
      <w:textAlignment w:val="baseline"/>
    </w:pPr>
    <w:rPr>
      <w:rFonts w:eastAsia="Times New Roman"/>
      <w:szCs w:val="20"/>
    </w:rPr>
  </w:style>
  <w:style w:type="paragraph" w:customStyle="1" w:styleId="ConsNormal">
    <w:name w:val="ConsNormal"/>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fff">
    <w:name w:val="FollowedHyperlink"/>
    <w:uiPriority w:val="99"/>
    <w:rPr>
      <w:color w:val="800080"/>
      <w:u w:val="single"/>
    </w:rPr>
  </w:style>
  <w:style w:type="paragraph" w:styleId="affff0">
    <w:name w:val="Block Text"/>
    <w:basedOn w:val="a0"/>
    <w:pPr>
      <w:autoSpaceDE w:val="0"/>
      <w:autoSpaceDN w:val="0"/>
      <w:adjustRightInd w:val="0"/>
      <w:ind w:left="540" w:right="-82"/>
    </w:pPr>
    <w:rPr>
      <w:rFonts w:eastAsia="Times New Roman"/>
      <w:i/>
    </w:rPr>
  </w:style>
  <w:style w:type="paragraph" w:customStyle="1" w:styleId="affff1">
    <w:name w:val="текст"/>
    <w:basedOn w:val="a0"/>
    <w:pPr>
      <w:widowControl w:val="0"/>
      <w:overflowPunct w:val="0"/>
      <w:autoSpaceDE w:val="0"/>
      <w:autoSpaceDN w:val="0"/>
      <w:adjustRightInd w:val="0"/>
      <w:spacing w:before="60" w:after="3000"/>
      <w:textAlignment w:val="baseline"/>
    </w:pPr>
    <w:rPr>
      <w:rFonts w:eastAsia="Times New Roman"/>
      <w:b/>
      <w:szCs w:val="20"/>
    </w:rPr>
  </w:style>
  <w:style w:type="table" w:customStyle="1" w:styleId="1b">
    <w:name w:val="Сетка таблицы1"/>
    <w:basedOn w:val="a2"/>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Словарная статья"/>
    <w:basedOn w:val="a0"/>
    <w:next w:val="a0"/>
    <w:pPr>
      <w:autoSpaceDE w:val="0"/>
      <w:autoSpaceDN w:val="0"/>
      <w:adjustRightInd w:val="0"/>
      <w:ind w:right="118"/>
    </w:pPr>
    <w:rPr>
      <w:rFonts w:ascii="Arial" w:eastAsia="Times New Roman" w:hAnsi="Arial"/>
      <w:sz w:val="20"/>
      <w:szCs w:val="20"/>
    </w:rPr>
  </w:style>
  <w:style w:type="paragraph" w:customStyle="1" w:styleId="u">
    <w:name w:val="u"/>
    <w:basedOn w:val="a0"/>
    <w:pPr>
      <w:spacing w:before="100" w:beforeAutospacing="1" w:after="100" w:afterAutospacing="1"/>
    </w:pPr>
    <w:rPr>
      <w:rFonts w:eastAsia="Times New Roman"/>
    </w:rPr>
  </w:style>
  <w:style w:type="paragraph" w:customStyle="1" w:styleId="ConsPlusNonformat">
    <w:name w:val="ConsPlusNonformat"/>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ieldtitlesmall1">
    <w:name w:val="fieldtitlesmall1"/>
    <w:rPr>
      <w:rFonts w:ascii="Arial" w:hAnsi="Arial" w:cs="Arial" w:hint="default"/>
      <w:b w:val="0"/>
      <w:bCs w:val="0"/>
      <w:i w:val="0"/>
      <w:iCs w:val="0"/>
      <w:sz w:val="15"/>
      <w:szCs w:val="15"/>
    </w:rPr>
  </w:style>
  <w:style w:type="paragraph" w:customStyle="1" w:styleId="affff3">
    <w:name w:val="a"/>
    <w:basedOn w:val="a0"/>
    <w:pPr>
      <w:spacing w:after="180"/>
      <w:ind w:left="5670"/>
    </w:pPr>
    <w:rPr>
      <w:rFonts w:eastAsia="Times New Roman"/>
    </w:rPr>
  </w:style>
  <w:style w:type="paragraph" w:customStyle="1" w:styleId="affff4">
    <w:name w:val="Прижатый влево"/>
    <w:basedOn w:val="a0"/>
    <w:next w:val="a0"/>
    <w:pPr>
      <w:suppressAutoHyphens/>
      <w:autoSpaceDE w:val="0"/>
    </w:pPr>
    <w:rPr>
      <w:rFonts w:ascii="Arial" w:eastAsia="Times New Roman" w:hAnsi="Arial" w:cs="Arial"/>
      <w:sz w:val="20"/>
      <w:szCs w:val="20"/>
      <w:lang w:eastAsia="ar-SA"/>
    </w:rPr>
  </w:style>
  <w:style w:type="paragraph" w:customStyle="1" w:styleId="npb">
    <w:name w:val="npb"/>
    <w:basedOn w:val="a0"/>
    <w:pPr>
      <w:numPr>
        <w:ilvl w:val="2"/>
        <w:numId w:val="16"/>
      </w:numPr>
      <w:suppressAutoHyphens/>
      <w:spacing w:before="15" w:after="15"/>
      <w:ind w:left="0" w:firstLine="0"/>
      <w:jc w:val="center"/>
    </w:pPr>
    <w:rPr>
      <w:rFonts w:eastAsia="Times New Roman"/>
      <w:b/>
      <w:bCs/>
      <w:color w:val="800000"/>
      <w:sz w:val="28"/>
      <w:szCs w:val="28"/>
      <w:lang w:eastAsia="ar-SA"/>
    </w:rPr>
  </w:style>
  <w:style w:type="paragraph" w:customStyle="1" w:styleId="1c">
    <w:name w:val="Название объекта1"/>
    <w:basedOn w:val="a0"/>
    <w:next w:val="a0"/>
    <w:pPr>
      <w:suppressAutoHyphens/>
      <w:jc w:val="center"/>
    </w:pPr>
    <w:rPr>
      <w:rFonts w:ascii="Arial Narrow" w:eastAsia="Times New Roman" w:hAnsi="Arial Narrow" w:cs="Arial Narrow"/>
      <w:b/>
      <w:bCs/>
      <w:color w:val="000080"/>
      <w:sz w:val="20"/>
      <w:lang w:eastAsia="ar-SA"/>
    </w:rPr>
  </w:style>
  <w:style w:type="paragraph" w:customStyle="1" w:styleId="affff5">
    <w:name w:val="Заголовок приложения"/>
    <w:basedOn w:val="a0"/>
    <w:next w:val="a0"/>
    <w:pPr>
      <w:widowControl w:val="0"/>
      <w:overflowPunct w:val="0"/>
      <w:autoSpaceDE w:val="0"/>
      <w:autoSpaceDN w:val="0"/>
      <w:adjustRightInd w:val="0"/>
      <w:spacing w:before="60"/>
      <w:jc w:val="center"/>
      <w:textAlignment w:val="baseline"/>
    </w:pPr>
    <w:rPr>
      <w:rFonts w:eastAsia="Times New Roman"/>
      <w:b/>
      <w:sz w:val="28"/>
      <w:szCs w:val="20"/>
    </w:rPr>
  </w:style>
  <w:style w:type="paragraph" w:customStyle="1" w:styleId="2e">
    <w:name w:val="Название объекта2"/>
    <w:basedOn w:val="a0"/>
    <w:next w:val="a0"/>
    <w:pPr>
      <w:suppressAutoHyphens/>
    </w:pPr>
    <w:rPr>
      <w:rFonts w:eastAsia="Times New Roman"/>
      <w:b/>
      <w:bCs/>
      <w:sz w:val="20"/>
      <w:szCs w:val="20"/>
      <w:lang w:eastAsia="ar-SA"/>
    </w:rPr>
  </w:style>
  <w:style w:type="character" w:customStyle="1" w:styleId="Sfc">
    <w:name w:val="S_СписокМ_Обычный Знак Знак"/>
    <w:locked/>
    <w:rPr>
      <w:sz w:val="24"/>
      <w:szCs w:val="24"/>
    </w:rPr>
  </w:style>
  <w:style w:type="character" w:customStyle="1" w:styleId="52">
    <w:name w:val="Знак Знак5"/>
    <w:basedOn w:val="a1"/>
  </w:style>
  <w:style w:type="character" w:customStyle="1" w:styleId="42">
    <w:name w:val="Знак Знак4"/>
    <w:basedOn w:val="a1"/>
    <w:semiHidden/>
  </w:style>
  <w:style w:type="numbering" w:customStyle="1" w:styleId="2f">
    <w:name w:val="Нет списка2"/>
    <w:next w:val="a3"/>
    <w:uiPriority w:val="99"/>
    <w:semiHidden/>
    <w:unhideWhenUsed/>
  </w:style>
  <w:style w:type="character" w:customStyle="1" w:styleId="Sfd">
    <w:name w:val="S_Обозначение"/>
    <w:rPr>
      <w:rFonts w:ascii="Arial" w:hAnsi="Arial" w:cs="Times New Roman"/>
      <w:b/>
      <w:i/>
      <w:sz w:val="24"/>
      <w:szCs w:val="24"/>
      <w:vertAlign w:val="baseline"/>
      <w:lang w:val="ru-RU" w:eastAsia="ru-RU" w:bidi="ar-SA"/>
    </w:rPr>
  </w:style>
  <w:style w:type="table" w:customStyle="1" w:styleId="TableNormal">
    <w:name w:val="Table Normal"/>
    <w:uiPriority w:val="2"/>
    <w:semiHidden/>
    <w:unhideWhenUsed/>
    <w:qFormat/>
    <w:pPr>
      <w:widowControl w:val="0"/>
      <w:spacing w:after="0" w:line="240" w:lineRule="auto"/>
    </w:pPr>
    <w:rPr>
      <w:rFonts w:ascii="Calibri" w:eastAsia="PMingLiU" w:hAnsi="Calibri" w:cs="Times New Roman"/>
      <w:lang w:val="en-US"/>
    </w:rPr>
    <w:tblPr>
      <w:tblInd w:w="0" w:type="dxa"/>
      <w:tblCellMar>
        <w:top w:w="0" w:type="dxa"/>
        <w:left w:w="0" w:type="dxa"/>
        <w:bottom w:w="0" w:type="dxa"/>
        <w:right w:w="0" w:type="dxa"/>
      </w:tblCellMar>
    </w:tblPr>
  </w:style>
  <w:style w:type="paragraph" w:customStyle="1" w:styleId="MIDDLEPICT">
    <w:name w:val=".MIDDLEPICT"/>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f0">
    <w:name w:val="Абзац списка2"/>
    <w:basedOn w:val="a0"/>
    <w:pPr>
      <w:ind w:left="720" w:firstLine="720"/>
      <w:contextualSpacing/>
    </w:pPr>
    <w:rPr>
      <w:rFonts w:eastAsia="Times New Roman"/>
    </w:rPr>
  </w:style>
  <w:style w:type="paragraph" w:customStyle="1" w:styleId="-">
    <w:name w:val="перечень-буква"/>
    <w:basedOn w:val="afff8"/>
    <w:link w:val="-0"/>
    <w:pPr>
      <w:tabs>
        <w:tab w:val="num" w:pos="1077"/>
      </w:tabs>
      <w:ind w:left="1077" w:hanging="340"/>
    </w:pPr>
    <w:rPr>
      <w:rFonts w:ascii="Times New Roman" w:hAnsi="Times New Roman" w:cs="Times New Roman"/>
      <w:sz w:val="20"/>
      <w:szCs w:val="20"/>
    </w:rPr>
  </w:style>
  <w:style w:type="character" w:customStyle="1" w:styleId="-0">
    <w:name w:val="перечень-буква Знак"/>
    <w:link w:val="-"/>
    <w:locked/>
    <w:rPr>
      <w:rFonts w:ascii="Times New Roman" w:eastAsia="Times New Roman" w:hAnsi="Times New Roman" w:cs="Times New Roman"/>
      <w:sz w:val="20"/>
      <w:szCs w:val="20"/>
    </w:rPr>
  </w:style>
  <w:style w:type="character" w:customStyle="1" w:styleId="match">
    <w:name w:val="match"/>
  </w:style>
  <w:style w:type="paragraph" w:customStyle="1" w:styleId="2f1">
    <w:name w:val="Приложение ур_2"/>
    <w:basedOn w:val="a0"/>
    <w:uiPriority w:val="99"/>
    <w:pPr>
      <w:tabs>
        <w:tab w:val="num" w:pos="792"/>
      </w:tabs>
      <w:suppressAutoHyphens/>
      <w:ind w:left="720" w:hanging="360"/>
    </w:pPr>
    <w:rPr>
      <w:rFonts w:eastAsia="Times New Roman"/>
      <w:szCs w:val="20"/>
    </w:rPr>
  </w:style>
  <w:style w:type="character" w:customStyle="1" w:styleId="FontStyle70">
    <w:name w:val="Font Style70"/>
    <w:rPr>
      <w:rFonts w:ascii="Times New Roman" w:hAnsi="Times New Roman"/>
      <w:sz w:val="20"/>
    </w:rPr>
  </w:style>
  <w:style w:type="paragraph" w:customStyle="1" w:styleId="Style29">
    <w:name w:val="Style29"/>
    <w:basedOn w:val="a0"/>
    <w:pPr>
      <w:widowControl w:val="0"/>
      <w:autoSpaceDE w:val="0"/>
      <w:autoSpaceDN w:val="0"/>
      <w:adjustRightInd w:val="0"/>
      <w:spacing w:line="254" w:lineRule="exact"/>
      <w:ind w:firstLine="731"/>
    </w:pPr>
    <w:rPr>
      <w:rFonts w:eastAsia="Times New Roman"/>
    </w:rPr>
  </w:style>
  <w:style w:type="paragraph" w:customStyle="1" w:styleId="Style46">
    <w:name w:val="Style46"/>
    <w:basedOn w:val="a0"/>
    <w:pPr>
      <w:widowControl w:val="0"/>
      <w:autoSpaceDE w:val="0"/>
      <w:autoSpaceDN w:val="0"/>
      <w:adjustRightInd w:val="0"/>
    </w:pPr>
    <w:rPr>
      <w:rFonts w:ascii="Courier New" w:eastAsia="Times New Roman" w:hAnsi="Courier New"/>
    </w:rPr>
  </w:style>
  <w:style w:type="character" w:customStyle="1" w:styleId="FontStyle248">
    <w:name w:val="Font Style248"/>
    <w:rPr>
      <w:rFonts w:ascii="Arial" w:hAnsi="Arial"/>
      <w:b/>
      <w:sz w:val="16"/>
    </w:rPr>
  </w:style>
  <w:style w:type="character" w:customStyle="1" w:styleId="FontStyle258">
    <w:name w:val="Font Style258"/>
    <w:rPr>
      <w:rFonts w:ascii="Arial" w:hAnsi="Arial"/>
      <w:sz w:val="16"/>
    </w:rPr>
  </w:style>
  <w:style w:type="character" w:customStyle="1" w:styleId="fontstyle700">
    <w:name w:val="fontstyle70"/>
    <w:rPr>
      <w:rFonts w:ascii="Times New Roman" w:hAnsi="Times New Roman" w:cs="Times New Roman" w:hint="default"/>
    </w:rPr>
  </w:style>
  <w:style w:type="character" w:customStyle="1" w:styleId="FontStyle52">
    <w:name w:val="Font Style52"/>
    <w:rPr>
      <w:rFonts w:ascii="Times New Roman" w:hAnsi="Times New Roman"/>
      <w:sz w:val="22"/>
    </w:rPr>
  </w:style>
  <w:style w:type="character" w:customStyle="1" w:styleId="FontStyle55">
    <w:name w:val="Font Style55"/>
    <w:rPr>
      <w:rFonts w:ascii="Times New Roman" w:hAnsi="Times New Roman"/>
      <w:sz w:val="24"/>
    </w:rPr>
  </w:style>
  <w:style w:type="paragraph" w:customStyle="1" w:styleId="Style1">
    <w:name w:val="Style1"/>
    <w:basedOn w:val="a0"/>
    <w:pPr>
      <w:widowControl w:val="0"/>
      <w:autoSpaceDE w:val="0"/>
      <w:autoSpaceDN w:val="0"/>
      <w:adjustRightInd w:val="0"/>
    </w:pPr>
    <w:rPr>
      <w:rFonts w:eastAsia="Times New Roman"/>
    </w:rPr>
  </w:style>
  <w:style w:type="paragraph" w:customStyle="1" w:styleId="Style48">
    <w:name w:val="Style48"/>
    <w:basedOn w:val="a0"/>
    <w:pPr>
      <w:widowControl w:val="0"/>
      <w:autoSpaceDE w:val="0"/>
      <w:autoSpaceDN w:val="0"/>
      <w:adjustRightInd w:val="0"/>
      <w:spacing w:line="252" w:lineRule="exact"/>
      <w:jc w:val="center"/>
    </w:pPr>
    <w:rPr>
      <w:rFonts w:eastAsia="Times New Roman"/>
    </w:rPr>
  </w:style>
  <w:style w:type="character" w:customStyle="1" w:styleId="colo3">
    <w:name w:val="colo3"/>
  </w:style>
  <w:style w:type="character" w:customStyle="1" w:styleId="1d">
    <w:name w:val="Дата1"/>
  </w:style>
  <w:style w:type="table" w:customStyle="1" w:styleId="111">
    <w:name w:val="Сетка таблицы11"/>
    <w:basedOn w:val="a2"/>
    <w:next w:val="aff6"/>
    <w:uiPriority w:val="5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uiPriority w:val="99"/>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ListParagraph1">
    <w:name w:val="List Paragraph1"/>
    <w:basedOn w:val="a0"/>
    <w:pPr>
      <w:ind w:left="720"/>
      <w:contextualSpacing/>
    </w:pPr>
    <w:rPr>
      <w:rFonts w:eastAsia="Times New Roman"/>
    </w:rPr>
  </w:style>
  <w:style w:type="paragraph" w:customStyle="1" w:styleId="1e">
    <w:name w:val="Основной текст1"/>
    <w:basedOn w:val="a0"/>
    <w:pPr>
      <w:widowControl w:val="0"/>
      <w:shd w:val="clear" w:color="auto" w:fill="FFFFFF"/>
      <w:spacing w:line="263" w:lineRule="exact"/>
    </w:pPr>
    <w:rPr>
      <w:rFonts w:eastAsia="Times New Roman" w:cstheme="minorBidi"/>
      <w:sz w:val="21"/>
      <w:szCs w:val="21"/>
      <w:lang w:eastAsia="en-US"/>
    </w:rPr>
  </w:style>
  <w:style w:type="paragraph" w:customStyle="1" w:styleId="FR1">
    <w:name w:val="FR1"/>
    <w:pPr>
      <w:widowControl w:val="0"/>
      <w:autoSpaceDE w:val="0"/>
      <w:autoSpaceDN w:val="0"/>
      <w:adjustRightInd w:val="0"/>
      <w:spacing w:after="0" w:line="240" w:lineRule="auto"/>
      <w:ind w:left="280"/>
    </w:pPr>
    <w:rPr>
      <w:rFonts w:ascii="Times New Roman" w:eastAsia="Times New Roman" w:hAnsi="Times New Roman" w:cs="Times New Roman"/>
      <w:sz w:val="16"/>
      <w:szCs w:val="16"/>
      <w:lang w:val="en-US" w:eastAsia="ru-RU"/>
    </w:rPr>
  </w:style>
  <w:style w:type="paragraph" w:customStyle="1" w:styleId="FR2">
    <w:name w:val="FR2"/>
    <w:pPr>
      <w:widowControl w:val="0"/>
      <w:autoSpaceDE w:val="0"/>
      <w:autoSpaceDN w:val="0"/>
      <w:adjustRightInd w:val="0"/>
      <w:spacing w:before="120" w:after="0" w:line="240" w:lineRule="auto"/>
      <w:ind w:left="240"/>
    </w:pPr>
    <w:rPr>
      <w:rFonts w:ascii="Arial" w:eastAsia="Times New Roman" w:hAnsi="Arial" w:cs="Arial"/>
      <w:sz w:val="16"/>
      <w:szCs w:val="16"/>
      <w:lang w:eastAsia="ru-RU"/>
    </w:rPr>
  </w:style>
  <w:style w:type="character" w:customStyle="1" w:styleId="9pt">
    <w:name w:val="Основной текст + 9 pt"/>
    <w:rPr>
      <w:rFonts w:ascii="Consolas" w:eastAsia="Consolas" w:hAnsi="Consolas" w:cs="Consolas"/>
      <w:b w:val="0"/>
      <w:bCs w:val="0"/>
      <w:i w:val="0"/>
      <w:iCs w:val="0"/>
      <w:smallCaps w:val="0"/>
      <w:strike w:val="0"/>
      <w:color w:val="000000"/>
      <w:spacing w:val="0"/>
      <w:w w:val="100"/>
      <w:position w:val="0"/>
      <w:sz w:val="18"/>
      <w:szCs w:val="18"/>
      <w:u w:val="none"/>
      <w:shd w:val="clear" w:color="auto" w:fill="FFFFFF"/>
      <w:lang w:val="en-US"/>
    </w:rPr>
  </w:style>
  <w:style w:type="character" w:customStyle="1" w:styleId="1f">
    <w:name w:val="Заголовок №1_"/>
    <w:link w:val="1f0"/>
    <w:rPr>
      <w:rFonts w:ascii="Lucida Sans Unicode" w:eastAsia="Lucida Sans Unicode" w:hAnsi="Lucida Sans Unicode" w:cs="Lucida Sans Unicode"/>
      <w:spacing w:val="-10"/>
      <w:sz w:val="21"/>
      <w:szCs w:val="21"/>
      <w:shd w:val="clear" w:color="auto" w:fill="FFFFFF"/>
    </w:rPr>
  </w:style>
  <w:style w:type="paragraph" w:customStyle="1" w:styleId="1f0">
    <w:name w:val="Заголовок №1"/>
    <w:basedOn w:val="a0"/>
    <w:link w:val="1f"/>
    <w:pPr>
      <w:widowControl w:val="0"/>
      <w:shd w:val="clear" w:color="auto" w:fill="FFFFFF"/>
      <w:spacing w:line="270" w:lineRule="exact"/>
      <w:outlineLvl w:val="0"/>
    </w:pPr>
    <w:rPr>
      <w:rFonts w:ascii="Lucida Sans Unicode" w:eastAsia="Lucida Sans Unicode" w:hAnsi="Lucida Sans Unicode" w:cs="Lucida Sans Unicode"/>
      <w:spacing w:val="-10"/>
      <w:sz w:val="21"/>
      <w:szCs w:val="21"/>
      <w:lang w:eastAsia="en-US"/>
    </w:rPr>
  </w:style>
  <w:style w:type="character" w:customStyle="1" w:styleId="0pt">
    <w:name w:val="Основной текст + Интервал 0 pt"/>
    <w:rPr>
      <w:rFonts w:ascii="MingLiU" w:eastAsia="MingLiU" w:hAnsi="MingLiU" w:cs="MingLiU"/>
      <w:b w:val="0"/>
      <w:bCs w:val="0"/>
      <w:i w:val="0"/>
      <w:iCs w:val="0"/>
      <w:smallCaps w:val="0"/>
      <w:strike w:val="0"/>
      <w:color w:val="000000"/>
      <w:spacing w:val="0"/>
      <w:w w:val="100"/>
      <w:position w:val="0"/>
      <w:sz w:val="19"/>
      <w:szCs w:val="19"/>
      <w:u w:val="none"/>
      <w:shd w:val="clear" w:color="auto" w:fill="FFFFFF"/>
      <w:lang w:val="ru-RU"/>
    </w:rPr>
  </w:style>
  <w:style w:type="character" w:customStyle="1" w:styleId="affff6">
    <w:name w:val="Оглавление_"/>
    <w:link w:val="affff7"/>
    <w:rPr>
      <w:rFonts w:ascii="MingLiU" w:eastAsia="MingLiU" w:hAnsi="MingLiU" w:cs="MingLiU"/>
      <w:spacing w:val="-40"/>
      <w:sz w:val="19"/>
      <w:szCs w:val="19"/>
      <w:shd w:val="clear" w:color="auto" w:fill="FFFFFF"/>
    </w:rPr>
  </w:style>
  <w:style w:type="character" w:customStyle="1" w:styleId="0pt0">
    <w:name w:val="Оглавление + Интервал 0 pt"/>
    <w:rPr>
      <w:rFonts w:ascii="MingLiU" w:eastAsia="MingLiU" w:hAnsi="MingLiU" w:cs="MingLiU"/>
      <w:color w:val="000000"/>
      <w:spacing w:val="0"/>
      <w:w w:val="100"/>
      <w:position w:val="0"/>
      <w:sz w:val="19"/>
      <w:szCs w:val="19"/>
      <w:shd w:val="clear" w:color="auto" w:fill="FFFFFF"/>
      <w:lang w:val="ru-RU"/>
    </w:rPr>
  </w:style>
  <w:style w:type="character" w:customStyle="1" w:styleId="-1pt">
    <w:name w:val="Основной текст + Интервал -1 pt"/>
    <w:rPr>
      <w:rFonts w:ascii="MingLiU" w:eastAsia="MingLiU" w:hAnsi="MingLiU" w:cs="MingLiU"/>
      <w:b w:val="0"/>
      <w:bCs w:val="0"/>
      <w:i w:val="0"/>
      <w:iCs w:val="0"/>
      <w:smallCaps w:val="0"/>
      <w:strike w:val="0"/>
      <w:color w:val="000000"/>
      <w:spacing w:val="-30"/>
      <w:w w:val="100"/>
      <w:position w:val="0"/>
      <w:sz w:val="19"/>
      <w:szCs w:val="19"/>
      <w:u w:val="none"/>
      <w:shd w:val="clear" w:color="auto" w:fill="FFFFFF"/>
      <w:lang w:val="ru-RU"/>
    </w:rPr>
  </w:style>
  <w:style w:type="paragraph" w:customStyle="1" w:styleId="affff7">
    <w:name w:val="Оглавление"/>
    <w:basedOn w:val="a0"/>
    <w:link w:val="affff6"/>
    <w:pPr>
      <w:widowControl w:val="0"/>
      <w:shd w:val="clear" w:color="auto" w:fill="FFFFFF"/>
      <w:spacing w:line="255" w:lineRule="exact"/>
    </w:pPr>
    <w:rPr>
      <w:rFonts w:ascii="MingLiU" w:eastAsia="MingLiU" w:hAnsi="MingLiU" w:cs="MingLiU"/>
      <w:spacing w:val="-40"/>
      <w:sz w:val="19"/>
      <w:szCs w:val="19"/>
      <w:lang w:eastAsia="en-US"/>
    </w:rPr>
  </w:style>
  <w:style w:type="paragraph" w:customStyle="1" w:styleId="Style27">
    <w:name w:val="Style27"/>
    <w:basedOn w:val="a0"/>
    <w:pPr>
      <w:widowControl w:val="0"/>
      <w:autoSpaceDE w:val="0"/>
      <w:autoSpaceDN w:val="0"/>
      <w:adjustRightInd w:val="0"/>
      <w:spacing w:before="120"/>
    </w:pPr>
    <w:rPr>
      <w:rFonts w:ascii="Courier New" w:eastAsia="SimSun" w:hAnsi="Courier New"/>
    </w:rPr>
  </w:style>
  <w:style w:type="paragraph" w:customStyle="1" w:styleId="53">
    <w:name w:val="Абзац списка5"/>
    <w:basedOn w:val="a0"/>
    <w:pPr>
      <w:ind w:left="720"/>
      <w:contextualSpacing/>
    </w:pPr>
    <w:rPr>
      <w:rFonts w:eastAsia="Times New Roman"/>
    </w:rPr>
  </w:style>
  <w:style w:type="character" w:customStyle="1" w:styleId="FontStyle38">
    <w:name w:val="Font Style38"/>
    <w:rPr>
      <w:rFonts w:ascii="Times New Roman" w:hAnsi="Times New Roman" w:cs="Times New Roman"/>
      <w:i/>
      <w:iCs/>
      <w:sz w:val="18"/>
      <w:szCs w:val="18"/>
    </w:rPr>
  </w:style>
  <w:style w:type="character" w:customStyle="1" w:styleId="FontStyle44">
    <w:name w:val="Font Style44"/>
    <w:rPr>
      <w:rFonts w:ascii="Times New Roman" w:hAnsi="Times New Roman" w:cs="Times New Roman"/>
      <w:sz w:val="18"/>
      <w:szCs w:val="18"/>
    </w:rPr>
  </w:style>
  <w:style w:type="character" w:customStyle="1" w:styleId="FontStyle43">
    <w:name w:val="Font Style43"/>
    <w:rPr>
      <w:rFonts w:ascii="Times New Roman" w:hAnsi="Times New Roman" w:cs="Times New Roman"/>
      <w:sz w:val="22"/>
      <w:szCs w:val="22"/>
    </w:rPr>
  </w:style>
  <w:style w:type="paragraph" w:customStyle="1" w:styleId="Style26">
    <w:name w:val="Style26"/>
    <w:basedOn w:val="a0"/>
    <w:pPr>
      <w:widowControl w:val="0"/>
      <w:autoSpaceDE w:val="0"/>
      <w:autoSpaceDN w:val="0"/>
      <w:adjustRightInd w:val="0"/>
    </w:pPr>
    <w:rPr>
      <w:rFonts w:eastAsia="Times New Roman"/>
    </w:rPr>
  </w:style>
  <w:style w:type="paragraph" w:customStyle="1" w:styleId="Style25">
    <w:name w:val="Style25"/>
    <w:basedOn w:val="a0"/>
    <w:pPr>
      <w:widowControl w:val="0"/>
      <w:autoSpaceDE w:val="0"/>
      <w:autoSpaceDN w:val="0"/>
      <w:adjustRightInd w:val="0"/>
      <w:spacing w:line="276" w:lineRule="exact"/>
    </w:pPr>
    <w:rPr>
      <w:rFonts w:eastAsia="Times New Roman"/>
    </w:rPr>
  </w:style>
  <w:style w:type="paragraph" w:customStyle="1" w:styleId="Style31">
    <w:name w:val="Style31"/>
    <w:basedOn w:val="a0"/>
    <w:pPr>
      <w:widowControl w:val="0"/>
      <w:autoSpaceDE w:val="0"/>
      <w:autoSpaceDN w:val="0"/>
      <w:adjustRightInd w:val="0"/>
      <w:spacing w:line="230" w:lineRule="exact"/>
    </w:pPr>
    <w:rPr>
      <w:rFonts w:eastAsia="Times New Roman"/>
    </w:rPr>
  </w:style>
  <w:style w:type="character" w:customStyle="1" w:styleId="1pt">
    <w:name w:val="Основной текст + Интервал 1 pt"/>
    <w:rPr>
      <w:rFonts w:ascii="MingLiU" w:eastAsia="MingLiU" w:hAnsi="MingLiU" w:cs="MingLiU"/>
      <w:b w:val="0"/>
      <w:bCs w:val="0"/>
      <w:i w:val="0"/>
      <w:iCs w:val="0"/>
      <w:smallCaps w:val="0"/>
      <w:strike w:val="0"/>
      <w:color w:val="000000"/>
      <w:spacing w:val="20"/>
      <w:w w:val="100"/>
      <w:position w:val="0"/>
      <w:sz w:val="18"/>
      <w:szCs w:val="18"/>
      <w:u w:val="none"/>
      <w:shd w:val="clear" w:color="auto" w:fill="FFFFFF"/>
      <w:lang w:val="ru-RU"/>
    </w:rPr>
  </w:style>
  <w:style w:type="character" w:customStyle="1" w:styleId="Gulim11pt-1pt">
    <w:name w:val="Основной текст + Gulim;11 pt;Курсив;Интервал -1 pt"/>
    <w:rPr>
      <w:rFonts w:ascii="Gulim" w:eastAsia="Gulim" w:hAnsi="Gulim" w:cs="Gulim"/>
      <w:b w:val="0"/>
      <w:bCs w:val="0"/>
      <w:i/>
      <w:iCs/>
      <w:smallCaps w:val="0"/>
      <w:strike w:val="0"/>
      <w:color w:val="000000"/>
      <w:spacing w:val="-30"/>
      <w:w w:val="100"/>
      <w:position w:val="0"/>
      <w:sz w:val="22"/>
      <w:szCs w:val="22"/>
      <w:u w:val="none"/>
      <w:shd w:val="clear" w:color="auto" w:fill="FFFFFF"/>
      <w:lang w:val="ru-RU"/>
    </w:rPr>
  </w:style>
  <w:style w:type="numbering" w:customStyle="1" w:styleId="1110">
    <w:name w:val="Нет списка111"/>
    <w:next w:val="a3"/>
    <w:uiPriority w:val="99"/>
    <w:semiHidden/>
    <w:unhideWhenUsed/>
  </w:style>
  <w:style w:type="table" w:customStyle="1" w:styleId="1111">
    <w:name w:val="Сетка таблицы111"/>
    <w:basedOn w:val="a2"/>
    <w:next w:val="aff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Нет списка3"/>
    <w:next w:val="a3"/>
    <w:uiPriority w:val="99"/>
    <w:semiHidden/>
    <w:unhideWhenUsed/>
  </w:style>
  <w:style w:type="table" w:customStyle="1" w:styleId="2f2">
    <w:name w:val="Сетка таблицы2"/>
    <w:basedOn w:val="a2"/>
    <w:next w:val="aff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18">
    <w:name w:val="S_Таблица1"/>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affff8">
    <w:name w:val="."/>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udar">
    <w:name w:val="udar"/>
  </w:style>
  <w:style w:type="numbering" w:customStyle="1" w:styleId="43">
    <w:name w:val="Нет списка4"/>
    <w:next w:val="a3"/>
    <w:uiPriority w:val="99"/>
    <w:semiHidden/>
    <w:unhideWhenUsed/>
  </w:style>
  <w:style w:type="table" w:customStyle="1" w:styleId="3c">
    <w:name w:val="Сетка таблицы3"/>
    <w:basedOn w:val="a2"/>
    <w:next w:val="aff6"/>
    <w:uiPriority w:val="9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26">
    <w:name w:val="S_Таблица2"/>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character" w:customStyle="1" w:styleId="A10">
    <w:name w:val="A1"/>
    <w:uiPriority w:val="99"/>
    <w:rPr>
      <w:rFonts w:cs="PragmaticaC"/>
      <w:b/>
      <w:bCs/>
      <w:i/>
      <w:iCs/>
      <w:color w:val="000000"/>
      <w:sz w:val="16"/>
      <w:szCs w:val="16"/>
    </w:rPr>
  </w:style>
  <w:style w:type="paragraph" w:customStyle="1" w:styleId="Pa0">
    <w:name w:val="Pa0"/>
    <w:basedOn w:val="Default"/>
    <w:next w:val="Default"/>
    <w:uiPriority w:val="99"/>
    <w:pPr>
      <w:spacing w:line="241" w:lineRule="atLeast"/>
    </w:pPr>
    <w:rPr>
      <w:rFonts w:ascii="PF Din Text Cond Pro Medium" w:eastAsiaTheme="minorHAnsi" w:hAnsi="PF Din Text Cond Pro Medium" w:cstheme="minorBidi"/>
      <w:color w:val="auto"/>
      <w:lang w:eastAsia="en-US"/>
    </w:rPr>
  </w:style>
  <w:style w:type="character" w:customStyle="1" w:styleId="apple-style-span">
    <w:name w:val="apple-style-span"/>
  </w:style>
  <w:style w:type="table" w:customStyle="1" w:styleId="44">
    <w:name w:val="Сетка таблицы4"/>
    <w:basedOn w:val="a2"/>
    <w:next w:val="aff6"/>
    <w:uiPriority w:val="59"/>
    <w:pPr>
      <w:spacing w:after="0" w:line="240" w:lineRule="auto"/>
    </w:pPr>
    <w:rPr>
      <w:rFonts w:ascii="Times New Roman" w:eastAsiaTheme="minorEastAsia"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Абзац списка Знак"/>
    <w:basedOn w:val="a1"/>
    <w:link w:val="affd"/>
    <w:uiPriority w:val="34"/>
    <w:rPr>
      <w:rFonts w:ascii="Arial" w:eastAsia="Calibri" w:hAnsi="Arial" w:cs="Times New Roman"/>
      <w:szCs w:val="24"/>
    </w:rPr>
  </w:style>
  <w:style w:type="paragraph" w:customStyle="1" w:styleId="45">
    <w:name w:val="Абзац списка4"/>
    <w:basedOn w:val="a0"/>
    <w:pPr>
      <w:ind w:left="720" w:firstLine="720"/>
      <w:contextualSpacing/>
    </w:pPr>
    <w:rPr>
      <w:rFonts w:eastAsiaTheme="minorHAnsi"/>
    </w:rPr>
  </w:style>
  <w:style w:type="table" w:customStyle="1" w:styleId="210">
    <w:name w:val="Сетка таблицы21"/>
    <w:basedOn w:val="a2"/>
    <w:next w:val="aff6"/>
    <w:uiPriority w:val="59"/>
    <w:pPr>
      <w:spacing w:after="0" w:line="240" w:lineRule="auto"/>
      <w:ind w:left="567" w:hanging="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Абзац списка11"/>
    <w:basedOn w:val="a0"/>
    <w:pPr>
      <w:ind w:left="720" w:firstLine="720"/>
      <w:contextualSpacing/>
    </w:pPr>
    <w:rPr>
      <w:rFonts w:eastAsia="Times New Roman"/>
    </w:rPr>
  </w:style>
  <w:style w:type="paragraph" w:customStyle="1" w:styleId="111111">
    <w:name w:val="Стиль111111"/>
    <w:basedOn w:val="22"/>
    <w:link w:val="1111110"/>
    <w:qFormat/>
    <w:pPr>
      <w:keepLines/>
      <w:pageBreakBefore/>
      <w:numPr>
        <w:numId w:val="48"/>
      </w:numPr>
      <w:tabs>
        <w:tab w:val="left" w:pos="567"/>
      </w:tabs>
      <w:suppressAutoHyphens/>
      <w:jc w:val="left"/>
    </w:pPr>
    <w:rPr>
      <w:rFonts w:eastAsia="Times New Roman" w:cs="Arial"/>
      <w:i/>
      <w:iCs w:val="0"/>
      <w:caps w:val="0"/>
      <w:sz w:val="32"/>
      <w:szCs w:val="32"/>
      <w:lang w:val="en-US" w:eastAsia="en-US"/>
    </w:rPr>
  </w:style>
  <w:style w:type="character" w:customStyle="1" w:styleId="1111110">
    <w:name w:val="Стиль111111 Знак"/>
    <w:basedOn w:val="affe"/>
    <w:link w:val="111111"/>
    <w:rPr>
      <w:rFonts w:ascii="Arial" w:eastAsia="Times New Roman" w:hAnsi="Arial" w:cs="Arial"/>
      <w:b/>
      <w:bCs/>
      <w:i/>
      <w:sz w:val="32"/>
      <w:szCs w:val="32"/>
      <w:lang w:val="en-US"/>
    </w:rPr>
  </w:style>
  <w:style w:type="character" w:customStyle="1" w:styleId="affff9">
    <w:name w:val="Личный стиль сообщения"/>
    <w:rPr>
      <w:rFonts w:ascii="Arial" w:hAnsi="Arial" w:cs="Arial"/>
      <w:color w:val="auto"/>
      <w:sz w:val="20"/>
    </w:rPr>
  </w:style>
  <w:style w:type="character" w:customStyle="1" w:styleId="affffa">
    <w:name w:val="Личный стиль ответа"/>
    <w:rPr>
      <w:rFonts w:ascii="Arial" w:hAnsi="Arial" w:cs="Arial"/>
      <w:color w:val="auto"/>
      <w:sz w:val="20"/>
    </w:rPr>
  </w:style>
  <w:style w:type="paragraph" w:customStyle="1" w:styleId="affffb">
    <w:name w:val="название таблицы"/>
    <w:basedOn w:val="a0"/>
    <w:next w:val="a0"/>
    <w:pPr>
      <w:keepNext/>
      <w:keepLines/>
      <w:widowControl w:val="0"/>
      <w:spacing w:before="120"/>
      <w:jc w:val="center"/>
    </w:pPr>
    <w:rPr>
      <w:rFonts w:eastAsia="Times New Roman"/>
      <w:szCs w:val="20"/>
    </w:rPr>
  </w:style>
  <w:style w:type="paragraph" w:customStyle="1" w:styleId="310">
    <w:name w:val="Основной текст с отступом 31"/>
    <w:basedOn w:val="a0"/>
    <w:pPr>
      <w:ind w:firstLine="720"/>
    </w:pPr>
    <w:rPr>
      <w:rFonts w:eastAsia="Times New Roman"/>
      <w:szCs w:val="20"/>
    </w:rPr>
  </w:style>
  <w:style w:type="numbering" w:customStyle="1" w:styleId="12">
    <w:name w:val="Стиль1"/>
    <w:pPr>
      <w:numPr>
        <w:numId w:val="49"/>
      </w:numPr>
    </w:pPr>
  </w:style>
  <w:style w:type="numbering" w:customStyle="1" w:styleId="2">
    <w:name w:val="Стиль2"/>
    <w:pPr>
      <w:numPr>
        <w:numId w:val="50"/>
      </w:numPr>
    </w:pPr>
  </w:style>
  <w:style w:type="character" w:customStyle="1" w:styleId="affffc">
    <w:name w:val="Текст_стандарта Знак Знак Знак"/>
    <w:link w:val="affffd"/>
    <w:locked/>
    <w:rPr>
      <w:sz w:val="24"/>
      <w:szCs w:val="24"/>
    </w:rPr>
  </w:style>
  <w:style w:type="paragraph" w:customStyle="1" w:styleId="affffd">
    <w:name w:val="Текст_стандарта Знак Знак"/>
    <w:basedOn w:val="a0"/>
    <w:link w:val="affffc"/>
    <w:pPr>
      <w:spacing w:line="360" w:lineRule="auto"/>
      <w:ind w:firstLine="720"/>
    </w:pPr>
    <w:rPr>
      <w:rFonts w:asciiTheme="minorHAnsi" w:eastAsiaTheme="minorHAnsi" w:hAnsiTheme="minorHAnsi" w:cstheme="minorBidi"/>
      <w:lang w:eastAsia="en-US"/>
    </w:rPr>
  </w:style>
  <w:style w:type="character" w:styleId="affffe">
    <w:name w:val="Placeholder Text"/>
    <w:basedOn w:val="a1"/>
    <w:uiPriority w:val="99"/>
    <w:semiHidden/>
    <w:rPr>
      <w:color w:val="808080"/>
    </w:rPr>
  </w:style>
  <w:style w:type="paragraph" w:customStyle="1" w:styleId="afffff">
    <w:name w:val="Таблица_Шапка"/>
    <w:basedOn w:val="a0"/>
    <w:link w:val="afffff0"/>
    <w:uiPriority w:val="99"/>
    <w:pPr>
      <w:jc w:val="center"/>
    </w:pPr>
    <w:rPr>
      <w:rFonts w:ascii="Arial" w:eastAsia="Times New Roman" w:hAnsi="Arial"/>
      <w:b/>
      <w:snapToGrid w:val="0"/>
      <w:sz w:val="20"/>
      <w:szCs w:val="20"/>
    </w:rPr>
  </w:style>
  <w:style w:type="character" w:customStyle="1" w:styleId="afffff0">
    <w:name w:val="Таблица_Шапка Знак"/>
    <w:link w:val="afffff"/>
    <w:uiPriority w:val="99"/>
    <w:rPr>
      <w:rFonts w:ascii="Arial" w:eastAsia="Times New Roman" w:hAnsi="Arial" w:cs="Times New Roman"/>
      <w:b/>
      <w:snapToGrid w:val="0"/>
      <w:sz w:val="20"/>
      <w:szCs w:val="20"/>
      <w:lang w:eastAsia="ru-RU"/>
    </w:rPr>
  </w:style>
  <w:style w:type="paragraph" w:customStyle="1" w:styleId="2f3">
    <w:name w:val="М_Заголовок 2"/>
    <w:basedOn w:val="22"/>
    <w:autoRedefine/>
    <w:uiPriority w:val="99"/>
    <w:qFormat/>
    <w:pPr>
      <w:keepNext w:val="0"/>
    </w:pPr>
    <w:rPr>
      <w:rFonts w:eastAsia="Calibri" w:cs="Arial"/>
      <w:i/>
      <w:caps w:val="0"/>
      <w:lang w:eastAsia="en-US"/>
    </w:rPr>
  </w:style>
  <w:style w:type="paragraph" w:customStyle="1" w:styleId="1f1">
    <w:name w:val="М_Заголовок 1"/>
    <w:basedOn w:val="13"/>
    <w:qFormat/>
    <w:pPr>
      <w:keepNext w:val="0"/>
    </w:pPr>
    <w:rPr>
      <w:rFonts w:eastAsia="Times New Roman"/>
      <w:kern w:val="0"/>
    </w:rPr>
  </w:style>
  <w:style w:type="character" w:customStyle="1" w:styleId="FontStyle24">
    <w:name w:val="Font Style24"/>
    <w:uiPriority w:val="99"/>
    <w:rPr>
      <w:rFonts w:ascii="Times New Roman" w:hAnsi="Times New Roman" w:cs="Times New Roman"/>
      <w:color w:val="000000"/>
      <w:sz w:val="24"/>
      <w:szCs w:val="24"/>
    </w:rPr>
  </w:style>
  <w:style w:type="paragraph" w:customStyle="1" w:styleId="afffff1">
    <w:name w:val="Титул"/>
    <w:basedOn w:val="afffd"/>
    <w:pPr>
      <w:suppressAutoHyphens/>
    </w:pPr>
    <w:rPr>
      <w:rFonts w:eastAsia="Times New Roman" w:cs="Times New Roman"/>
      <w:spacing w:val="0"/>
      <w:kern w:val="0"/>
      <w:sz w:val="32"/>
      <w:szCs w:val="20"/>
      <w:lang w:eastAsia="en-US"/>
    </w:rPr>
  </w:style>
  <w:style w:type="paragraph" w:customStyle="1" w:styleId="afffff2">
    <w:name w:val="Таблица"/>
    <w:basedOn w:val="a0"/>
    <w:rPr>
      <w:rFonts w:ascii="Arial" w:eastAsia="Times New Roman" w:hAnsi="Arial"/>
      <w:sz w:val="22"/>
      <w:szCs w:val="20"/>
      <w:lang w:eastAsia="en-US"/>
    </w:rPr>
  </w:style>
  <w:style w:type="paragraph" w:customStyle="1" w:styleId="afffff3">
    <w:name w:val="Вводные"/>
    <w:basedOn w:val="111111"/>
    <w:link w:val="afffff4"/>
    <w:qFormat/>
    <w:pPr>
      <w:numPr>
        <w:numId w:val="0"/>
      </w:numPr>
      <w:tabs>
        <w:tab w:val="num" w:pos="360"/>
      </w:tabs>
      <w:ind w:left="227" w:hanging="227"/>
    </w:pPr>
  </w:style>
  <w:style w:type="character" w:customStyle="1" w:styleId="afffff4">
    <w:name w:val="Вводные Знак"/>
    <w:basedOn w:val="1111110"/>
    <w:link w:val="afffff3"/>
    <w:rPr>
      <w:rFonts w:ascii="Arial" w:eastAsia="Times New Roman" w:hAnsi="Arial" w:cs="Arial"/>
      <w:b/>
      <w:bCs/>
      <w:i/>
      <w:sz w:val="32"/>
      <w:szCs w:val="32"/>
      <w:lang w:val="en-US"/>
    </w:rPr>
  </w:style>
  <w:style w:type="paragraph" w:styleId="afffff5">
    <w:name w:val="Subtitle"/>
    <w:basedOn w:val="a0"/>
    <w:next w:val="a0"/>
    <w:link w:val="afffff6"/>
    <w:uiPriority w:val="11"/>
    <w:qFormat/>
    <w:pPr>
      <w:numPr>
        <w:ilvl w:val="1"/>
      </w:numPr>
    </w:pPr>
    <w:rPr>
      <w:rFonts w:asciiTheme="majorHAnsi" w:eastAsiaTheme="majorEastAsia" w:hAnsiTheme="majorHAnsi" w:cstheme="majorBidi"/>
      <w:i/>
      <w:iCs/>
      <w:color w:val="4F81BD" w:themeColor="accent1"/>
      <w:spacing w:val="15"/>
      <w:lang w:eastAsia="en-US"/>
    </w:rPr>
  </w:style>
  <w:style w:type="character" w:customStyle="1" w:styleId="afffff6">
    <w:name w:val="Подзаголовок Знак"/>
    <w:basedOn w:val="a1"/>
    <w:link w:val="afffff5"/>
    <w:uiPriority w:val="11"/>
    <w:rPr>
      <w:rFonts w:asciiTheme="majorHAnsi" w:eastAsiaTheme="majorEastAsia" w:hAnsiTheme="majorHAnsi" w:cstheme="majorBidi"/>
      <w:i/>
      <w:iCs/>
      <w:color w:val="4F81BD" w:themeColor="accent1"/>
      <w:spacing w:val="15"/>
      <w:sz w:val="24"/>
      <w:szCs w:val="24"/>
    </w:rPr>
  </w:style>
  <w:style w:type="paragraph" w:styleId="3">
    <w:name w:val="List Bullet 3"/>
    <w:basedOn w:val="a0"/>
    <w:semiHidden/>
    <w:pPr>
      <w:numPr>
        <w:numId w:val="63"/>
      </w:numPr>
      <w:jc w:val="left"/>
    </w:pPr>
    <w:rPr>
      <w:rFonts w:eastAsia="Times New Roman"/>
    </w:rPr>
  </w:style>
  <w:style w:type="table" w:customStyle="1" w:styleId="120">
    <w:name w:val="Сетка таблицы12"/>
    <w:basedOn w:val="a2"/>
    <w:next w:val="aff6"/>
    <w:uiPriority w:val="5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110">
    <w:name w:val="S_Таблица11"/>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afffff7">
    <w:name w:val="Содержимое таблицы"/>
    <w:basedOn w:val="a0"/>
    <w:pPr>
      <w:suppressLineNumbers/>
      <w:jc w:val="left"/>
    </w:pPr>
    <w:rPr>
      <w:rFonts w:eastAsia="Times New Roman"/>
      <w:sz w:val="20"/>
      <w:szCs w:val="20"/>
      <w:lang w:eastAsia="ar-SA"/>
    </w:rPr>
  </w:style>
  <w:style w:type="paragraph" w:customStyle="1" w:styleId="xl63">
    <w:name w:val="xl63"/>
    <w:basedOn w:val="a0"/>
    <w:pPr>
      <w:pBdr>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64">
    <w:name w:val="xl64"/>
    <w:basedOn w:val="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65">
    <w:name w:val="xl65"/>
    <w:basedOn w:val="a0"/>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66">
    <w:name w:val="xl66"/>
    <w:basedOn w:val="a0"/>
    <w:pPr>
      <w:pBdr>
        <w:top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67">
    <w:name w:val="xl67"/>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68">
    <w:name w:val="xl68"/>
    <w:basedOn w:val="a0"/>
    <w:pPr>
      <w:pBdr>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69">
    <w:name w:val="xl69"/>
    <w:basedOn w:val="a0"/>
    <w:pPr>
      <w:spacing w:before="100" w:beforeAutospacing="1" w:after="100" w:afterAutospacing="1"/>
      <w:jc w:val="left"/>
      <w:textAlignment w:val="center"/>
    </w:pPr>
    <w:rPr>
      <w:rFonts w:eastAsia="Times New Roman"/>
    </w:rPr>
  </w:style>
  <w:style w:type="paragraph" w:customStyle="1" w:styleId="xl70">
    <w:name w:val="xl70"/>
    <w:basedOn w:val="a0"/>
    <w:pPr>
      <w:pBdr>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71">
    <w:name w:val="xl71"/>
    <w:basedOn w:val="a0"/>
    <w:pPr>
      <w:spacing w:before="100" w:beforeAutospacing="1" w:after="100" w:afterAutospacing="1"/>
      <w:jc w:val="center"/>
    </w:pPr>
    <w:rPr>
      <w:rFonts w:eastAsia="Times New Roman"/>
    </w:rPr>
  </w:style>
  <w:style w:type="paragraph" w:customStyle="1" w:styleId="xl72">
    <w:name w:val="xl72"/>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3">
    <w:name w:val="xl73"/>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4">
    <w:name w:val="xl74"/>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5">
    <w:name w:val="xl75"/>
    <w:basedOn w:val="a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6">
    <w:name w:val="xl76"/>
    <w:basedOn w:val="a0"/>
    <w:pPr>
      <w:spacing w:before="100" w:beforeAutospacing="1" w:after="100" w:afterAutospacing="1"/>
      <w:jc w:val="left"/>
      <w:textAlignment w:val="center"/>
    </w:pPr>
    <w:rPr>
      <w:rFonts w:eastAsia="Times New Roman"/>
    </w:rPr>
  </w:style>
  <w:style w:type="paragraph" w:customStyle="1" w:styleId="xl77">
    <w:name w:val="xl77"/>
    <w:basedOn w:val="a0"/>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78">
    <w:name w:val="xl78"/>
    <w:basedOn w:val="a0"/>
    <w:pPr>
      <w:pBdr>
        <w:bottom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6"/>
      <w:szCs w:val="16"/>
    </w:rPr>
  </w:style>
  <w:style w:type="paragraph" w:customStyle="1" w:styleId="xl79">
    <w:name w:val="xl79"/>
    <w:basedOn w:val="a0"/>
    <w:pPr>
      <w:pBdr>
        <w:top w:val="single" w:sz="8" w:space="0" w:color="auto"/>
        <w:left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80">
    <w:name w:val="xl80"/>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81">
    <w:name w:val="xl81"/>
    <w:basedOn w:val="a0"/>
    <w:pPr>
      <w:pBdr>
        <w:top w:val="single" w:sz="8" w:space="0" w:color="auto"/>
        <w:left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4"/>
      <w:szCs w:val="14"/>
    </w:rPr>
  </w:style>
  <w:style w:type="paragraph" w:customStyle="1" w:styleId="xl82">
    <w:name w:val="xl82"/>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4"/>
      <w:szCs w:val="14"/>
    </w:rPr>
  </w:style>
  <w:style w:type="paragraph" w:customStyle="1" w:styleId="afffff8">
    <w:name w:val="Нумерация таблицы"/>
    <w:basedOn w:val="6"/>
    <w:next w:val="a0"/>
    <w:pPr>
      <w:tabs>
        <w:tab w:val="left" w:pos="1985"/>
      </w:tabs>
      <w:spacing w:before="120" w:after="0"/>
      <w:jc w:val="right"/>
    </w:pPr>
    <w:rPr>
      <w:rFonts w:eastAsia="Calibri"/>
      <w:bCs w:val="0"/>
      <w:color w:val="auto"/>
      <w:w w:val="95"/>
      <w:kern w:val="28"/>
      <w:sz w:val="28"/>
      <w:szCs w:val="20"/>
      <w:lang w:val="x-none" w:eastAsia="x-none"/>
    </w:rPr>
  </w:style>
  <w:style w:type="paragraph" w:customStyle="1" w:styleId="xl83">
    <w:name w:val="xl83"/>
    <w:basedOn w:val="a0"/>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84">
    <w:name w:val="xl84"/>
    <w:basedOn w:val="a0"/>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85">
    <w:name w:val="xl85"/>
    <w:basedOn w:val="a0"/>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86">
    <w:name w:val="xl86"/>
    <w:basedOn w:val="a0"/>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pPr>
    <w:rPr>
      <w:rFonts w:eastAsia="Times New Roman"/>
    </w:rPr>
  </w:style>
  <w:style w:type="paragraph" w:customStyle="1" w:styleId="xl87">
    <w:name w:val="xl87"/>
    <w:basedOn w:val="a0"/>
    <w:pPr>
      <w:pBdr>
        <w:top w:val="single" w:sz="8" w:space="0" w:color="auto"/>
        <w:left w:val="single" w:sz="4" w:space="0" w:color="auto"/>
        <w:bottom w:val="single" w:sz="4" w:space="0" w:color="auto"/>
        <w:right w:val="single" w:sz="4"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88">
    <w:name w:val="xl88"/>
    <w:basedOn w:val="a0"/>
    <w:pPr>
      <w:pBdr>
        <w:top w:val="single" w:sz="8" w:space="0" w:color="auto"/>
        <w:left w:val="single" w:sz="8" w:space="0" w:color="auto"/>
        <w:bottom w:val="single" w:sz="4" w:space="0" w:color="auto"/>
        <w:right w:val="single" w:sz="4"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89">
    <w:name w:val="xl89"/>
    <w:basedOn w:val="a0"/>
    <w:pPr>
      <w:pBdr>
        <w:top w:val="single" w:sz="8" w:space="0" w:color="auto"/>
        <w:left w:val="single" w:sz="4" w:space="0" w:color="auto"/>
        <w:bottom w:val="single" w:sz="4"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90">
    <w:name w:val="xl90"/>
    <w:basedOn w:val="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headertext0">
    <w:name w:val="headertext"/>
    <w:basedOn w:val="a0"/>
    <w:pPr>
      <w:spacing w:after="72" w:line="330" w:lineRule="atLeast"/>
      <w:jc w:val="center"/>
    </w:pPr>
    <w:rPr>
      <w:rFonts w:eastAsia="Times New Roman"/>
      <w:b/>
      <w:bCs/>
      <w:color w:val="2B4279"/>
      <w:sz w:val="29"/>
      <w:szCs w:val="29"/>
    </w:rPr>
  </w:style>
  <w:style w:type="character" w:customStyle="1" w:styleId="match1">
    <w:name w:val="match1"/>
    <w:basedOn w:val="a1"/>
    <w:rPr>
      <w:color w:val="000000"/>
      <w:shd w:val="clear" w:color="auto" w:fill="FFF1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uiPriority="9" w:qFormat="1"/>
    <w:lsdException w:name="heading 8" w:qFormat="1"/>
    <w:lsdException w:name="heading 9"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page number" w:uiPriority="0"/>
    <w:lsdException w:name="List 2" w:uiPriority="0"/>
    <w:lsdException w:name="List Bullet 3"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line="240" w:lineRule="auto"/>
      <w:jc w:val="both"/>
    </w:pPr>
    <w:rPr>
      <w:rFonts w:ascii="Times New Roman" w:eastAsiaTheme="minorEastAsia" w:hAnsi="Times New Roman" w:cs="Times New Roman"/>
      <w:sz w:val="24"/>
      <w:szCs w:val="24"/>
      <w:lang w:eastAsia="ru-RU"/>
    </w:rPr>
  </w:style>
  <w:style w:type="paragraph" w:styleId="13">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0"/>
    <w:next w:val="a0"/>
    <w:link w:val="14"/>
    <w:uiPriority w:val="99"/>
    <w:qFormat/>
    <w:pPr>
      <w:keepNext/>
      <w:outlineLvl w:val="0"/>
    </w:pPr>
    <w:rPr>
      <w:rFonts w:ascii="Arial" w:hAnsi="Arial" w:cs="Arial"/>
      <w:b/>
      <w:bCs/>
      <w:caps/>
      <w:kern w:val="32"/>
      <w:sz w:val="32"/>
      <w:szCs w:val="32"/>
    </w:rPr>
  </w:style>
  <w:style w:type="paragraph" w:styleId="22">
    <w:name w:val="heading 2"/>
    <w:aliases w:val="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Знак2"/>
    <w:basedOn w:val="a0"/>
    <w:next w:val="a0"/>
    <w:link w:val="23"/>
    <w:uiPriority w:val="99"/>
    <w:qFormat/>
    <w:pPr>
      <w:keepNext/>
      <w:outlineLvl w:val="1"/>
    </w:pPr>
    <w:rPr>
      <w:rFonts w:ascii="Arial" w:hAnsi="Arial"/>
      <w:b/>
      <w:bCs/>
      <w:iCs/>
      <w:caps/>
      <w:szCs w:val="28"/>
    </w:rPr>
  </w:style>
  <w:style w:type="paragraph" w:styleId="30">
    <w:name w:val="heading 3"/>
    <w:aliases w:val="- 1.1.1,Пункт,- 1.1.11,- 1.1.12,- 1.1.13,- 1.1.14,H3,Caaieiaie 3 Ciae,Çàãîëîâîê 3 Çíàê,Gliederung3,Заголовок 3 Знак Знак Знак,Gliederung3 Знак,Ведомость (название),Ведомость (название) Знак,- 1.1.1 Знак"/>
    <w:basedOn w:val="a0"/>
    <w:next w:val="a0"/>
    <w:link w:val="31"/>
    <w:qFormat/>
    <w:pPr>
      <w:keepNext/>
      <w:spacing w:before="240" w:after="60"/>
      <w:outlineLvl w:val="2"/>
    </w:pPr>
    <w:rPr>
      <w:rFonts w:ascii="Arial" w:hAnsi="Arial" w:cs="Arial"/>
      <w:b/>
      <w:bCs/>
      <w:sz w:val="26"/>
      <w:szCs w:val="26"/>
    </w:rPr>
  </w:style>
  <w:style w:type="paragraph" w:styleId="4">
    <w:name w:val="heading 4"/>
    <w:aliases w:val="Подпункт"/>
    <w:basedOn w:val="a0"/>
    <w:next w:val="a0"/>
    <w:link w:val="40"/>
    <w:uiPriority w:val="99"/>
    <w:qFormat/>
    <w:pPr>
      <w:keepNext/>
      <w:ind w:right="-365"/>
      <w:jc w:val="right"/>
      <w:outlineLvl w:val="3"/>
    </w:pPr>
    <w:rPr>
      <w:rFonts w:ascii="Arial" w:hAnsi="Arial" w:cs="Arial"/>
      <w:b/>
      <w:sz w:val="20"/>
      <w:szCs w:val="20"/>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0"/>
    <w:next w:val="a0"/>
    <w:link w:val="50"/>
    <w:uiPriority w:val="99"/>
    <w:qFormat/>
    <w:pPr>
      <w:spacing w:before="240" w:after="60"/>
      <w:outlineLvl w:val="4"/>
    </w:pPr>
    <w:rPr>
      <w:b/>
      <w:bCs/>
      <w:i/>
      <w:iCs/>
      <w:color w:val="000000"/>
      <w:sz w:val="26"/>
      <w:szCs w:val="26"/>
    </w:rPr>
  </w:style>
  <w:style w:type="paragraph" w:styleId="6">
    <w:name w:val="heading 6"/>
    <w:basedOn w:val="a0"/>
    <w:next w:val="a0"/>
    <w:link w:val="60"/>
    <w:uiPriority w:val="99"/>
    <w:qFormat/>
    <w:pPr>
      <w:spacing w:before="240" w:after="60"/>
      <w:outlineLvl w:val="5"/>
    </w:pPr>
    <w:rPr>
      <w:b/>
      <w:bCs/>
      <w:color w:val="000000"/>
      <w:sz w:val="22"/>
      <w:szCs w:val="22"/>
    </w:rPr>
  </w:style>
  <w:style w:type="paragraph" w:styleId="7">
    <w:name w:val="heading 7"/>
    <w:basedOn w:val="a0"/>
    <w:next w:val="a0"/>
    <w:link w:val="70"/>
    <w:uiPriority w:val="9"/>
    <w:qFormat/>
    <w:pPr>
      <w:spacing w:before="240" w:after="60"/>
      <w:outlineLvl w:val="6"/>
    </w:pPr>
    <w:rPr>
      <w:color w:val="000000"/>
    </w:rPr>
  </w:style>
  <w:style w:type="paragraph" w:styleId="8">
    <w:name w:val="heading 8"/>
    <w:aliases w:val="Знак8"/>
    <w:basedOn w:val="a0"/>
    <w:next w:val="a0"/>
    <w:link w:val="80"/>
    <w:uiPriority w:val="99"/>
    <w:qFormat/>
    <w:pPr>
      <w:spacing w:before="240" w:after="60"/>
      <w:outlineLvl w:val="7"/>
    </w:pPr>
    <w:rPr>
      <w:i/>
      <w:iCs/>
      <w:color w:val="000000"/>
    </w:rPr>
  </w:style>
  <w:style w:type="paragraph" w:styleId="9">
    <w:name w:val="heading 9"/>
    <w:basedOn w:val="a0"/>
    <w:next w:val="a0"/>
    <w:link w:val="90"/>
    <w:uiPriority w:val="99"/>
    <w:qFormat/>
    <w:pPr>
      <w:spacing w:before="240" w:after="60"/>
      <w:outlineLvl w:val="8"/>
    </w:pPr>
    <w:rPr>
      <w:rFonts w:ascii="Arial" w:hAnsi="Arial" w:cs="Arial"/>
      <w:color w:val="000000"/>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4">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1"/>
    <w:link w:val="13"/>
    <w:uiPriority w:val="99"/>
    <w:rPr>
      <w:rFonts w:ascii="Arial" w:eastAsiaTheme="minorEastAsia" w:hAnsi="Arial" w:cs="Arial"/>
      <w:b/>
      <w:bCs/>
      <w:caps/>
      <w:kern w:val="32"/>
      <w:sz w:val="32"/>
      <w:szCs w:val="32"/>
      <w:lang w:eastAsia="ru-RU"/>
    </w:rPr>
  </w:style>
  <w:style w:type="character" w:customStyle="1" w:styleId="23">
    <w:name w:val="Заголовок 2 Знак"/>
    <w:aliases w:val="Знак Знак1,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заголово Знак"/>
    <w:basedOn w:val="a1"/>
    <w:link w:val="22"/>
    <w:uiPriority w:val="99"/>
    <w:rPr>
      <w:rFonts w:ascii="Arial" w:eastAsiaTheme="minorEastAsia" w:hAnsi="Arial" w:cs="Times New Roman"/>
      <w:b/>
      <w:bCs/>
      <w:iCs/>
      <w:caps/>
      <w:sz w:val="24"/>
      <w:szCs w:val="28"/>
      <w:lang w:eastAsia="ru-RU"/>
    </w:rPr>
  </w:style>
  <w:style w:type="character" w:customStyle="1" w:styleId="31">
    <w:name w:val="Заголовок 3 Знак"/>
    <w:aliases w:val="- 1.1.1 Знак1,Пункт Знак,- 1.1.11 Знак,- 1.1.12 Знак,- 1.1.13 Знак,- 1.1.14 Знак,H3 Знак,Caaieiaie 3 Ciae Знак,Çàãîëîâîê 3 Çíàê Знак,Gliederung3 Знак1,Заголовок 3 Знак Знак Знак Знак,Gliederung3 Знак Знак,Ведомость (название) Знак1"/>
    <w:basedOn w:val="a1"/>
    <w:link w:val="30"/>
    <w:rPr>
      <w:rFonts w:ascii="Arial" w:eastAsiaTheme="minorEastAsia" w:hAnsi="Arial" w:cs="Arial"/>
      <w:b/>
      <w:bCs/>
      <w:sz w:val="26"/>
      <w:szCs w:val="26"/>
      <w:lang w:eastAsia="ru-RU"/>
    </w:rPr>
  </w:style>
  <w:style w:type="character" w:customStyle="1" w:styleId="40">
    <w:name w:val="Заголовок 4 Знак"/>
    <w:aliases w:val="Подпункт Знак"/>
    <w:basedOn w:val="a1"/>
    <w:link w:val="4"/>
    <w:uiPriority w:val="99"/>
    <w:rPr>
      <w:rFonts w:ascii="Arial" w:eastAsiaTheme="minorEastAsia" w:hAnsi="Arial" w:cs="Arial"/>
      <w:b/>
      <w:sz w:val="20"/>
      <w:szCs w:val="20"/>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1"/>
    <w:link w:val="5"/>
    <w:uiPriority w:val="99"/>
    <w:rPr>
      <w:rFonts w:ascii="Times New Roman" w:eastAsiaTheme="minorEastAsia" w:hAnsi="Times New Roman" w:cs="Times New Roman"/>
      <w:b/>
      <w:bCs/>
      <w:i/>
      <w:iCs/>
      <w:color w:val="000000"/>
      <w:sz w:val="26"/>
      <w:szCs w:val="26"/>
      <w:lang w:eastAsia="ru-RU"/>
    </w:rPr>
  </w:style>
  <w:style w:type="character" w:customStyle="1" w:styleId="60">
    <w:name w:val="Заголовок 6 Знак"/>
    <w:basedOn w:val="a1"/>
    <w:link w:val="6"/>
    <w:uiPriority w:val="99"/>
    <w:rPr>
      <w:rFonts w:ascii="Times New Roman" w:eastAsiaTheme="minorEastAsia" w:hAnsi="Times New Roman" w:cs="Times New Roman"/>
      <w:b/>
      <w:bCs/>
      <w:color w:val="000000"/>
      <w:lang w:eastAsia="ru-RU"/>
    </w:rPr>
  </w:style>
  <w:style w:type="character" w:customStyle="1" w:styleId="70">
    <w:name w:val="Заголовок 7 Знак"/>
    <w:basedOn w:val="a1"/>
    <w:link w:val="7"/>
    <w:uiPriority w:val="9"/>
    <w:rPr>
      <w:rFonts w:ascii="Times New Roman" w:eastAsiaTheme="minorEastAsia" w:hAnsi="Times New Roman" w:cs="Times New Roman"/>
      <w:color w:val="000000"/>
      <w:sz w:val="24"/>
      <w:szCs w:val="24"/>
      <w:lang w:eastAsia="ru-RU"/>
    </w:rPr>
  </w:style>
  <w:style w:type="character" w:customStyle="1" w:styleId="80">
    <w:name w:val="Заголовок 8 Знак"/>
    <w:aliases w:val="Знак8 Знак"/>
    <w:basedOn w:val="a1"/>
    <w:link w:val="8"/>
    <w:uiPriority w:val="99"/>
    <w:rPr>
      <w:rFonts w:ascii="Times New Roman" w:eastAsiaTheme="minorEastAsia" w:hAnsi="Times New Roman" w:cs="Times New Roman"/>
      <w:i/>
      <w:iCs/>
      <w:color w:val="000000"/>
      <w:sz w:val="24"/>
      <w:szCs w:val="24"/>
      <w:lang w:eastAsia="ru-RU"/>
    </w:rPr>
  </w:style>
  <w:style w:type="character" w:customStyle="1" w:styleId="90">
    <w:name w:val="Заголовок 9 Знак"/>
    <w:basedOn w:val="a1"/>
    <w:link w:val="9"/>
    <w:uiPriority w:val="9"/>
    <w:rPr>
      <w:rFonts w:ascii="Arial" w:eastAsiaTheme="minorEastAsia" w:hAnsi="Arial" w:cs="Arial"/>
      <w:color w:val="000000"/>
      <w:lang w:eastAsia="ru-RU"/>
    </w:rPr>
  </w:style>
  <w:style w:type="paragraph" w:customStyle="1" w:styleId="a4">
    <w:name w:val="ФИО"/>
    <w:basedOn w:val="a0"/>
    <w:pPr>
      <w:spacing w:after="180"/>
      <w:ind w:left="5670"/>
    </w:pPr>
    <w:rPr>
      <w:szCs w:val="20"/>
    </w:rPr>
  </w:style>
  <w:style w:type="paragraph" w:styleId="15">
    <w:name w:val="index 1"/>
    <w:basedOn w:val="a0"/>
    <w:next w:val="a0"/>
  </w:style>
  <w:style w:type="paragraph" w:styleId="a5">
    <w:name w:val="index heading"/>
    <w:basedOn w:val="a0"/>
    <w:next w:val="15"/>
  </w:style>
  <w:style w:type="character" w:styleId="a6">
    <w:name w:val="Hyperlink"/>
    <w:uiPriority w:val="99"/>
    <w:rPr>
      <w:color w:val="0000FF"/>
      <w:u w:val="single"/>
    </w:rPr>
  </w:style>
  <w:style w:type="paragraph" w:styleId="a7">
    <w:name w:val="Body Text"/>
    <w:aliases w:val=" Знак"/>
    <w:basedOn w:val="a0"/>
    <w:link w:val="a8"/>
    <w:uiPriority w:val="99"/>
    <w:qFormat/>
    <w:pPr>
      <w:spacing w:after="120"/>
    </w:pPr>
  </w:style>
  <w:style w:type="character" w:customStyle="1" w:styleId="a8">
    <w:name w:val="Основной текст Знак"/>
    <w:aliases w:val=" Знак Знак"/>
    <w:basedOn w:val="a1"/>
    <w:link w:val="a7"/>
    <w:uiPriority w:val="99"/>
    <w:rPr>
      <w:rFonts w:ascii="Times New Roman" w:eastAsiaTheme="minorEastAsia" w:hAnsi="Times New Roman" w:cs="Times New Roman"/>
      <w:sz w:val="24"/>
      <w:szCs w:val="24"/>
      <w:lang w:eastAsia="ru-RU"/>
    </w:rPr>
  </w:style>
  <w:style w:type="paragraph" w:styleId="a9">
    <w:name w:val="header"/>
    <w:aliases w:val="h"/>
    <w:basedOn w:val="a0"/>
    <w:link w:val="aa"/>
    <w:pPr>
      <w:tabs>
        <w:tab w:val="center" w:pos="4677"/>
        <w:tab w:val="right" w:pos="9355"/>
      </w:tabs>
    </w:pPr>
  </w:style>
  <w:style w:type="character" w:customStyle="1" w:styleId="aa">
    <w:name w:val="Верхний колонтитул Знак"/>
    <w:aliases w:val="h Знак"/>
    <w:basedOn w:val="a1"/>
    <w:link w:val="a9"/>
    <w:rPr>
      <w:rFonts w:ascii="Times New Roman" w:eastAsiaTheme="minorEastAsia" w:hAnsi="Times New Roman" w:cs="Times New Roman"/>
      <w:sz w:val="24"/>
      <w:szCs w:val="24"/>
      <w:lang w:eastAsia="ru-RU"/>
    </w:rPr>
  </w:style>
  <w:style w:type="paragraph" w:styleId="ab">
    <w:name w:val="footer"/>
    <w:aliases w:val="список"/>
    <w:basedOn w:val="a0"/>
    <w:link w:val="ac"/>
    <w:uiPriority w:val="99"/>
    <w:pPr>
      <w:tabs>
        <w:tab w:val="center" w:pos="4677"/>
        <w:tab w:val="right" w:pos="9355"/>
      </w:tabs>
    </w:pPr>
  </w:style>
  <w:style w:type="character" w:customStyle="1" w:styleId="ac">
    <w:name w:val="Нижний колонтитул Знак"/>
    <w:aliases w:val="список Знак"/>
    <w:basedOn w:val="a1"/>
    <w:link w:val="ab"/>
    <w:uiPriority w:val="99"/>
    <w:rPr>
      <w:rFonts w:ascii="Times New Roman" w:eastAsiaTheme="minorEastAsia" w:hAnsi="Times New Roman" w:cs="Times New Roman"/>
      <w:sz w:val="24"/>
      <w:szCs w:val="24"/>
      <w:lang w:eastAsia="ru-RU"/>
    </w:rPr>
  </w:style>
  <w:style w:type="paragraph" w:styleId="16">
    <w:name w:val="toc 1"/>
    <w:basedOn w:val="a0"/>
    <w:next w:val="a0"/>
    <w:uiPriority w:val="39"/>
    <w:qFormat/>
    <w:pPr>
      <w:tabs>
        <w:tab w:val="right" w:leader="dot" w:pos="9628"/>
      </w:tabs>
      <w:spacing w:before="240"/>
    </w:pPr>
    <w:rPr>
      <w:rFonts w:ascii="Arial" w:hAnsi="Arial" w:cs="Arial"/>
      <w:b/>
      <w:bCs/>
      <w:caps/>
      <w:noProof/>
      <w:sz w:val="20"/>
      <w:szCs w:val="20"/>
    </w:rPr>
  </w:style>
  <w:style w:type="paragraph" w:styleId="24">
    <w:name w:val="toc 2"/>
    <w:basedOn w:val="a0"/>
    <w:next w:val="a0"/>
    <w:uiPriority w:val="39"/>
    <w:qFormat/>
    <w:pPr>
      <w:spacing w:before="240"/>
      <w:ind w:left="284"/>
    </w:pPr>
    <w:rPr>
      <w:rFonts w:ascii="Arial" w:hAnsi="Arial"/>
      <w:b/>
      <w:bCs/>
      <w:sz w:val="18"/>
      <w:szCs w:val="20"/>
    </w:rPr>
  </w:style>
  <w:style w:type="paragraph" w:styleId="32">
    <w:name w:val="Body Text 3"/>
    <w:basedOn w:val="a0"/>
    <w:link w:val="33"/>
    <w:pPr>
      <w:spacing w:before="240" w:after="240"/>
    </w:pPr>
  </w:style>
  <w:style w:type="character" w:customStyle="1" w:styleId="33">
    <w:name w:val="Основной текст 3 Знак"/>
    <w:basedOn w:val="a1"/>
    <w:link w:val="32"/>
    <w:rPr>
      <w:rFonts w:ascii="Times New Roman" w:eastAsiaTheme="minorEastAsia" w:hAnsi="Times New Roman" w:cs="Times New Roman"/>
      <w:sz w:val="24"/>
      <w:szCs w:val="24"/>
      <w:lang w:eastAsia="ru-RU"/>
    </w:rPr>
  </w:style>
  <w:style w:type="paragraph" w:styleId="34">
    <w:name w:val="toc 3"/>
    <w:basedOn w:val="a0"/>
    <w:next w:val="a0"/>
    <w:uiPriority w:val="39"/>
    <w:qFormat/>
    <w:pPr>
      <w:spacing w:before="240"/>
      <w:ind w:left="567"/>
    </w:pPr>
    <w:rPr>
      <w:rFonts w:ascii="Arial" w:hAnsi="Arial"/>
      <w:i/>
      <w:sz w:val="16"/>
      <w:szCs w:val="20"/>
    </w:rPr>
  </w:style>
  <w:style w:type="paragraph" w:styleId="ad">
    <w:name w:val="footnote text"/>
    <w:basedOn w:val="a0"/>
    <w:link w:val="ae"/>
    <w:rPr>
      <w:sz w:val="20"/>
      <w:szCs w:val="20"/>
    </w:rPr>
  </w:style>
  <w:style w:type="character" w:customStyle="1" w:styleId="ae">
    <w:name w:val="Текст сноски Знак"/>
    <w:basedOn w:val="a1"/>
    <w:link w:val="ad"/>
    <w:rPr>
      <w:rFonts w:ascii="Times New Roman" w:eastAsiaTheme="minorEastAsia" w:hAnsi="Times New Roman" w:cs="Times New Roman"/>
      <w:sz w:val="20"/>
      <w:szCs w:val="20"/>
      <w:lang w:eastAsia="ru-RU"/>
    </w:rPr>
  </w:style>
  <w:style w:type="character" w:styleId="af">
    <w:name w:val="footnote reference"/>
    <w:rPr>
      <w:vertAlign w:val="superscript"/>
    </w:rPr>
  </w:style>
  <w:style w:type="paragraph" w:styleId="35">
    <w:name w:val="Body Text Indent 3"/>
    <w:basedOn w:val="a0"/>
    <w:link w:val="36"/>
    <w:pPr>
      <w:spacing w:after="120"/>
      <w:ind w:left="283"/>
    </w:pPr>
    <w:rPr>
      <w:sz w:val="16"/>
      <w:szCs w:val="16"/>
    </w:rPr>
  </w:style>
  <w:style w:type="character" w:customStyle="1" w:styleId="36">
    <w:name w:val="Основной текст с отступом 3 Знак"/>
    <w:basedOn w:val="a1"/>
    <w:link w:val="35"/>
    <w:rPr>
      <w:rFonts w:ascii="Times New Roman" w:eastAsiaTheme="minorEastAsia" w:hAnsi="Times New Roman" w:cs="Times New Roman"/>
      <w:sz w:val="16"/>
      <w:szCs w:val="16"/>
      <w:lang w:eastAsia="ru-RU"/>
    </w:rPr>
  </w:style>
  <w:style w:type="paragraph" w:customStyle="1" w:styleId="af0">
    <w:name w:val="Текст таблица"/>
    <w:basedOn w:val="a0"/>
    <w:pPr>
      <w:numPr>
        <w:ilvl w:val="12"/>
      </w:numPr>
      <w:spacing w:before="60"/>
    </w:pPr>
    <w:rPr>
      <w:iCs/>
      <w:sz w:val="22"/>
      <w:szCs w:val="20"/>
    </w:rPr>
  </w:style>
  <w:style w:type="character" w:styleId="af1">
    <w:name w:val="Strong"/>
    <w:qFormat/>
    <w:rPr>
      <w:b/>
      <w:bCs/>
    </w:rPr>
  </w:style>
  <w:style w:type="paragraph" w:customStyle="1" w:styleId="17">
    <w:name w:val="Список 1"/>
    <w:basedOn w:val="af2"/>
    <w:link w:val="18"/>
    <w:pPr>
      <w:widowControl w:val="0"/>
      <w:overflowPunct w:val="0"/>
      <w:autoSpaceDE w:val="0"/>
      <w:autoSpaceDN w:val="0"/>
      <w:adjustRightInd w:val="0"/>
      <w:spacing w:before="60"/>
      <w:textAlignment w:val="baseline"/>
    </w:pPr>
    <w:rPr>
      <w:szCs w:val="20"/>
    </w:rPr>
  </w:style>
  <w:style w:type="paragraph" w:styleId="af2">
    <w:name w:val="List Bullet"/>
    <w:basedOn w:val="a0"/>
    <w:uiPriority w:val="99"/>
    <w:pPr>
      <w:tabs>
        <w:tab w:val="num" w:pos="900"/>
      </w:tabs>
      <w:ind w:left="900" w:hanging="360"/>
    </w:pPr>
  </w:style>
  <w:style w:type="paragraph" w:styleId="af3">
    <w:name w:val="caption"/>
    <w:basedOn w:val="a0"/>
    <w:next w:val="a0"/>
    <w:qFormat/>
    <w:rPr>
      <w:b/>
      <w:bCs/>
      <w:sz w:val="20"/>
      <w:szCs w:val="20"/>
    </w:rPr>
  </w:style>
  <w:style w:type="character" w:styleId="af4">
    <w:name w:val="annotation reference"/>
    <w:rPr>
      <w:sz w:val="16"/>
      <w:szCs w:val="16"/>
    </w:rPr>
  </w:style>
  <w:style w:type="paragraph" w:styleId="af5">
    <w:name w:val="annotation text"/>
    <w:basedOn w:val="a0"/>
    <w:link w:val="af6"/>
    <w:rPr>
      <w:sz w:val="20"/>
      <w:szCs w:val="20"/>
    </w:rPr>
  </w:style>
  <w:style w:type="character" w:customStyle="1" w:styleId="af6">
    <w:name w:val="Текст примечания Знак"/>
    <w:basedOn w:val="a1"/>
    <w:link w:val="af5"/>
    <w:rPr>
      <w:rFonts w:ascii="Times New Roman" w:eastAsiaTheme="minorEastAsia" w:hAnsi="Times New Roman" w:cs="Times New Roman"/>
      <w:sz w:val="20"/>
      <w:szCs w:val="20"/>
      <w:lang w:eastAsia="ru-RU"/>
    </w:rPr>
  </w:style>
  <w:style w:type="paragraph" w:styleId="af7">
    <w:name w:val="annotation subject"/>
    <w:basedOn w:val="af5"/>
    <w:next w:val="af5"/>
    <w:link w:val="af8"/>
    <w:uiPriority w:val="99"/>
    <w:rPr>
      <w:b/>
      <w:bCs/>
    </w:rPr>
  </w:style>
  <w:style w:type="character" w:customStyle="1" w:styleId="af8">
    <w:name w:val="Тема примечания Знак"/>
    <w:basedOn w:val="af6"/>
    <w:link w:val="af7"/>
    <w:uiPriority w:val="99"/>
    <w:rPr>
      <w:rFonts w:ascii="Times New Roman" w:eastAsiaTheme="minorEastAsia" w:hAnsi="Times New Roman" w:cs="Times New Roman"/>
      <w:b/>
      <w:bCs/>
      <w:sz w:val="20"/>
      <w:szCs w:val="20"/>
      <w:lang w:eastAsia="ru-RU"/>
    </w:rPr>
  </w:style>
  <w:style w:type="paragraph" w:styleId="af9">
    <w:name w:val="Balloon Text"/>
    <w:basedOn w:val="a0"/>
    <w:link w:val="afa"/>
    <w:rPr>
      <w:rFonts w:ascii="Tahoma" w:hAnsi="Tahoma" w:cs="Tahoma"/>
      <w:sz w:val="16"/>
      <w:szCs w:val="16"/>
    </w:rPr>
  </w:style>
  <w:style w:type="character" w:customStyle="1" w:styleId="afa">
    <w:name w:val="Текст выноски Знак"/>
    <w:basedOn w:val="a1"/>
    <w:link w:val="af9"/>
    <w:uiPriority w:val="99"/>
    <w:rPr>
      <w:rFonts w:ascii="Tahoma" w:eastAsiaTheme="minorEastAsia" w:hAnsi="Tahoma" w:cs="Tahoma"/>
      <w:sz w:val="16"/>
      <w:szCs w:val="16"/>
      <w:lang w:eastAsia="ru-RU"/>
    </w:rPr>
  </w:style>
  <w:style w:type="paragraph" w:styleId="41">
    <w:name w:val="toc 4"/>
    <w:basedOn w:val="a0"/>
    <w:next w:val="a0"/>
    <w:uiPriority w:val="39"/>
    <w:pPr>
      <w:ind w:left="480"/>
    </w:pPr>
    <w:rPr>
      <w:sz w:val="20"/>
      <w:szCs w:val="20"/>
    </w:rPr>
  </w:style>
  <w:style w:type="paragraph" w:styleId="51">
    <w:name w:val="toc 5"/>
    <w:basedOn w:val="a0"/>
    <w:next w:val="a0"/>
    <w:uiPriority w:val="39"/>
    <w:pPr>
      <w:ind w:left="720"/>
    </w:pPr>
    <w:rPr>
      <w:sz w:val="20"/>
      <w:szCs w:val="20"/>
    </w:rPr>
  </w:style>
  <w:style w:type="paragraph" w:styleId="61">
    <w:name w:val="toc 6"/>
    <w:basedOn w:val="a0"/>
    <w:next w:val="a0"/>
    <w:uiPriority w:val="39"/>
    <w:pPr>
      <w:ind w:left="960"/>
    </w:pPr>
    <w:rPr>
      <w:sz w:val="20"/>
      <w:szCs w:val="20"/>
    </w:rPr>
  </w:style>
  <w:style w:type="paragraph" w:styleId="71">
    <w:name w:val="toc 7"/>
    <w:basedOn w:val="a0"/>
    <w:next w:val="a0"/>
    <w:uiPriority w:val="39"/>
    <w:pPr>
      <w:ind w:left="1200"/>
    </w:pPr>
    <w:rPr>
      <w:sz w:val="20"/>
      <w:szCs w:val="20"/>
    </w:rPr>
  </w:style>
  <w:style w:type="paragraph" w:styleId="81">
    <w:name w:val="toc 8"/>
    <w:basedOn w:val="a0"/>
    <w:next w:val="a0"/>
    <w:uiPriority w:val="39"/>
    <w:pPr>
      <w:ind w:left="1440"/>
    </w:pPr>
    <w:rPr>
      <w:sz w:val="20"/>
      <w:szCs w:val="20"/>
    </w:rPr>
  </w:style>
  <w:style w:type="paragraph" w:styleId="91">
    <w:name w:val="toc 9"/>
    <w:basedOn w:val="a0"/>
    <w:next w:val="a0"/>
    <w:uiPriority w:val="39"/>
    <w:pPr>
      <w:ind w:left="1680"/>
    </w:pPr>
    <w:rPr>
      <w:sz w:val="20"/>
      <w:szCs w:val="20"/>
    </w:rPr>
  </w:style>
  <w:style w:type="paragraph" w:customStyle="1" w:styleId="afb">
    <w:name w:val="текст резюме"/>
    <w:basedOn w:val="a0"/>
    <w:pPr>
      <w:widowControl w:val="0"/>
      <w:overflowPunct w:val="0"/>
      <w:autoSpaceDE w:val="0"/>
      <w:autoSpaceDN w:val="0"/>
      <w:adjustRightInd w:val="0"/>
      <w:spacing w:before="60"/>
      <w:textAlignment w:val="baseline"/>
    </w:pPr>
    <w:rPr>
      <w:szCs w:val="20"/>
    </w:rPr>
  </w:style>
  <w:style w:type="paragraph" w:customStyle="1" w:styleId="afc">
    <w:name w:val="Знак Знак Знак Знак"/>
    <w:basedOn w:val="a0"/>
    <w:pPr>
      <w:spacing w:after="160" w:line="240" w:lineRule="exact"/>
    </w:pPr>
    <w:rPr>
      <w:rFonts w:ascii="Verdana" w:hAnsi="Verdana" w:cs="Verdana"/>
      <w:sz w:val="20"/>
      <w:szCs w:val="20"/>
      <w:lang w:val="en-US" w:eastAsia="en-US"/>
    </w:rPr>
  </w:style>
  <w:style w:type="paragraph" w:customStyle="1" w:styleId="afd">
    <w:name w:val="Текст МУ"/>
    <w:basedOn w:val="a0"/>
    <w:link w:val="afe"/>
    <w:pPr>
      <w:spacing w:before="180" w:after="120"/>
    </w:pPr>
    <w:rPr>
      <w:szCs w:val="20"/>
    </w:rPr>
  </w:style>
  <w:style w:type="character" w:customStyle="1" w:styleId="afe">
    <w:name w:val="Текст МУ Знак"/>
    <w:link w:val="afd"/>
    <w:rPr>
      <w:rFonts w:ascii="Times New Roman" w:eastAsiaTheme="minorEastAsia" w:hAnsi="Times New Roman" w:cs="Times New Roman"/>
      <w:sz w:val="24"/>
      <w:szCs w:val="20"/>
      <w:lang w:eastAsia="ru-RU"/>
    </w:rPr>
  </w:style>
  <w:style w:type="paragraph" w:customStyle="1" w:styleId="aff">
    <w:name w:val="Термин МУ"/>
    <w:basedOn w:val="afd"/>
    <w:link w:val="aff0"/>
    <w:rPr>
      <w:rFonts w:ascii="Arial" w:hAnsi="Arial"/>
      <w:b/>
      <w:bCs/>
      <w:i/>
      <w:iCs/>
    </w:rPr>
  </w:style>
  <w:style w:type="character" w:customStyle="1" w:styleId="aff0">
    <w:name w:val="Термин МУ Знак"/>
    <w:link w:val="aff"/>
    <w:rPr>
      <w:rFonts w:ascii="Arial" w:eastAsiaTheme="minorEastAsia" w:hAnsi="Arial" w:cs="Times New Roman"/>
      <w:b/>
      <w:bCs/>
      <w:i/>
      <w:iCs/>
      <w:sz w:val="24"/>
      <w:szCs w:val="20"/>
      <w:lang w:eastAsia="ru-RU"/>
    </w:rPr>
  </w:style>
  <w:style w:type="paragraph" w:styleId="aff1">
    <w:name w:val="Normal (Web)"/>
    <w:basedOn w:val="a0"/>
    <w:uiPriority w:val="99"/>
    <w:pPr>
      <w:spacing w:before="100" w:beforeAutospacing="1" w:after="100" w:afterAutospacing="1"/>
    </w:pPr>
  </w:style>
  <w:style w:type="character" w:styleId="aff2">
    <w:name w:val="Emphasis"/>
    <w:uiPriority w:val="20"/>
    <w:qFormat/>
    <w:rPr>
      <w:i/>
      <w:iCs/>
    </w:rPr>
  </w:style>
  <w:style w:type="character" w:customStyle="1" w:styleId="18">
    <w:name w:val="Список 1 Знак"/>
    <w:link w:val="17"/>
    <w:rPr>
      <w:rFonts w:ascii="Times New Roman" w:eastAsiaTheme="minorEastAsia" w:hAnsi="Times New Roman" w:cs="Times New Roman"/>
      <w:sz w:val="24"/>
      <w:szCs w:val="20"/>
      <w:lang w:eastAsia="ru-RU"/>
    </w:rPr>
  </w:style>
  <w:style w:type="character" w:customStyle="1" w:styleId="urtxtstd">
    <w:name w:val="urtxtstd"/>
    <w:basedOn w:val="a1"/>
  </w:style>
  <w:style w:type="paragraph" w:customStyle="1" w:styleId="aff3">
    <w:name w:val="Знак Знак"/>
    <w:basedOn w:val="a0"/>
    <w:pPr>
      <w:spacing w:after="160"/>
    </w:pPr>
    <w:rPr>
      <w:rFonts w:ascii="Arial" w:hAnsi="Arial"/>
      <w:b/>
      <w:color w:val="FFFFFF"/>
      <w:sz w:val="32"/>
      <w:szCs w:val="20"/>
      <w:lang w:val="en-US" w:eastAsia="en-US"/>
    </w:rPr>
  </w:style>
  <w:style w:type="paragraph" w:styleId="aff4">
    <w:name w:val="Plain Text"/>
    <w:basedOn w:val="a0"/>
    <w:link w:val="aff5"/>
    <w:uiPriority w:val="99"/>
    <w:rPr>
      <w:rFonts w:ascii="Courier New" w:hAnsi="Courier New" w:cs="Courier New"/>
      <w:sz w:val="20"/>
      <w:szCs w:val="20"/>
    </w:rPr>
  </w:style>
  <w:style w:type="character" w:customStyle="1" w:styleId="aff5">
    <w:name w:val="Текст Знак"/>
    <w:basedOn w:val="a1"/>
    <w:link w:val="aff4"/>
    <w:uiPriority w:val="99"/>
    <w:rPr>
      <w:rFonts w:ascii="Courier New" w:eastAsiaTheme="minorEastAsia" w:hAnsi="Courier New" w:cs="Courier New"/>
      <w:sz w:val="20"/>
      <w:szCs w:val="20"/>
      <w:lang w:eastAsia="ru-RU"/>
    </w:rPr>
  </w:style>
  <w:style w:type="table" w:styleId="aff6">
    <w:name w:val="Table Grid"/>
    <w:basedOn w:val="a2"/>
    <w:uiPriority w:val="39"/>
    <w:pPr>
      <w:spacing w:after="0" w:line="240" w:lineRule="auto"/>
    </w:pPr>
    <w:rPr>
      <w:rFonts w:ascii="Times New Roman" w:eastAsiaTheme="minorEastAsia"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endnote text"/>
    <w:basedOn w:val="a0"/>
    <w:link w:val="aff8"/>
    <w:uiPriority w:val="99"/>
    <w:rPr>
      <w:sz w:val="20"/>
      <w:szCs w:val="20"/>
    </w:rPr>
  </w:style>
  <w:style w:type="character" w:customStyle="1" w:styleId="aff8">
    <w:name w:val="Текст концевой сноски Знак"/>
    <w:basedOn w:val="a1"/>
    <w:link w:val="aff7"/>
    <w:uiPriority w:val="99"/>
    <w:rPr>
      <w:rFonts w:ascii="Times New Roman" w:eastAsiaTheme="minorEastAsia" w:hAnsi="Times New Roman" w:cs="Times New Roman"/>
      <w:sz w:val="20"/>
      <w:szCs w:val="20"/>
      <w:lang w:eastAsia="ru-RU"/>
    </w:rPr>
  </w:style>
  <w:style w:type="character" w:styleId="aff9">
    <w:name w:val="endnote reference"/>
    <w:uiPriority w:val="99"/>
    <w:rPr>
      <w:vertAlign w:val="superscript"/>
    </w:rPr>
  </w:style>
  <w:style w:type="character" w:styleId="affa">
    <w:name w:val="page number"/>
    <w:basedOn w:val="a1"/>
  </w:style>
  <w:style w:type="paragraph" w:styleId="affb">
    <w:name w:val="No Spacing"/>
    <w:aliases w:val="Table text"/>
    <w:qFormat/>
    <w:pPr>
      <w:spacing w:after="0" w:line="240" w:lineRule="auto"/>
    </w:pPr>
    <w:rPr>
      <w:rFonts w:ascii="Calibri" w:eastAsia="Calibri" w:hAnsi="Calibri" w:cs="Times New Roman"/>
    </w:rPr>
  </w:style>
  <w:style w:type="character" w:customStyle="1" w:styleId="urtxtemph">
    <w:name w:val="urtxtemph"/>
    <w:basedOn w:val="a1"/>
  </w:style>
  <w:style w:type="paragraph" w:customStyle="1" w:styleId="S0">
    <w:name w:val="S_Обычный"/>
    <w:basedOn w:val="a0"/>
    <w:link w:val="S4"/>
    <w:pPr>
      <w:widowControl w:val="0"/>
    </w:pPr>
    <w:rPr>
      <w:rFonts w:eastAsia="Times New Roman"/>
    </w:rPr>
  </w:style>
  <w:style w:type="character" w:customStyle="1" w:styleId="S4">
    <w:name w:val="S_Обычный Знак"/>
    <w:link w:val="S0"/>
    <w:rPr>
      <w:rFonts w:ascii="Times New Roman" w:eastAsia="Times New Roman" w:hAnsi="Times New Roman" w:cs="Times New Roman"/>
      <w:sz w:val="24"/>
      <w:szCs w:val="24"/>
      <w:lang w:eastAsia="ru-RU"/>
    </w:rPr>
  </w:style>
  <w:style w:type="character" w:customStyle="1" w:styleId="S01">
    <w:name w:val="S_Термин01"/>
    <w:rPr>
      <w:rFonts w:ascii="Arial" w:hAnsi="Arial" w:cs="Arial"/>
      <w:b/>
      <w:bCs/>
      <w:i/>
      <w:iCs/>
      <w:caps/>
      <w:sz w:val="20"/>
      <w:szCs w:val="20"/>
      <w:lang w:val="ru-RU" w:eastAsia="ru-RU"/>
    </w:rPr>
  </w:style>
  <w:style w:type="paragraph" w:customStyle="1" w:styleId="ConsPlusNormal">
    <w:name w:val="ConsPlusNormal"/>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Default">
    <w:name w:val="Default"/>
    <w:pPr>
      <w:autoSpaceDE w:val="0"/>
      <w:autoSpaceDN w:val="0"/>
      <w:adjustRightInd w:val="0"/>
      <w:spacing w:after="0" w:line="240" w:lineRule="auto"/>
    </w:pPr>
    <w:rPr>
      <w:rFonts w:ascii="Verdana" w:eastAsiaTheme="minorEastAsia" w:hAnsi="Verdana" w:cs="Verdana"/>
      <w:color w:val="000000"/>
      <w:sz w:val="24"/>
      <w:szCs w:val="24"/>
      <w:lang w:eastAsia="ru-RU"/>
    </w:rPr>
  </w:style>
  <w:style w:type="paragraph" w:customStyle="1" w:styleId="formattext">
    <w:name w:val="formattext"/>
    <w:basedOn w:val="a0"/>
    <w:pPr>
      <w:spacing w:before="100" w:beforeAutospacing="1" w:after="100" w:afterAutospacing="1"/>
    </w:pPr>
  </w:style>
  <w:style w:type="paragraph" w:styleId="affc">
    <w:name w:val="Revision"/>
    <w:hidden/>
    <w:uiPriority w:val="99"/>
    <w:semiHidden/>
    <w:pPr>
      <w:spacing w:after="0" w:line="240" w:lineRule="auto"/>
    </w:pPr>
    <w:rPr>
      <w:rFonts w:ascii="Times New Roman" w:eastAsiaTheme="minorEastAsia" w:hAnsi="Times New Roman" w:cs="Times New Roman"/>
      <w:sz w:val="24"/>
      <w:szCs w:val="24"/>
      <w:lang w:eastAsia="ru-RU"/>
    </w:rPr>
  </w:style>
  <w:style w:type="paragraph" w:styleId="affd">
    <w:name w:val="List Paragraph"/>
    <w:basedOn w:val="a0"/>
    <w:link w:val="affe"/>
    <w:uiPriority w:val="34"/>
    <w:qFormat/>
    <w:pPr>
      <w:spacing w:line="360" w:lineRule="auto"/>
      <w:ind w:left="720" w:firstLine="709"/>
      <w:contextualSpacing/>
    </w:pPr>
    <w:rPr>
      <w:rFonts w:ascii="Arial" w:eastAsia="Calibri" w:hAnsi="Arial"/>
      <w:sz w:val="22"/>
      <w:lang w:eastAsia="en-US"/>
    </w:rPr>
  </w:style>
  <w:style w:type="character" w:customStyle="1" w:styleId="afff">
    <w:name w:val="Основной текст_"/>
    <w:link w:val="37"/>
    <w:rPr>
      <w:b/>
      <w:bCs/>
      <w:spacing w:val="-7"/>
      <w:shd w:val="clear" w:color="auto" w:fill="FFFFFF"/>
    </w:rPr>
  </w:style>
  <w:style w:type="character" w:customStyle="1" w:styleId="Tahoma9pt0pt">
    <w:name w:val="Основной текст + Tahoma;9 pt;Не полужирный;Курсив;Интервал 0 pt"/>
    <w:rPr>
      <w:rFonts w:ascii="Tahoma" w:eastAsia="Tahoma" w:hAnsi="Tahoma" w:cs="Tahoma"/>
      <w:b/>
      <w:bCs/>
      <w:i/>
      <w:iCs/>
      <w:smallCaps w:val="0"/>
      <w:strike w:val="0"/>
      <w:color w:val="000000"/>
      <w:spacing w:val="-17"/>
      <w:w w:val="100"/>
      <w:position w:val="0"/>
      <w:sz w:val="18"/>
      <w:szCs w:val="18"/>
      <w:u w:val="none"/>
      <w:lang w:val="ru-RU" w:eastAsia="ru-RU" w:bidi="ru-RU"/>
    </w:rPr>
  </w:style>
  <w:style w:type="paragraph" w:customStyle="1" w:styleId="37">
    <w:name w:val="Основной текст3"/>
    <w:basedOn w:val="a0"/>
    <w:link w:val="afff"/>
    <w:pPr>
      <w:widowControl w:val="0"/>
      <w:shd w:val="clear" w:color="auto" w:fill="FFFFFF"/>
      <w:spacing w:after="300" w:line="299" w:lineRule="exact"/>
      <w:ind w:hanging="700"/>
    </w:pPr>
    <w:rPr>
      <w:rFonts w:asciiTheme="minorHAnsi" w:eastAsiaTheme="minorHAnsi" w:hAnsiTheme="minorHAnsi" w:cstheme="minorBidi"/>
      <w:b/>
      <w:bCs/>
      <w:spacing w:val="-7"/>
      <w:sz w:val="22"/>
      <w:szCs w:val="22"/>
      <w:lang w:eastAsia="en-US"/>
    </w:rPr>
  </w:style>
  <w:style w:type="character" w:customStyle="1" w:styleId="12pt0pt">
    <w:name w:val="Основной текст + 12 pt;Не полужирный;Интервал 0 pt"/>
    <w:rPr>
      <w:rFonts w:ascii="Times New Roman" w:eastAsia="Times New Roman" w:hAnsi="Times New Roman" w:cs="Times New Roman"/>
      <w:b/>
      <w:bCs/>
      <w:i w:val="0"/>
      <w:iCs w:val="0"/>
      <w:smallCaps w:val="0"/>
      <w:strike w:val="0"/>
      <w:color w:val="000000"/>
      <w:spacing w:val="-3"/>
      <w:w w:val="100"/>
      <w:position w:val="0"/>
      <w:sz w:val="24"/>
      <w:szCs w:val="24"/>
      <w:u w:val="none"/>
      <w:lang w:val="ru-RU" w:eastAsia="ru-RU" w:bidi="ru-RU"/>
    </w:rPr>
  </w:style>
  <w:style w:type="paragraph" w:styleId="25">
    <w:name w:val="Body Text 2"/>
    <w:basedOn w:val="a0"/>
    <w:link w:val="26"/>
    <w:pPr>
      <w:spacing w:after="120" w:line="480" w:lineRule="auto"/>
    </w:pPr>
    <w:rPr>
      <w:color w:val="000000"/>
    </w:rPr>
  </w:style>
  <w:style w:type="character" w:customStyle="1" w:styleId="26">
    <w:name w:val="Основной текст 2 Знак"/>
    <w:basedOn w:val="a1"/>
    <w:link w:val="25"/>
    <w:rPr>
      <w:rFonts w:ascii="Times New Roman" w:eastAsiaTheme="minorEastAsia" w:hAnsi="Times New Roman" w:cs="Times New Roman"/>
      <w:color w:val="000000"/>
      <w:sz w:val="24"/>
      <w:szCs w:val="24"/>
      <w:lang w:eastAsia="ru-RU"/>
    </w:rPr>
  </w:style>
  <w:style w:type="character" w:customStyle="1" w:styleId="82">
    <w:name w:val="Основной текст (8)_"/>
    <w:link w:val="83"/>
    <w:rPr>
      <w:spacing w:val="-3"/>
      <w:shd w:val="clear" w:color="auto" w:fill="FFFFFF"/>
    </w:rPr>
  </w:style>
  <w:style w:type="paragraph" w:customStyle="1" w:styleId="83">
    <w:name w:val="Основной текст (8)"/>
    <w:basedOn w:val="a0"/>
    <w:link w:val="82"/>
    <w:pPr>
      <w:widowControl w:val="0"/>
      <w:shd w:val="clear" w:color="auto" w:fill="FFFFFF"/>
      <w:spacing w:after="300" w:line="252" w:lineRule="exact"/>
      <w:ind w:hanging="140"/>
    </w:pPr>
    <w:rPr>
      <w:rFonts w:asciiTheme="minorHAnsi" w:eastAsiaTheme="minorHAnsi" w:hAnsiTheme="minorHAnsi" w:cstheme="minorBidi"/>
      <w:spacing w:val="-3"/>
      <w:sz w:val="22"/>
      <w:szCs w:val="22"/>
      <w:lang w:eastAsia="en-US"/>
    </w:rPr>
  </w:style>
  <w:style w:type="paragraph" w:customStyle="1" w:styleId="27">
    <w:name w:val="Основной текст2"/>
    <w:basedOn w:val="a0"/>
    <w:pPr>
      <w:widowControl w:val="0"/>
      <w:shd w:val="clear" w:color="auto" w:fill="FFFFFF"/>
      <w:spacing w:line="245" w:lineRule="exact"/>
      <w:ind w:hanging="340"/>
    </w:pPr>
    <w:rPr>
      <w:sz w:val="20"/>
      <w:szCs w:val="20"/>
    </w:rPr>
  </w:style>
  <w:style w:type="character" w:customStyle="1" w:styleId="28">
    <w:name w:val="Заголовок №2_"/>
    <w:basedOn w:val="a1"/>
    <w:link w:val="29"/>
    <w:locked/>
    <w:rPr>
      <w:b/>
      <w:bCs/>
      <w:sz w:val="27"/>
      <w:szCs w:val="27"/>
      <w:shd w:val="clear" w:color="auto" w:fill="FFFFFF"/>
    </w:rPr>
  </w:style>
  <w:style w:type="paragraph" w:customStyle="1" w:styleId="29">
    <w:name w:val="Заголовок №2"/>
    <w:basedOn w:val="a0"/>
    <w:link w:val="28"/>
    <w:pPr>
      <w:widowControl w:val="0"/>
      <w:shd w:val="clear" w:color="auto" w:fill="FFFFFF"/>
      <w:spacing w:line="0" w:lineRule="atLeast"/>
      <w:jc w:val="center"/>
      <w:outlineLvl w:val="1"/>
    </w:pPr>
    <w:rPr>
      <w:rFonts w:asciiTheme="minorHAnsi" w:eastAsiaTheme="minorHAnsi" w:hAnsiTheme="minorHAnsi" w:cstheme="minorBidi"/>
      <w:b/>
      <w:bCs/>
      <w:sz w:val="27"/>
      <w:szCs w:val="27"/>
      <w:lang w:eastAsia="en-US"/>
    </w:rPr>
  </w:style>
  <w:style w:type="paragraph" w:customStyle="1" w:styleId="THKfullname">
    <w:name w:val="THKfullname"/>
    <w:basedOn w:val="a0"/>
    <w:next w:val="THKaddress"/>
    <w:uiPriority w:val="99"/>
    <w:pPr>
      <w:spacing w:before="70" w:line="180" w:lineRule="exact"/>
    </w:pPr>
    <w:rPr>
      <w:rFonts w:ascii="Arial" w:hAnsi="Arial"/>
      <w:b/>
      <w:sz w:val="14"/>
      <w:lang w:eastAsia="en-US"/>
    </w:rPr>
  </w:style>
  <w:style w:type="paragraph" w:customStyle="1" w:styleId="THKaddress">
    <w:name w:val="THKaddress"/>
    <w:basedOn w:val="THKfullname"/>
    <w:uiPriority w:val="99"/>
    <w:pPr>
      <w:spacing w:before="0"/>
    </w:pPr>
    <w:rPr>
      <w:b w:val="0"/>
    </w:rPr>
  </w:style>
  <w:style w:type="paragraph" w:styleId="afff0">
    <w:name w:val="Body Text Indent"/>
    <w:basedOn w:val="a0"/>
    <w:link w:val="afff1"/>
    <w:uiPriority w:val="99"/>
    <w:pPr>
      <w:ind w:firstLine="360"/>
    </w:pPr>
    <w:rPr>
      <w:bCs/>
    </w:rPr>
  </w:style>
  <w:style w:type="character" w:customStyle="1" w:styleId="afff1">
    <w:name w:val="Основной текст с отступом Знак"/>
    <w:basedOn w:val="a1"/>
    <w:link w:val="afff0"/>
    <w:uiPriority w:val="99"/>
    <w:rPr>
      <w:rFonts w:ascii="Times New Roman" w:eastAsiaTheme="minorEastAsia" w:hAnsi="Times New Roman" w:cs="Times New Roman"/>
      <w:bCs/>
      <w:sz w:val="24"/>
      <w:szCs w:val="24"/>
      <w:lang w:eastAsia="ru-RU"/>
    </w:rPr>
  </w:style>
  <w:style w:type="paragraph" w:customStyle="1" w:styleId="THKRecipaddress">
    <w:name w:val="THKRecipaddress"/>
    <w:uiPriority w:val="99"/>
    <w:pPr>
      <w:spacing w:after="280" w:line="280" w:lineRule="exact"/>
    </w:pPr>
    <w:rPr>
      <w:rFonts w:ascii="Arial" w:eastAsiaTheme="minorEastAsia" w:hAnsi="Arial" w:cs="Times New Roman"/>
      <w:sz w:val="24"/>
      <w:szCs w:val="20"/>
      <w:lang w:eastAsia="ru-RU"/>
    </w:rPr>
  </w:style>
  <w:style w:type="paragraph" w:customStyle="1" w:styleId="CharCharCharCharCharCharCharCharCharCharCharCharCharChar">
    <w:name w:val="Знак Знак Char Char Знак Знак Char Char Знак Знак Char Char Знак Знак Char Char Знак Знак Char Char Знак Знак Char Char Знак Знак Char Char"/>
    <w:basedOn w:val="a0"/>
    <w:uiPriority w:val="99"/>
    <w:pPr>
      <w:spacing w:after="160" w:line="240" w:lineRule="exact"/>
    </w:pPr>
    <w:rPr>
      <w:rFonts w:ascii="Verdana" w:hAnsi="Verdana"/>
      <w:sz w:val="20"/>
      <w:szCs w:val="20"/>
      <w:lang w:val="en-GB" w:eastAsia="en-US"/>
    </w:rPr>
  </w:style>
  <w:style w:type="paragraph" w:customStyle="1" w:styleId="150">
    <w:name w:val="Текст1.5"/>
    <w:basedOn w:val="a0"/>
    <w:uiPriority w:val="99"/>
    <w:pPr>
      <w:widowControl w:val="0"/>
      <w:tabs>
        <w:tab w:val="left" w:leader="dot" w:pos="7088"/>
      </w:tabs>
      <w:spacing w:before="120"/>
      <w:ind w:firstLine="851"/>
    </w:pPr>
  </w:style>
  <w:style w:type="paragraph" w:customStyle="1" w:styleId="afff2">
    <w:name w:val="Готовый"/>
    <w:basedOn w:val="a0"/>
    <w:uiPriority w:val="9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character" w:customStyle="1" w:styleId="EmailStyle53">
    <w:name w:val="EmailStyle53"/>
    <w:basedOn w:val="a1"/>
    <w:uiPriority w:val="99"/>
    <w:semiHidden/>
    <w:rPr>
      <w:rFonts w:ascii="Arial" w:hAnsi="Arial" w:cs="Arial"/>
      <w:color w:val="000080"/>
      <w:sz w:val="20"/>
      <w:szCs w:val="20"/>
    </w:rPr>
  </w:style>
  <w:style w:type="paragraph" w:customStyle="1" w:styleId="a">
    <w:name w:val="СМС Пункт подраздела"/>
    <w:basedOn w:val="a0"/>
    <w:link w:val="afff3"/>
    <w:autoRedefine/>
    <w:uiPriority w:val="99"/>
    <w:pPr>
      <w:numPr>
        <w:ilvl w:val="2"/>
        <w:numId w:val="2"/>
      </w:numPr>
      <w:tabs>
        <w:tab w:val="left" w:pos="1560"/>
      </w:tabs>
      <w:contextualSpacing/>
    </w:pPr>
    <w:rPr>
      <w:bCs/>
      <w:kern w:val="32"/>
    </w:rPr>
  </w:style>
  <w:style w:type="character" w:customStyle="1" w:styleId="afff3">
    <w:name w:val="СМС Пункт подраздела Знак"/>
    <w:basedOn w:val="a1"/>
    <w:link w:val="a"/>
    <w:uiPriority w:val="99"/>
    <w:locked/>
    <w:rPr>
      <w:rFonts w:ascii="Times New Roman" w:eastAsiaTheme="minorEastAsia" w:hAnsi="Times New Roman" w:cs="Times New Roman"/>
      <w:bCs/>
      <w:kern w:val="32"/>
      <w:sz w:val="24"/>
      <w:szCs w:val="24"/>
      <w:lang w:eastAsia="ru-RU"/>
    </w:rPr>
  </w:style>
  <w:style w:type="paragraph" w:styleId="2a">
    <w:name w:val="Body Text Indent 2"/>
    <w:basedOn w:val="a0"/>
    <w:link w:val="2b"/>
    <w:pPr>
      <w:spacing w:after="120" w:line="480" w:lineRule="auto"/>
      <w:ind w:left="283"/>
    </w:pPr>
    <w:rPr>
      <w:color w:val="000000"/>
    </w:rPr>
  </w:style>
  <w:style w:type="character" w:customStyle="1" w:styleId="2b">
    <w:name w:val="Основной текст с отступом 2 Знак"/>
    <w:basedOn w:val="a1"/>
    <w:link w:val="2a"/>
    <w:rPr>
      <w:rFonts w:ascii="Times New Roman" w:eastAsiaTheme="minorEastAsia" w:hAnsi="Times New Roman" w:cs="Times New Roman"/>
      <w:color w:val="000000"/>
      <w:sz w:val="24"/>
      <w:szCs w:val="24"/>
      <w:lang w:eastAsia="ru-RU"/>
    </w:rPr>
  </w:style>
  <w:style w:type="character" w:customStyle="1" w:styleId="62">
    <w:name w:val="Знак Знак6"/>
    <w:basedOn w:val="a1"/>
    <w:uiPriority w:val="99"/>
    <w:rPr>
      <w:rFonts w:cs="Times New Roman"/>
      <w:b/>
      <w:i/>
      <w:sz w:val="24"/>
      <w:lang w:val="ru-RU" w:eastAsia="ru-RU" w:bidi="ar-SA"/>
    </w:rPr>
  </w:style>
  <w:style w:type="numbering" w:customStyle="1" w:styleId="10">
    <w:name w:val="Текущий список1"/>
    <w:pPr>
      <w:numPr>
        <w:numId w:val="1"/>
      </w:numPr>
    </w:pPr>
  </w:style>
  <w:style w:type="character" w:customStyle="1" w:styleId="FontStyle60">
    <w:name w:val="Font Style60"/>
    <w:basedOn w:val="a1"/>
    <w:uiPriority w:val="99"/>
    <w:rPr>
      <w:rFonts w:ascii="Times New Roman" w:hAnsi="Times New Roman" w:cs="Times New Roman" w:hint="default"/>
      <w:sz w:val="20"/>
      <w:szCs w:val="20"/>
    </w:rPr>
  </w:style>
  <w:style w:type="character" w:customStyle="1" w:styleId="FontStyle126">
    <w:name w:val="Font Style126"/>
    <w:rPr>
      <w:rFonts w:ascii="Arial" w:hAnsi="Arial"/>
      <w:sz w:val="18"/>
    </w:rPr>
  </w:style>
  <w:style w:type="character" w:customStyle="1" w:styleId="FontStyle141">
    <w:name w:val="Font Style141"/>
    <w:rPr>
      <w:rFonts w:ascii="Arial" w:hAnsi="Arial"/>
      <w:sz w:val="18"/>
    </w:rPr>
  </w:style>
  <w:style w:type="character" w:customStyle="1" w:styleId="FontStyle58">
    <w:name w:val="Font Style58"/>
    <w:basedOn w:val="a1"/>
    <w:uiPriority w:val="99"/>
    <w:rPr>
      <w:rFonts w:ascii="Times New Roman" w:hAnsi="Times New Roman" w:cs="Times New Roman" w:hint="default"/>
      <w:sz w:val="22"/>
      <w:szCs w:val="22"/>
    </w:rPr>
  </w:style>
  <w:style w:type="character" w:customStyle="1" w:styleId="afff4">
    <w:name w:val="т№ Знак"/>
    <w:link w:val="afff5"/>
    <w:locked/>
    <w:rPr>
      <w:rFonts w:ascii="SimSun" w:eastAsia="SimSun" w:hAnsi="SimSun"/>
      <w:b/>
      <w:sz w:val="24"/>
      <w:szCs w:val="24"/>
    </w:rPr>
  </w:style>
  <w:style w:type="paragraph" w:customStyle="1" w:styleId="afff5">
    <w:name w:val="т№"/>
    <w:basedOn w:val="a0"/>
    <w:next w:val="a0"/>
    <w:link w:val="afff4"/>
    <w:pPr>
      <w:autoSpaceDE w:val="0"/>
      <w:autoSpaceDN w:val="0"/>
      <w:adjustRightInd w:val="0"/>
      <w:spacing w:before="120"/>
    </w:pPr>
    <w:rPr>
      <w:rFonts w:ascii="SimSun" w:eastAsia="SimSun" w:hAnsi="SimSun" w:cstheme="minorBidi"/>
      <w:b/>
    </w:rPr>
  </w:style>
  <w:style w:type="character" w:customStyle="1" w:styleId="st1">
    <w:name w:val="st1"/>
    <w:basedOn w:val="a1"/>
  </w:style>
  <w:style w:type="character" w:customStyle="1" w:styleId="apple-converted-space">
    <w:name w:val="apple-converted-space"/>
    <w:basedOn w:val="a1"/>
  </w:style>
  <w:style w:type="paragraph" w:customStyle="1" w:styleId="afff6">
    <w:name w:val="М_Обычный"/>
    <w:basedOn w:val="a0"/>
    <w:uiPriority w:val="99"/>
    <w:rPr>
      <w:rFonts w:eastAsia="Times New Roman"/>
      <w:szCs w:val="22"/>
      <w:lang w:eastAsia="en-US"/>
    </w:rPr>
  </w:style>
  <w:style w:type="paragraph" w:customStyle="1" w:styleId="11">
    <w:name w:val="М_СписокМарк_Уровень 1"/>
    <w:basedOn w:val="a0"/>
    <w:uiPriority w:val="99"/>
    <w:pPr>
      <w:numPr>
        <w:numId w:val="3"/>
      </w:numPr>
      <w:tabs>
        <w:tab w:val="left" w:pos="540"/>
      </w:tabs>
      <w:spacing w:before="120"/>
    </w:pPr>
    <w:rPr>
      <w:rFonts w:eastAsia="Times New Roman"/>
      <w:bCs/>
      <w:szCs w:val="22"/>
      <w:lang w:eastAsia="en-US"/>
    </w:rPr>
  </w:style>
  <w:style w:type="paragraph" w:customStyle="1" w:styleId="S20">
    <w:name w:val="S_Заголовок2_СписокН"/>
    <w:basedOn w:val="S22"/>
    <w:next w:val="S0"/>
    <w:pPr>
      <w:numPr>
        <w:numId w:val="11"/>
      </w:numPr>
      <w:ind w:left="0" w:firstLine="0"/>
    </w:pPr>
  </w:style>
  <w:style w:type="paragraph" w:customStyle="1" w:styleId="TableParagraph">
    <w:name w:val="Table Paragraph"/>
    <w:basedOn w:val="a0"/>
    <w:uiPriority w:val="1"/>
    <w:qFormat/>
    <w:pPr>
      <w:widowControl w:val="0"/>
    </w:pPr>
    <w:rPr>
      <w:rFonts w:ascii="Calibri" w:eastAsia="Calibri" w:hAnsi="Calibri"/>
      <w:sz w:val="22"/>
      <w:szCs w:val="22"/>
      <w:lang w:val="en-US" w:eastAsia="en-US"/>
    </w:rPr>
  </w:style>
  <w:style w:type="paragraph" w:customStyle="1" w:styleId="FORMATTEXT0">
    <w:name w:val=".FORMATTEXT"/>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Абзац списка1"/>
    <w:basedOn w:val="a0"/>
    <w:pPr>
      <w:ind w:left="720" w:firstLine="720"/>
      <w:contextualSpacing/>
    </w:pPr>
    <w:rPr>
      <w:rFonts w:eastAsia="Times New Roman"/>
    </w:rPr>
  </w:style>
  <w:style w:type="character" w:customStyle="1" w:styleId="afff7">
    <w:name w:val="перечень Знак"/>
    <w:link w:val="afff8"/>
    <w:locked/>
    <w:rPr>
      <w:rFonts w:eastAsia="Times New Roman"/>
    </w:rPr>
  </w:style>
  <w:style w:type="paragraph" w:customStyle="1" w:styleId="afff8">
    <w:name w:val="перечень"/>
    <w:basedOn w:val="a0"/>
    <w:link w:val="afff7"/>
    <w:pPr>
      <w:tabs>
        <w:tab w:val="num" w:pos="5557"/>
      </w:tabs>
      <w:ind w:left="5557" w:hanging="170"/>
    </w:pPr>
    <w:rPr>
      <w:rFonts w:asciiTheme="minorHAnsi" w:eastAsia="Times New Roman" w:hAnsiTheme="minorHAnsi" w:cstheme="minorBidi"/>
      <w:sz w:val="22"/>
      <w:szCs w:val="22"/>
    </w:rPr>
  </w:style>
  <w:style w:type="paragraph" w:customStyle="1" w:styleId="M">
    <w:name w:val="M_Обычный"/>
    <w:basedOn w:val="a0"/>
    <w:qFormat/>
    <w:rPr>
      <w:rFonts w:eastAsia="PMingLiU"/>
      <w:szCs w:val="20"/>
      <w:lang w:eastAsia="en-US"/>
    </w:rPr>
  </w:style>
  <w:style w:type="paragraph" w:customStyle="1" w:styleId="S30">
    <w:name w:val="S_Заголовок3_СписокН"/>
    <w:basedOn w:val="30"/>
    <w:next w:val="S0"/>
    <w:autoRedefine/>
    <w:pPr>
      <w:tabs>
        <w:tab w:val="left" w:pos="851"/>
      </w:tabs>
      <w:spacing w:before="0" w:after="0"/>
    </w:pPr>
    <w:rPr>
      <w:rFonts w:eastAsia="Times New Roman"/>
      <w:i/>
      <w:caps/>
      <w:sz w:val="20"/>
      <w:szCs w:val="20"/>
      <w:lang w:eastAsia="en-US"/>
    </w:rPr>
  </w:style>
  <w:style w:type="paragraph" w:customStyle="1" w:styleId="wp-caption-text">
    <w:name w:val="wp-caption-text"/>
    <w:basedOn w:val="a0"/>
    <w:pPr>
      <w:spacing w:before="100" w:beforeAutospacing="1" w:after="100" w:afterAutospacing="1"/>
    </w:pPr>
    <w:rPr>
      <w:rFonts w:eastAsia="Times New Roman"/>
    </w:rPr>
  </w:style>
  <w:style w:type="paragraph" w:customStyle="1" w:styleId="error">
    <w:name w:val="error"/>
    <w:basedOn w:val="a0"/>
    <w:pPr>
      <w:spacing w:before="100" w:beforeAutospacing="1" w:after="100" w:afterAutospacing="1"/>
    </w:pPr>
    <w:rPr>
      <w:rFonts w:eastAsia="Times New Roman"/>
    </w:rPr>
  </w:style>
  <w:style w:type="paragraph" w:customStyle="1" w:styleId="warning">
    <w:name w:val="warning"/>
    <w:basedOn w:val="a0"/>
    <w:pPr>
      <w:spacing w:before="100" w:beforeAutospacing="1" w:after="100" w:afterAutospacing="1"/>
    </w:pPr>
    <w:rPr>
      <w:rFonts w:eastAsia="Times New Roman"/>
    </w:rPr>
  </w:style>
  <w:style w:type="paragraph" w:customStyle="1" w:styleId="info">
    <w:name w:val="info"/>
    <w:basedOn w:val="a0"/>
    <w:pPr>
      <w:spacing w:before="100" w:beforeAutospacing="1" w:after="100" w:afterAutospacing="1"/>
    </w:pPr>
    <w:rPr>
      <w:rFonts w:eastAsia="Times New Roman"/>
    </w:rPr>
  </w:style>
  <w:style w:type="paragraph" w:customStyle="1" w:styleId="success">
    <w:name w:val="success"/>
    <w:basedOn w:val="a0"/>
    <w:pPr>
      <w:spacing w:before="100" w:beforeAutospacing="1" w:after="100" w:afterAutospacing="1"/>
    </w:pPr>
    <w:rPr>
      <w:rFonts w:eastAsia="Times New Roman"/>
    </w:rPr>
  </w:style>
  <w:style w:type="paragraph" w:customStyle="1" w:styleId="predc">
    <w:name w:val="predc"/>
    <w:basedOn w:val="a0"/>
    <w:pPr>
      <w:spacing w:before="100" w:beforeAutospacing="1" w:after="100" w:afterAutospacing="1"/>
    </w:pPr>
    <w:rPr>
      <w:rFonts w:eastAsia="Times New Roman"/>
    </w:rPr>
  </w:style>
  <w:style w:type="character" w:customStyle="1" w:styleId="afff9">
    <w:name w:val="перечень Знак Знак"/>
    <w:locked/>
    <w:rPr>
      <w:rFonts w:eastAsia="Times New Roman"/>
      <w:sz w:val="24"/>
    </w:rPr>
  </w:style>
  <w:style w:type="character" w:customStyle="1" w:styleId="FontStyle67">
    <w:name w:val="Font Style67"/>
    <w:rPr>
      <w:rFonts w:ascii="Arial" w:hAnsi="Arial"/>
      <w:sz w:val="24"/>
    </w:rPr>
  </w:style>
  <w:style w:type="paragraph" w:customStyle="1" w:styleId="afffa">
    <w:name w:val="Обычный строгий"/>
    <w:basedOn w:val="a0"/>
    <w:link w:val="afffb"/>
    <w:uiPriority w:val="99"/>
    <w:rPr>
      <w:rFonts w:eastAsia="Times New Roman"/>
      <w:b/>
      <w:i/>
      <w:szCs w:val="20"/>
      <w:lang w:eastAsia="en-US"/>
    </w:rPr>
  </w:style>
  <w:style w:type="character" w:customStyle="1" w:styleId="afffb">
    <w:name w:val="Обычный строгий Знак"/>
    <w:link w:val="afffa"/>
    <w:uiPriority w:val="99"/>
    <w:locked/>
    <w:rPr>
      <w:rFonts w:ascii="Times New Roman" w:eastAsia="Times New Roman" w:hAnsi="Times New Roman" w:cs="Times New Roman"/>
      <w:b/>
      <w:i/>
      <w:sz w:val="24"/>
      <w:szCs w:val="20"/>
    </w:rPr>
  </w:style>
  <w:style w:type="paragraph" w:customStyle="1" w:styleId="lists">
    <w:name w:val="list_s"/>
    <w:basedOn w:val="a0"/>
    <w:link w:val="lists0"/>
    <w:uiPriority w:val="99"/>
    <w:pPr>
      <w:numPr>
        <w:numId w:val="4"/>
      </w:numPr>
      <w:tabs>
        <w:tab w:val="left" w:pos="8820"/>
      </w:tabs>
      <w:spacing w:before="120" w:after="120"/>
      <w:ind w:right="535"/>
    </w:pPr>
    <w:rPr>
      <w:rFonts w:eastAsia="Times New Roman"/>
      <w:sz w:val="20"/>
      <w:szCs w:val="20"/>
      <w:lang w:eastAsia="en-US"/>
    </w:rPr>
  </w:style>
  <w:style w:type="paragraph" w:customStyle="1" w:styleId="listsn">
    <w:name w:val="list_s_n"/>
    <w:basedOn w:val="lists"/>
    <w:uiPriority w:val="99"/>
    <w:pPr>
      <w:numPr>
        <w:ilvl w:val="1"/>
      </w:numPr>
      <w:tabs>
        <w:tab w:val="clear" w:pos="1134"/>
      </w:tabs>
      <w:ind w:firstLine="357"/>
    </w:pPr>
  </w:style>
  <w:style w:type="paragraph" w:customStyle="1" w:styleId="listsnn">
    <w:name w:val="list_s_n_n"/>
    <w:basedOn w:val="listsn"/>
    <w:uiPriority w:val="99"/>
    <w:pPr>
      <w:numPr>
        <w:ilvl w:val="2"/>
      </w:numPr>
      <w:tabs>
        <w:tab w:val="clear" w:pos="1418"/>
      </w:tabs>
      <w:ind w:left="69" w:firstLine="357"/>
    </w:pPr>
  </w:style>
  <w:style w:type="paragraph" w:customStyle="1" w:styleId="listsnnn">
    <w:name w:val="list_s_n_n_n"/>
    <w:basedOn w:val="listsnn"/>
    <w:uiPriority w:val="99"/>
    <w:pPr>
      <w:numPr>
        <w:ilvl w:val="3"/>
      </w:numPr>
      <w:tabs>
        <w:tab w:val="clear" w:pos="1701"/>
      </w:tabs>
      <w:ind w:firstLine="357"/>
    </w:pPr>
  </w:style>
  <w:style w:type="character" w:customStyle="1" w:styleId="lists0">
    <w:name w:val="list_s Знак Знак"/>
    <w:link w:val="lists"/>
    <w:uiPriority w:val="99"/>
    <w:locked/>
    <w:rPr>
      <w:rFonts w:ascii="Times New Roman" w:eastAsia="Times New Roman" w:hAnsi="Times New Roman" w:cs="Times New Roman"/>
      <w:sz w:val="20"/>
      <w:szCs w:val="20"/>
    </w:rPr>
  </w:style>
  <w:style w:type="paragraph" w:customStyle="1" w:styleId="S11">
    <w:name w:val="S_ЗаголовкиТаблицы1"/>
    <w:basedOn w:val="S0"/>
    <w:pPr>
      <w:keepNext/>
      <w:jc w:val="center"/>
    </w:pPr>
    <w:rPr>
      <w:rFonts w:ascii="Arial" w:hAnsi="Arial"/>
      <w:b/>
      <w:caps/>
      <w:sz w:val="16"/>
      <w:szCs w:val="16"/>
    </w:rPr>
  </w:style>
  <w:style w:type="paragraph" w:customStyle="1" w:styleId="S5">
    <w:name w:val="S_НазваниеРисунка"/>
    <w:basedOn w:val="a0"/>
    <w:next w:val="S0"/>
    <w:pPr>
      <w:spacing w:before="60"/>
      <w:jc w:val="center"/>
    </w:pPr>
    <w:rPr>
      <w:rFonts w:ascii="Arial" w:eastAsia="Times New Roman" w:hAnsi="Arial"/>
      <w:b/>
      <w:sz w:val="20"/>
    </w:rPr>
  </w:style>
  <w:style w:type="character" w:customStyle="1" w:styleId="2c">
    <w:name w:val="Основной текст (2)_"/>
    <w:basedOn w:val="a1"/>
    <w:link w:val="2d"/>
    <w:rPr>
      <w:rFonts w:ascii="Arial Narrow" w:eastAsia="Arial Narrow" w:hAnsi="Arial Narrow" w:cs="Arial Narrow"/>
      <w:sz w:val="18"/>
      <w:szCs w:val="18"/>
      <w:shd w:val="clear" w:color="auto" w:fill="FFFFFF"/>
    </w:rPr>
  </w:style>
  <w:style w:type="character" w:customStyle="1" w:styleId="38">
    <w:name w:val="Основной текст (3)"/>
    <w:basedOn w:val="a1"/>
    <w:rPr>
      <w:rFonts w:ascii="Arial Narrow" w:eastAsia="Arial Narrow" w:hAnsi="Arial Narrow" w:cs="Arial Narrow"/>
      <w:b w:val="0"/>
      <w:bCs w:val="0"/>
      <w:i w:val="0"/>
      <w:iCs w:val="0"/>
      <w:smallCaps w:val="0"/>
      <w:strike w:val="0"/>
      <w:sz w:val="14"/>
      <w:szCs w:val="14"/>
      <w:u w:val="none"/>
    </w:rPr>
  </w:style>
  <w:style w:type="character" w:customStyle="1" w:styleId="39">
    <w:name w:val="Основной текст (3)_"/>
    <w:basedOn w:val="a1"/>
    <w:rPr>
      <w:rFonts w:ascii="Arial Narrow" w:eastAsia="Arial Narrow" w:hAnsi="Arial Narrow" w:cs="Arial Narrow"/>
      <w:b w:val="0"/>
      <w:bCs w:val="0"/>
      <w:i w:val="0"/>
      <w:iCs w:val="0"/>
      <w:smallCaps w:val="0"/>
      <w:strike w:val="0"/>
      <w:sz w:val="14"/>
      <w:szCs w:val="14"/>
      <w:u w:val="none"/>
    </w:rPr>
  </w:style>
  <w:style w:type="character" w:customStyle="1" w:styleId="3a">
    <w:name w:val="Основной текст (3) + Малые прописные"/>
    <w:basedOn w:val="39"/>
    <w:rPr>
      <w:rFonts w:ascii="Arial Narrow" w:eastAsia="Arial Narrow" w:hAnsi="Arial Narrow" w:cs="Arial Narrow"/>
      <w:b w:val="0"/>
      <w:bCs w:val="0"/>
      <w:i w:val="0"/>
      <w:iCs w:val="0"/>
      <w:smallCaps/>
      <w:strike w:val="0"/>
      <w:color w:val="000000"/>
      <w:spacing w:val="0"/>
      <w:w w:val="100"/>
      <w:position w:val="0"/>
      <w:sz w:val="14"/>
      <w:szCs w:val="14"/>
      <w:u w:val="none"/>
    </w:rPr>
  </w:style>
  <w:style w:type="paragraph" w:customStyle="1" w:styleId="2d">
    <w:name w:val="Основной текст (2)"/>
    <w:basedOn w:val="a0"/>
    <w:link w:val="2c"/>
    <w:pPr>
      <w:widowControl w:val="0"/>
      <w:shd w:val="clear" w:color="auto" w:fill="FFFFFF"/>
      <w:spacing w:line="269" w:lineRule="exact"/>
      <w:jc w:val="center"/>
    </w:pPr>
    <w:rPr>
      <w:rFonts w:ascii="Arial Narrow" w:eastAsia="Arial Narrow" w:hAnsi="Arial Narrow" w:cs="Arial Narrow"/>
      <w:sz w:val="18"/>
      <w:szCs w:val="18"/>
      <w:lang w:eastAsia="en-US"/>
    </w:rPr>
  </w:style>
  <w:style w:type="paragraph" w:styleId="afffc">
    <w:name w:val="TOC Heading"/>
    <w:basedOn w:val="13"/>
    <w:next w:val="a0"/>
    <w:uiPriority w:val="39"/>
    <w:unhideWhenUsed/>
    <w:qFormat/>
    <w:pPr>
      <w:keepLines/>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S6">
    <w:name w:val="S_Версия"/>
    <w:basedOn w:val="S0"/>
    <w:next w:val="S0"/>
    <w:autoRedefine/>
    <w:pPr>
      <w:spacing w:before="120" w:after="120"/>
      <w:jc w:val="center"/>
    </w:pPr>
    <w:rPr>
      <w:rFonts w:ascii="Arial" w:hAnsi="Arial"/>
      <w:b/>
      <w:caps/>
      <w:sz w:val="20"/>
      <w:szCs w:val="20"/>
    </w:rPr>
  </w:style>
  <w:style w:type="paragraph" w:customStyle="1" w:styleId="S7">
    <w:name w:val="S_ВерхКолонтитулТекст"/>
    <w:basedOn w:val="S0"/>
    <w:next w:val="S0"/>
    <w:pPr>
      <w:spacing w:before="120"/>
      <w:jc w:val="right"/>
    </w:pPr>
    <w:rPr>
      <w:rFonts w:ascii="Arial" w:hAnsi="Arial"/>
      <w:b/>
      <w:caps/>
      <w:sz w:val="10"/>
      <w:szCs w:val="10"/>
    </w:rPr>
  </w:style>
  <w:style w:type="paragraph" w:customStyle="1" w:styleId="S8">
    <w:name w:val="S_ВидДокумента"/>
    <w:basedOn w:val="a7"/>
    <w:next w:val="S0"/>
    <w:link w:val="S9"/>
    <w:pPr>
      <w:spacing w:before="120" w:after="0"/>
      <w:jc w:val="right"/>
    </w:pPr>
    <w:rPr>
      <w:rFonts w:ascii="EuropeDemiC" w:eastAsia="Times New Roman" w:hAnsi="EuropeDemiC" w:cs="Arial"/>
      <w:b/>
      <w:caps/>
      <w:sz w:val="36"/>
      <w:szCs w:val="36"/>
    </w:rPr>
  </w:style>
  <w:style w:type="character" w:customStyle="1" w:styleId="S9">
    <w:name w:val="S_ВидДокумента Знак"/>
    <w:link w:val="S8"/>
    <w:rPr>
      <w:rFonts w:ascii="EuropeDemiC" w:eastAsia="Times New Roman" w:hAnsi="EuropeDemiC" w:cs="Arial"/>
      <w:b/>
      <w:caps/>
      <w:sz w:val="36"/>
      <w:szCs w:val="36"/>
      <w:lang w:eastAsia="ru-RU"/>
    </w:rPr>
  </w:style>
  <w:style w:type="paragraph" w:customStyle="1" w:styleId="Sa">
    <w:name w:val="S_Гиперссылка"/>
    <w:basedOn w:val="S0"/>
    <w:rPr>
      <w:color w:val="0000FF"/>
      <w:u w:val="single"/>
    </w:rPr>
  </w:style>
  <w:style w:type="paragraph" w:customStyle="1" w:styleId="Sb">
    <w:name w:val="S_Гриф"/>
    <w:basedOn w:val="S0"/>
    <w:pPr>
      <w:widowControl/>
      <w:spacing w:line="360" w:lineRule="auto"/>
      <w:ind w:left="5392"/>
      <w:jc w:val="left"/>
    </w:pPr>
    <w:rPr>
      <w:rFonts w:ascii="Arial" w:hAnsi="Arial"/>
      <w:b/>
      <w:sz w:val="20"/>
    </w:rPr>
  </w:style>
  <w:style w:type="paragraph" w:customStyle="1" w:styleId="S23">
    <w:name w:val="S_ЗаголовкиТаблицы2"/>
    <w:basedOn w:val="S0"/>
    <w:pPr>
      <w:jc w:val="center"/>
    </w:pPr>
    <w:rPr>
      <w:rFonts w:ascii="Arial" w:hAnsi="Arial"/>
      <w:b/>
      <w:sz w:val="14"/>
    </w:rPr>
  </w:style>
  <w:style w:type="paragraph" w:customStyle="1" w:styleId="S12">
    <w:name w:val="S_Заголовок1"/>
    <w:basedOn w:val="a0"/>
    <w:next w:val="S0"/>
    <w:pPr>
      <w:keepNext/>
      <w:pageBreakBefore/>
      <w:outlineLvl w:val="0"/>
    </w:pPr>
    <w:rPr>
      <w:rFonts w:ascii="Arial" w:eastAsia="Times New Roman" w:hAnsi="Arial"/>
      <w:b/>
      <w:caps/>
      <w:sz w:val="32"/>
      <w:szCs w:val="32"/>
    </w:rPr>
  </w:style>
  <w:style w:type="paragraph" w:customStyle="1" w:styleId="S10">
    <w:name w:val="S_Заголовок1_Прил_СписокН"/>
    <w:basedOn w:val="S0"/>
    <w:next w:val="S0"/>
    <w:pPr>
      <w:keepNext/>
      <w:pageBreakBefore/>
      <w:widowControl/>
      <w:numPr>
        <w:numId w:val="5"/>
      </w:numPr>
      <w:ind w:left="0" w:firstLine="0"/>
      <w:outlineLvl w:val="1"/>
    </w:pPr>
    <w:rPr>
      <w:rFonts w:ascii="Arial" w:hAnsi="Arial"/>
      <w:b/>
      <w:caps/>
    </w:rPr>
  </w:style>
  <w:style w:type="paragraph" w:customStyle="1" w:styleId="S13">
    <w:name w:val="S_Заголовок1_СписокН"/>
    <w:basedOn w:val="S12"/>
    <w:next w:val="S0"/>
    <w:uiPriority w:val="99"/>
  </w:style>
  <w:style w:type="paragraph" w:customStyle="1" w:styleId="S22">
    <w:name w:val="S_Заголовок2"/>
    <w:basedOn w:val="a0"/>
    <w:next w:val="S0"/>
    <w:pPr>
      <w:keepNext/>
      <w:outlineLvl w:val="1"/>
    </w:pPr>
    <w:rPr>
      <w:rFonts w:ascii="Arial" w:eastAsia="Times New Roman" w:hAnsi="Arial"/>
      <w:b/>
      <w:caps/>
    </w:rPr>
  </w:style>
  <w:style w:type="paragraph" w:customStyle="1" w:styleId="S21">
    <w:name w:val="S_Заголовок2_Прил_СписокН"/>
    <w:basedOn w:val="S0"/>
    <w:next w:val="S0"/>
    <w:pPr>
      <w:keepNext/>
      <w:keepLines/>
      <w:numPr>
        <w:ilvl w:val="2"/>
        <w:numId w:val="5"/>
      </w:numPr>
      <w:tabs>
        <w:tab w:val="clear" w:pos="1224"/>
        <w:tab w:val="num" w:pos="360"/>
        <w:tab w:val="left" w:pos="720"/>
      </w:tabs>
      <w:ind w:left="0" w:firstLine="0"/>
      <w:jc w:val="left"/>
      <w:outlineLvl w:val="2"/>
    </w:pPr>
    <w:rPr>
      <w:rFonts w:ascii="Arial" w:hAnsi="Arial"/>
      <w:b/>
      <w:caps/>
      <w:szCs w:val="20"/>
    </w:rPr>
  </w:style>
  <w:style w:type="paragraph" w:customStyle="1" w:styleId="Sc">
    <w:name w:val="S_МестоГод"/>
    <w:basedOn w:val="S0"/>
    <w:pPr>
      <w:spacing w:before="120"/>
      <w:jc w:val="center"/>
    </w:pPr>
    <w:rPr>
      <w:rFonts w:ascii="Arial" w:hAnsi="Arial"/>
      <w:b/>
      <w:caps/>
      <w:sz w:val="18"/>
      <w:szCs w:val="18"/>
    </w:rPr>
  </w:style>
  <w:style w:type="paragraph" w:customStyle="1" w:styleId="Sd">
    <w:name w:val="S_НазваниеТаблицы"/>
    <w:basedOn w:val="S0"/>
    <w:next w:val="S0"/>
    <w:pPr>
      <w:keepNext/>
      <w:jc w:val="right"/>
    </w:pPr>
    <w:rPr>
      <w:rFonts w:ascii="Arial" w:hAnsi="Arial"/>
      <w:b/>
      <w:sz w:val="20"/>
    </w:rPr>
  </w:style>
  <w:style w:type="paragraph" w:customStyle="1" w:styleId="Se">
    <w:name w:val="S_НаименованиеДокумента"/>
    <w:basedOn w:val="S0"/>
    <w:next w:val="S0"/>
    <w:pPr>
      <w:widowControl/>
      <w:ind w:right="641"/>
      <w:jc w:val="left"/>
    </w:pPr>
    <w:rPr>
      <w:rFonts w:ascii="Arial" w:hAnsi="Arial"/>
      <w:b/>
      <w:caps/>
    </w:rPr>
  </w:style>
  <w:style w:type="paragraph" w:customStyle="1" w:styleId="Sf">
    <w:name w:val="S_НижнКолонтЛев"/>
    <w:basedOn w:val="S0"/>
    <w:next w:val="S0"/>
    <w:pPr>
      <w:jc w:val="left"/>
    </w:pPr>
    <w:rPr>
      <w:rFonts w:ascii="Arial" w:hAnsi="Arial"/>
      <w:b/>
      <w:caps/>
      <w:sz w:val="10"/>
      <w:szCs w:val="10"/>
    </w:rPr>
  </w:style>
  <w:style w:type="paragraph" w:customStyle="1" w:styleId="Sf0">
    <w:name w:val="S_НижнКолонтПрав"/>
    <w:basedOn w:val="S0"/>
    <w:next w:val="S0"/>
    <w:pPr>
      <w:widowControl/>
      <w:ind w:hanging="181"/>
      <w:jc w:val="right"/>
    </w:pPr>
    <w:rPr>
      <w:rFonts w:ascii="Arial" w:hAnsi="Arial"/>
      <w:b/>
      <w:caps/>
      <w:sz w:val="12"/>
      <w:szCs w:val="12"/>
    </w:rPr>
  </w:style>
  <w:style w:type="paragraph" w:customStyle="1" w:styleId="Sf1">
    <w:name w:val="S_НомерДокумента"/>
    <w:basedOn w:val="S0"/>
    <w:next w:val="S0"/>
    <w:pPr>
      <w:spacing w:before="120" w:after="120"/>
      <w:jc w:val="center"/>
    </w:pPr>
    <w:rPr>
      <w:rFonts w:ascii="Arial" w:hAnsi="Arial"/>
      <w:b/>
      <w:caps/>
    </w:rPr>
  </w:style>
  <w:style w:type="paragraph" w:customStyle="1" w:styleId="S14">
    <w:name w:val="S_ТекстВТаблице1"/>
    <w:basedOn w:val="S0"/>
    <w:next w:val="S0"/>
    <w:pPr>
      <w:spacing w:before="120"/>
      <w:jc w:val="left"/>
    </w:pPr>
    <w:rPr>
      <w:szCs w:val="28"/>
    </w:rPr>
  </w:style>
  <w:style w:type="paragraph" w:customStyle="1" w:styleId="S1">
    <w:name w:val="S_НумСписВ Таблице1"/>
    <w:basedOn w:val="S14"/>
    <w:next w:val="S0"/>
    <w:pPr>
      <w:numPr>
        <w:numId w:val="7"/>
      </w:numPr>
      <w:ind w:left="0" w:firstLine="0"/>
    </w:pPr>
  </w:style>
  <w:style w:type="paragraph" w:customStyle="1" w:styleId="S24">
    <w:name w:val="S_ТекстВТаблице2"/>
    <w:basedOn w:val="S0"/>
    <w:next w:val="S0"/>
    <w:pPr>
      <w:spacing w:before="120"/>
      <w:jc w:val="left"/>
    </w:pPr>
    <w:rPr>
      <w:sz w:val="20"/>
    </w:rPr>
  </w:style>
  <w:style w:type="paragraph" w:customStyle="1" w:styleId="S2">
    <w:name w:val="S_НумСписВТаблице2"/>
    <w:basedOn w:val="S24"/>
    <w:next w:val="S0"/>
    <w:pPr>
      <w:numPr>
        <w:numId w:val="8"/>
      </w:numPr>
      <w:ind w:left="0" w:firstLine="0"/>
    </w:pPr>
  </w:style>
  <w:style w:type="paragraph" w:customStyle="1" w:styleId="S31">
    <w:name w:val="S_ТекстВТаблице3"/>
    <w:basedOn w:val="S0"/>
    <w:next w:val="S0"/>
    <w:pPr>
      <w:spacing w:before="120"/>
      <w:jc w:val="left"/>
    </w:pPr>
    <w:rPr>
      <w:sz w:val="16"/>
    </w:rPr>
  </w:style>
  <w:style w:type="paragraph" w:customStyle="1" w:styleId="S3">
    <w:name w:val="S_НумСписВТаблице3"/>
    <w:basedOn w:val="S31"/>
    <w:next w:val="S0"/>
    <w:pPr>
      <w:numPr>
        <w:numId w:val="9"/>
      </w:numPr>
      <w:tabs>
        <w:tab w:val="clear" w:pos="432"/>
        <w:tab w:val="num" w:pos="360"/>
      </w:tabs>
      <w:ind w:left="0" w:firstLine="0"/>
    </w:pPr>
  </w:style>
  <w:style w:type="paragraph" w:customStyle="1" w:styleId="Sf2">
    <w:name w:val="S_Примечание"/>
    <w:basedOn w:val="S0"/>
    <w:next w:val="S0"/>
    <w:pPr>
      <w:ind w:left="567"/>
    </w:pPr>
    <w:rPr>
      <w:i/>
      <w:u w:val="single"/>
    </w:rPr>
  </w:style>
  <w:style w:type="paragraph" w:customStyle="1" w:styleId="Sf3">
    <w:name w:val="S_ПримечаниеТекст"/>
    <w:basedOn w:val="S0"/>
    <w:next w:val="S0"/>
    <w:pPr>
      <w:spacing w:before="120"/>
      <w:ind w:left="567"/>
    </w:pPr>
    <w:rPr>
      <w:i/>
    </w:rPr>
  </w:style>
  <w:style w:type="paragraph" w:customStyle="1" w:styleId="Sf4">
    <w:name w:val="S_Рисунок"/>
    <w:basedOn w:val="S0"/>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Pr>
      <w:rFonts w:ascii="Arial" w:hAnsi="Arial"/>
      <w:sz w:val="16"/>
    </w:rPr>
  </w:style>
  <w:style w:type="paragraph" w:customStyle="1" w:styleId="Sf6">
    <w:name w:val="S_Содержание"/>
    <w:basedOn w:val="S0"/>
    <w:next w:val="S0"/>
    <w:rPr>
      <w:rFonts w:ascii="Arial" w:hAnsi="Arial"/>
      <w:b/>
      <w:caps/>
      <w:sz w:val="32"/>
      <w:szCs w:val="32"/>
    </w:rPr>
  </w:style>
  <w:style w:type="paragraph" w:customStyle="1" w:styleId="S">
    <w:name w:val="S_СписокМ_Обычный"/>
    <w:basedOn w:val="a0"/>
    <w:next w:val="S0"/>
    <w:link w:val="Sf7"/>
    <w:pPr>
      <w:numPr>
        <w:numId w:val="10"/>
      </w:numPr>
      <w:spacing w:before="120"/>
    </w:pPr>
    <w:rPr>
      <w:rFonts w:eastAsia="Times New Roman"/>
    </w:rPr>
  </w:style>
  <w:style w:type="character" w:customStyle="1" w:styleId="Sf7">
    <w:name w:val="S_СписокМ_Обычный Знак"/>
    <w:link w:val="S"/>
    <w:rPr>
      <w:rFonts w:ascii="Times New Roman" w:eastAsia="Times New Roman" w:hAnsi="Times New Roman" w:cs="Times New Roman"/>
      <w:sz w:val="24"/>
      <w:szCs w:val="24"/>
      <w:lang w:eastAsia="ru-RU"/>
    </w:rPr>
  </w:style>
  <w:style w:type="table" w:customStyle="1" w:styleId="Sf8">
    <w:name w:val="S_Таблица"/>
    <w:basedOn w:val="a2"/>
    <w:pPr>
      <w:spacing w:after="0" w:line="240" w:lineRule="auto"/>
    </w:pPr>
    <w:rPr>
      <w:rFonts w:ascii="Calibri" w:eastAsia="Times New Roman" w:hAnsi="Calibri"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0"/>
    <w:pPr>
      <w:ind w:left="431"/>
    </w:pPr>
    <w:rPr>
      <w:rFonts w:ascii="EuropeExt" w:hAnsi="EuropeExt" w:cs="Tahoma"/>
      <w:bCs/>
      <w:spacing w:val="18"/>
      <w:sz w:val="12"/>
      <w:szCs w:val="12"/>
    </w:rPr>
  </w:style>
  <w:style w:type="paragraph" w:customStyle="1" w:styleId="S15">
    <w:name w:val="S_ТекстЛоготипа1"/>
    <w:basedOn w:val="S0"/>
    <w:next w:val="S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0"/>
    <w:next w:val="S0"/>
    <w:pPr>
      <w:ind w:left="431"/>
    </w:pPr>
    <w:rPr>
      <w:rFonts w:ascii="EuropeExt" w:hAnsi="EuropeExt" w:cs="Tahoma"/>
      <w:bCs/>
      <w:spacing w:val="18"/>
      <w:sz w:val="12"/>
      <w:szCs w:val="12"/>
    </w:rPr>
  </w:style>
  <w:style w:type="paragraph" w:customStyle="1" w:styleId="S16">
    <w:name w:val="S_ТекстСодержания1"/>
    <w:basedOn w:val="S0"/>
    <w:next w:val="S0"/>
    <w:link w:val="S17"/>
    <w:pPr>
      <w:spacing w:before="120"/>
    </w:pPr>
    <w:rPr>
      <w:rFonts w:ascii="Arial" w:hAnsi="Arial"/>
      <w:b/>
      <w:caps/>
      <w:sz w:val="20"/>
      <w:szCs w:val="20"/>
    </w:rPr>
  </w:style>
  <w:style w:type="character" w:customStyle="1" w:styleId="S17">
    <w:name w:val="S_ТекстСодержания1 Знак"/>
    <w:link w:val="S16"/>
    <w:rPr>
      <w:rFonts w:ascii="Arial" w:eastAsia="Times New Roman" w:hAnsi="Arial" w:cs="Times New Roman"/>
      <w:b/>
      <w:caps/>
      <w:sz w:val="20"/>
      <w:szCs w:val="20"/>
      <w:lang w:eastAsia="ru-RU"/>
    </w:rPr>
  </w:style>
  <w:style w:type="paragraph" w:customStyle="1" w:styleId="Sfa">
    <w:name w:val="S_Термин"/>
    <w:basedOn w:val="a0"/>
    <w:next w:val="S0"/>
    <w:link w:val="Sfb"/>
    <w:rPr>
      <w:rFonts w:ascii="Arial" w:eastAsia="Times New Roman" w:hAnsi="Arial"/>
      <w:b/>
      <w:i/>
      <w:caps/>
      <w:sz w:val="20"/>
      <w:szCs w:val="20"/>
    </w:rPr>
  </w:style>
  <w:style w:type="character" w:customStyle="1" w:styleId="Sfb">
    <w:name w:val="S_Термин Знак"/>
    <w:link w:val="Sfa"/>
    <w:rPr>
      <w:rFonts w:ascii="Arial" w:eastAsia="Times New Roman" w:hAnsi="Arial" w:cs="Times New Roman"/>
      <w:b/>
      <w:i/>
      <w:caps/>
      <w:sz w:val="20"/>
      <w:szCs w:val="20"/>
      <w:lang w:eastAsia="ru-RU"/>
    </w:rPr>
  </w:style>
  <w:style w:type="character" w:customStyle="1" w:styleId="section-title-id">
    <w:name w:val="section-title-id"/>
    <w:basedOn w:val="a1"/>
  </w:style>
  <w:style w:type="numbering" w:customStyle="1" w:styleId="1a">
    <w:name w:val="Нет списка1"/>
    <w:next w:val="a3"/>
    <w:uiPriority w:val="99"/>
    <w:semiHidden/>
    <w:unhideWhenUsed/>
  </w:style>
  <w:style w:type="numbering" w:customStyle="1" w:styleId="110">
    <w:name w:val="Нет списка11"/>
    <w:next w:val="a3"/>
    <w:uiPriority w:val="99"/>
    <w:semiHidden/>
    <w:unhideWhenUsed/>
  </w:style>
  <w:style w:type="paragraph" w:customStyle="1" w:styleId="20">
    <w:name w:val="м_Заголовок2"/>
    <w:basedOn w:val="a0"/>
    <w:qFormat/>
    <w:pPr>
      <w:keepNext/>
      <w:numPr>
        <w:ilvl w:val="1"/>
        <w:numId w:val="13"/>
      </w:numPr>
      <w:tabs>
        <w:tab w:val="left" w:pos="425"/>
      </w:tabs>
      <w:outlineLvl w:val="1"/>
    </w:pPr>
    <w:rPr>
      <w:rFonts w:ascii="Arial" w:eastAsia="Times New Roman" w:hAnsi="Arial" w:cs="Arial"/>
      <w:b/>
      <w:caps/>
      <w:szCs w:val="32"/>
    </w:rPr>
  </w:style>
  <w:style w:type="paragraph" w:customStyle="1" w:styleId="1">
    <w:name w:val="м_Заголовок 1"/>
    <w:basedOn w:val="affd"/>
    <w:qFormat/>
    <w:pPr>
      <w:numPr>
        <w:numId w:val="14"/>
      </w:numPr>
      <w:tabs>
        <w:tab w:val="left" w:pos="425"/>
      </w:tabs>
      <w:spacing w:line="240" w:lineRule="auto"/>
      <w:contextualSpacing w:val="0"/>
      <w:jc w:val="left"/>
      <w:outlineLvl w:val="0"/>
    </w:pPr>
    <w:rPr>
      <w:rFonts w:eastAsia="Times New Roman" w:cs="Arial"/>
      <w:b/>
      <w:caps/>
      <w:sz w:val="32"/>
      <w:szCs w:val="32"/>
      <w:lang w:eastAsia="ru-RU"/>
    </w:rPr>
  </w:style>
  <w:style w:type="paragraph" w:styleId="afffd">
    <w:name w:val="Title"/>
    <w:basedOn w:val="a0"/>
    <w:next w:val="a0"/>
    <w:link w:val="afffe"/>
    <w:uiPriority w:val="10"/>
    <w:qFormat/>
    <w:pPr>
      <w:jc w:val="center"/>
    </w:pPr>
    <w:rPr>
      <w:rFonts w:ascii="Arial" w:eastAsiaTheme="majorEastAsia" w:hAnsi="Arial" w:cstheme="majorBidi"/>
      <w:b/>
      <w:spacing w:val="5"/>
      <w:kern w:val="28"/>
      <w:sz w:val="20"/>
      <w:szCs w:val="52"/>
    </w:rPr>
  </w:style>
  <w:style w:type="character" w:customStyle="1" w:styleId="afffe">
    <w:name w:val="Название Знак"/>
    <w:basedOn w:val="a1"/>
    <w:link w:val="afffd"/>
    <w:uiPriority w:val="10"/>
    <w:rPr>
      <w:rFonts w:ascii="Arial" w:eastAsiaTheme="majorEastAsia" w:hAnsi="Arial" w:cstheme="majorBidi"/>
      <w:b/>
      <w:spacing w:val="5"/>
      <w:kern w:val="28"/>
      <w:sz w:val="20"/>
      <w:szCs w:val="52"/>
      <w:lang w:eastAsia="ru-RU"/>
    </w:rPr>
  </w:style>
  <w:style w:type="paragraph" w:styleId="21">
    <w:name w:val="List 2"/>
    <w:basedOn w:val="a0"/>
    <w:pPr>
      <w:widowControl w:val="0"/>
      <w:numPr>
        <w:numId w:val="15"/>
      </w:numPr>
      <w:overflowPunct w:val="0"/>
      <w:autoSpaceDE w:val="0"/>
      <w:autoSpaceDN w:val="0"/>
      <w:adjustRightInd w:val="0"/>
      <w:spacing w:before="60"/>
      <w:textAlignment w:val="baseline"/>
    </w:pPr>
    <w:rPr>
      <w:rFonts w:eastAsia="Times New Roman"/>
      <w:szCs w:val="20"/>
    </w:rPr>
  </w:style>
  <w:style w:type="paragraph" w:customStyle="1" w:styleId="ConsNormal">
    <w:name w:val="ConsNormal"/>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fff">
    <w:name w:val="FollowedHyperlink"/>
    <w:uiPriority w:val="99"/>
    <w:rPr>
      <w:color w:val="800080"/>
      <w:u w:val="single"/>
    </w:rPr>
  </w:style>
  <w:style w:type="paragraph" w:styleId="affff0">
    <w:name w:val="Block Text"/>
    <w:basedOn w:val="a0"/>
    <w:pPr>
      <w:autoSpaceDE w:val="0"/>
      <w:autoSpaceDN w:val="0"/>
      <w:adjustRightInd w:val="0"/>
      <w:ind w:left="540" w:right="-82"/>
    </w:pPr>
    <w:rPr>
      <w:rFonts w:eastAsia="Times New Roman"/>
      <w:i/>
    </w:rPr>
  </w:style>
  <w:style w:type="paragraph" w:customStyle="1" w:styleId="affff1">
    <w:name w:val="текст"/>
    <w:basedOn w:val="a0"/>
    <w:pPr>
      <w:widowControl w:val="0"/>
      <w:overflowPunct w:val="0"/>
      <w:autoSpaceDE w:val="0"/>
      <w:autoSpaceDN w:val="0"/>
      <w:adjustRightInd w:val="0"/>
      <w:spacing w:before="60" w:after="3000"/>
      <w:textAlignment w:val="baseline"/>
    </w:pPr>
    <w:rPr>
      <w:rFonts w:eastAsia="Times New Roman"/>
      <w:b/>
      <w:szCs w:val="20"/>
    </w:rPr>
  </w:style>
  <w:style w:type="table" w:customStyle="1" w:styleId="1b">
    <w:name w:val="Сетка таблицы1"/>
    <w:basedOn w:val="a2"/>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Словарная статья"/>
    <w:basedOn w:val="a0"/>
    <w:next w:val="a0"/>
    <w:pPr>
      <w:autoSpaceDE w:val="0"/>
      <w:autoSpaceDN w:val="0"/>
      <w:adjustRightInd w:val="0"/>
      <w:ind w:right="118"/>
    </w:pPr>
    <w:rPr>
      <w:rFonts w:ascii="Arial" w:eastAsia="Times New Roman" w:hAnsi="Arial"/>
      <w:sz w:val="20"/>
      <w:szCs w:val="20"/>
    </w:rPr>
  </w:style>
  <w:style w:type="paragraph" w:customStyle="1" w:styleId="u">
    <w:name w:val="u"/>
    <w:basedOn w:val="a0"/>
    <w:pPr>
      <w:spacing w:before="100" w:beforeAutospacing="1" w:after="100" w:afterAutospacing="1"/>
    </w:pPr>
    <w:rPr>
      <w:rFonts w:eastAsia="Times New Roman"/>
    </w:rPr>
  </w:style>
  <w:style w:type="paragraph" w:customStyle="1" w:styleId="ConsPlusNonformat">
    <w:name w:val="ConsPlusNonformat"/>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ieldtitlesmall1">
    <w:name w:val="fieldtitlesmall1"/>
    <w:rPr>
      <w:rFonts w:ascii="Arial" w:hAnsi="Arial" w:cs="Arial" w:hint="default"/>
      <w:b w:val="0"/>
      <w:bCs w:val="0"/>
      <w:i w:val="0"/>
      <w:iCs w:val="0"/>
      <w:sz w:val="15"/>
      <w:szCs w:val="15"/>
    </w:rPr>
  </w:style>
  <w:style w:type="paragraph" w:customStyle="1" w:styleId="affff3">
    <w:name w:val="a"/>
    <w:basedOn w:val="a0"/>
    <w:pPr>
      <w:spacing w:after="180"/>
      <w:ind w:left="5670"/>
    </w:pPr>
    <w:rPr>
      <w:rFonts w:eastAsia="Times New Roman"/>
    </w:rPr>
  </w:style>
  <w:style w:type="paragraph" w:customStyle="1" w:styleId="affff4">
    <w:name w:val="Прижатый влево"/>
    <w:basedOn w:val="a0"/>
    <w:next w:val="a0"/>
    <w:pPr>
      <w:suppressAutoHyphens/>
      <w:autoSpaceDE w:val="0"/>
    </w:pPr>
    <w:rPr>
      <w:rFonts w:ascii="Arial" w:eastAsia="Times New Roman" w:hAnsi="Arial" w:cs="Arial"/>
      <w:sz w:val="20"/>
      <w:szCs w:val="20"/>
      <w:lang w:eastAsia="ar-SA"/>
    </w:rPr>
  </w:style>
  <w:style w:type="paragraph" w:customStyle="1" w:styleId="npb">
    <w:name w:val="npb"/>
    <w:basedOn w:val="a0"/>
    <w:pPr>
      <w:numPr>
        <w:ilvl w:val="2"/>
        <w:numId w:val="16"/>
      </w:numPr>
      <w:suppressAutoHyphens/>
      <w:spacing w:before="15" w:after="15"/>
      <w:ind w:left="0" w:firstLine="0"/>
      <w:jc w:val="center"/>
    </w:pPr>
    <w:rPr>
      <w:rFonts w:eastAsia="Times New Roman"/>
      <w:b/>
      <w:bCs/>
      <w:color w:val="800000"/>
      <w:sz w:val="28"/>
      <w:szCs w:val="28"/>
      <w:lang w:eastAsia="ar-SA"/>
    </w:rPr>
  </w:style>
  <w:style w:type="paragraph" w:customStyle="1" w:styleId="1c">
    <w:name w:val="Название объекта1"/>
    <w:basedOn w:val="a0"/>
    <w:next w:val="a0"/>
    <w:pPr>
      <w:suppressAutoHyphens/>
      <w:jc w:val="center"/>
    </w:pPr>
    <w:rPr>
      <w:rFonts w:ascii="Arial Narrow" w:eastAsia="Times New Roman" w:hAnsi="Arial Narrow" w:cs="Arial Narrow"/>
      <w:b/>
      <w:bCs/>
      <w:color w:val="000080"/>
      <w:sz w:val="20"/>
      <w:lang w:eastAsia="ar-SA"/>
    </w:rPr>
  </w:style>
  <w:style w:type="paragraph" w:customStyle="1" w:styleId="affff5">
    <w:name w:val="Заголовок приложения"/>
    <w:basedOn w:val="a0"/>
    <w:next w:val="a0"/>
    <w:pPr>
      <w:widowControl w:val="0"/>
      <w:overflowPunct w:val="0"/>
      <w:autoSpaceDE w:val="0"/>
      <w:autoSpaceDN w:val="0"/>
      <w:adjustRightInd w:val="0"/>
      <w:spacing w:before="60"/>
      <w:jc w:val="center"/>
      <w:textAlignment w:val="baseline"/>
    </w:pPr>
    <w:rPr>
      <w:rFonts w:eastAsia="Times New Roman"/>
      <w:b/>
      <w:sz w:val="28"/>
      <w:szCs w:val="20"/>
    </w:rPr>
  </w:style>
  <w:style w:type="paragraph" w:customStyle="1" w:styleId="2e">
    <w:name w:val="Название объекта2"/>
    <w:basedOn w:val="a0"/>
    <w:next w:val="a0"/>
    <w:pPr>
      <w:suppressAutoHyphens/>
    </w:pPr>
    <w:rPr>
      <w:rFonts w:eastAsia="Times New Roman"/>
      <w:b/>
      <w:bCs/>
      <w:sz w:val="20"/>
      <w:szCs w:val="20"/>
      <w:lang w:eastAsia="ar-SA"/>
    </w:rPr>
  </w:style>
  <w:style w:type="character" w:customStyle="1" w:styleId="Sfc">
    <w:name w:val="S_СписокМ_Обычный Знак Знак"/>
    <w:locked/>
    <w:rPr>
      <w:sz w:val="24"/>
      <w:szCs w:val="24"/>
    </w:rPr>
  </w:style>
  <w:style w:type="character" w:customStyle="1" w:styleId="52">
    <w:name w:val="Знак Знак5"/>
    <w:basedOn w:val="a1"/>
  </w:style>
  <w:style w:type="character" w:customStyle="1" w:styleId="42">
    <w:name w:val="Знак Знак4"/>
    <w:basedOn w:val="a1"/>
    <w:semiHidden/>
  </w:style>
  <w:style w:type="numbering" w:customStyle="1" w:styleId="2f">
    <w:name w:val="Нет списка2"/>
    <w:next w:val="a3"/>
    <w:uiPriority w:val="99"/>
    <w:semiHidden/>
    <w:unhideWhenUsed/>
  </w:style>
  <w:style w:type="character" w:customStyle="1" w:styleId="Sfd">
    <w:name w:val="S_Обозначение"/>
    <w:rPr>
      <w:rFonts w:ascii="Arial" w:hAnsi="Arial" w:cs="Times New Roman"/>
      <w:b/>
      <w:i/>
      <w:sz w:val="24"/>
      <w:szCs w:val="24"/>
      <w:vertAlign w:val="baseline"/>
      <w:lang w:val="ru-RU" w:eastAsia="ru-RU" w:bidi="ar-SA"/>
    </w:rPr>
  </w:style>
  <w:style w:type="table" w:customStyle="1" w:styleId="TableNormal">
    <w:name w:val="Table Normal"/>
    <w:uiPriority w:val="2"/>
    <w:semiHidden/>
    <w:unhideWhenUsed/>
    <w:qFormat/>
    <w:pPr>
      <w:widowControl w:val="0"/>
      <w:spacing w:after="0" w:line="240" w:lineRule="auto"/>
    </w:pPr>
    <w:rPr>
      <w:rFonts w:ascii="Calibri" w:eastAsia="PMingLiU" w:hAnsi="Calibri" w:cs="Times New Roman"/>
      <w:lang w:val="en-US"/>
    </w:rPr>
    <w:tblPr>
      <w:tblInd w:w="0" w:type="dxa"/>
      <w:tblCellMar>
        <w:top w:w="0" w:type="dxa"/>
        <w:left w:w="0" w:type="dxa"/>
        <w:bottom w:w="0" w:type="dxa"/>
        <w:right w:w="0" w:type="dxa"/>
      </w:tblCellMar>
    </w:tblPr>
  </w:style>
  <w:style w:type="paragraph" w:customStyle="1" w:styleId="MIDDLEPICT">
    <w:name w:val=".MIDDLEPICT"/>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f0">
    <w:name w:val="Абзац списка2"/>
    <w:basedOn w:val="a0"/>
    <w:pPr>
      <w:ind w:left="720" w:firstLine="720"/>
      <w:contextualSpacing/>
    </w:pPr>
    <w:rPr>
      <w:rFonts w:eastAsia="Times New Roman"/>
    </w:rPr>
  </w:style>
  <w:style w:type="paragraph" w:customStyle="1" w:styleId="-">
    <w:name w:val="перечень-буква"/>
    <w:basedOn w:val="afff8"/>
    <w:link w:val="-0"/>
    <w:pPr>
      <w:tabs>
        <w:tab w:val="num" w:pos="1077"/>
      </w:tabs>
      <w:ind w:left="1077" w:hanging="340"/>
    </w:pPr>
    <w:rPr>
      <w:rFonts w:ascii="Times New Roman" w:hAnsi="Times New Roman" w:cs="Times New Roman"/>
      <w:sz w:val="20"/>
      <w:szCs w:val="20"/>
    </w:rPr>
  </w:style>
  <w:style w:type="character" w:customStyle="1" w:styleId="-0">
    <w:name w:val="перечень-буква Знак"/>
    <w:link w:val="-"/>
    <w:locked/>
    <w:rPr>
      <w:rFonts w:ascii="Times New Roman" w:eastAsia="Times New Roman" w:hAnsi="Times New Roman" w:cs="Times New Roman"/>
      <w:sz w:val="20"/>
      <w:szCs w:val="20"/>
    </w:rPr>
  </w:style>
  <w:style w:type="character" w:customStyle="1" w:styleId="match">
    <w:name w:val="match"/>
  </w:style>
  <w:style w:type="paragraph" w:customStyle="1" w:styleId="2f1">
    <w:name w:val="Приложение ур_2"/>
    <w:basedOn w:val="a0"/>
    <w:uiPriority w:val="99"/>
    <w:pPr>
      <w:tabs>
        <w:tab w:val="num" w:pos="792"/>
      </w:tabs>
      <w:suppressAutoHyphens/>
      <w:ind w:left="720" w:hanging="360"/>
    </w:pPr>
    <w:rPr>
      <w:rFonts w:eastAsia="Times New Roman"/>
      <w:szCs w:val="20"/>
    </w:rPr>
  </w:style>
  <w:style w:type="character" w:customStyle="1" w:styleId="FontStyle70">
    <w:name w:val="Font Style70"/>
    <w:rPr>
      <w:rFonts w:ascii="Times New Roman" w:hAnsi="Times New Roman"/>
      <w:sz w:val="20"/>
    </w:rPr>
  </w:style>
  <w:style w:type="paragraph" w:customStyle="1" w:styleId="Style29">
    <w:name w:val="Style29"/>
    <w:basedOn w:val="a0"/>
    <w:pPr>
      <w:widowControl w:val="0"/>
      <w:autoSpaceDE w:val="0"/>
      <w:autoSpaceDN w:val="0"/>
      <w:adjustRightInd w:val="0"/>
      <w:spacing w:line="254" w:lineRule="exact"/>
      <w:ind w:firstLine="731"/>
    </w:pPr>
    <w:rPr>
      <w:rFonts w:eastAsia="Times New Roman"/>
    </w:rPr>
  </w:style>
  <w:style w:type="paragraph" w:customStyle="1" w:styleId="Style46">
    <w:name w:val="Style46"/>
    <w:basedOn w:val="a0"/>
    <w:pPr>
      <w:widowControl w:val="0"/>
      <w:autoSpaceDE w:val="0"/>
      <w:autoSpaceDN w:val="0"/>
      <w:adjustRightInd w:val="0"/>
    </w:pPr>
    <w:rPr>
      <w:rFonts w:ascii="Courier New" w:eastAsia="Times New Roman" w:hAnsi="Courier New"/>
    </w:rPr>
  </w:style>
  <w:style w:type="character" w:customStyle="1" w:styleId="FontStyle248">
    <w:name w:val="Font Style248"/>
    <w:rPr>
      <w:rFonts w:ascii="Arial" w:hAnsi="Arial"/>
      <w:b/>
      <w:sz w:val="16"/>
    </w:rPr>
  </w:style>
  <w:style w:type="character" w:customStyle="1" w:styleId="FontStyle258">
    <w:name w:val="Font Style258"/>
    <w:rPr>
      <w:rFonts w:ascii="Arial" w:hAnsi="Arial"/>
      <w:sz w:val="16"/>
    </w:rPr>
  </w:style>
  <w:style w:type="character" w:customStyle="1" w:styleId="fontstyle700">
    <w:name w:val="fontstyle70"/>
    <w:rPr>
      <w:rFonts w:ascii="Times New Roman" w:hAnsi="Times New Roman" w:cs="Times New Roman" w:hint="default"/>
    </w:rPr>
  </w:style>
  <w:style w:type="character" w:customStyle="1" w:styleId="FontStyle52">
    <w:name w:val="Font Style52"/>
    <w:rPr>
      <w:rFonts w:ascii="Times New Roman" w:hAnsi="Times New Roman"/>
      <w:sz w:val="22"/>
    </w:rPr>
  </w:style>
  <w:style w:type="character" w:customStyle="1" w:styleId="FontStyle55">
    <w:name w:val="Font Style55"/>
    <w:rPr>
      <w:rFonts w:ascii="Times New Roman" w:hAnsi="Times New Roman"/>
      <w:sz w:val="24"/>
    </w:rPr>
  </w:style>
  <w:style w:type="paragraph" w:customStyle="1" w:styleId="Style1">
    <w:name w:val="Style1"/>
    <w:basedOn w:val="a0"/>
    <w:pPr>
      <w:widowControl w:val="0"/>
      <w:autoSpaceDE w:val="0"/>
      <w:autoSpaceDN w:val="0"/>
      <w:adjustRightInd w:val="0"/>
    </w:pPr>
    <w:rPr>
      <w:rFonts w:eastAsia="Times New Roman"/>
    </w:rPr>
  </w:style>
  <w:style w:type="paragraph" w:customStyle="1" w:styleId="Style48">
    <w:name w:val="Style48"/>
    <w:basedOn w:val="a0"/>
    <w:pPr>
      <w:widowControl w:val="0"/>
      <w:autoSpaceDE w:val="0"/>
      <w:autoSpaceDN w:val="0"/>
      <w:adjustRightInd w:val="0"/>
      <w:spacing w:line="252" w:lineRule="exact"/>
      <w:jc w:val="center"/>
    </w:pPr>
    <w:rPr>
      <w:rFonts w:eastAsia="Times New Roman"/>
    </w:rPr>
  </w:style>
  <w:style w:type="character" w:customStyle="1" w:styleId="colo3">
    <w:name w:val="colo3"/>
  </w:style>
  <w:style w:type="character" w:customStyle="1" w:styleId="1d">
    <w:name w:val="Дата1"/>
  </w:style>
  <w:style w:type="table" w:customStyle="1" w:styleId="111">
    <w:name w:val="Сетка таблицы11"/>
    <w:basedOn w:val="a2"/>
    <w:next w:val="aff6"/>
    <w:uiPriority w:val="5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uiPriority w:val="99"/>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ListParagraph1">
    <w:name w:val="List Paragraph1"/>
    <w:basedOn w:val="a0"/>
    <w:pPr>
      <w:ind w:left="720"/>
      <w:contextualSpacing/>
    </w:pPr>
    <w:rPr>
      <w:rFonts w:eastAsia="Times New Roman"/>
    </w:rPr>
  </w:style>
  <w:style w:type="paragraph" w:customStyle="1" w:styleId="1e">
    <w:name w:val="Основной текст1"/>
    <w:basedOn w:val="a0"/>
    <w:pPr>
      <w:widowControl w:val="0"/>
      <w:shd w:val="clear" w:color="auto" w:fill="FFFFFF"/>
      <w:spacing w:line="263" w:lineRule="exact"/>
    </w:pPr>
    <w:rPr>
      <w:rFonts w:eastAsia="Times New Roman" w:cstheme="minorBidi"/>
      <w:sz w:val="21"/>
      <w:szCs w:val="21"/>
      <w:lang w:eastAsia="en-US"/>
    </w:rPr>
  </w:style>
  <w:style w:type="paragraph" w:customStyle="1" w:styleId="FR1">
    <w:name w:val="FR1"/>
    <w:pPr>
      <w:widowControl w:val="0"/>
      <w:autoSpaceDE w:val="0"/>
      <w:autoSpaceDN w:val="0"/>
      <w:adjustRightInd w:val="0"/>
      <w:spacing w:after="0" w:line="240" w:lineRule="auto"/>
      <w:ind w:left="280"/>
    </w:pPr>
    <w:rPr>
      <w:rFonts w:ascii="Times New Roman" w:eastAsia="Times New Roman" w:hAnsi="Times New Roman" w:cs="Times New Roman"/>
      <w:sz w:val="16"/>
      <w:szCs w:val="16"/>
      <w:lang w:val="en-US" w:eastAsia="ru-RU"/>
    </w:rPr>
  </w:style>
  <w:style w:type="paragraph" w:customStyle="1" w:styleId="FR2">
    <w:name w:val="FR2"/>
    <w:pPr>
      <w:widowControl w:val="0"/>
      <w:autoSpaceDE w:val="0"/>
      <w:autoSpaceDN w:val="0"/>
      <w:adjustRightInd w:val="0"/>
      <w:spacing w:before="120" w:after="0" w:line="240" w:lineRule="auto"/>
      <w:ind w:left="240"/>
    </w:pPr>
    <w:rPr>
      <w:rFonts w:ascii="Arial" w:eastAsia="Times New Roman" w:hAnsi="Arial" w:cs="Arial"/>
      <w:sz w:val="16"/>
      <w:szCs w:val="16"/>
      <w:lang w:eastAsia="ru-RU"/>
    </w:rPr>
  </w:style>
  <w:style w:type="character" w:customStyle="1" w:styleId="9pt">
    <w:name w:val="Основной текст + 9 pt"/>
    <w:rPr>
      <w:rFonts w:ascii="Consolas" w:eastAsia="Consolas" w:hAnsi="Consolas" w:cs="Consolas"/>
      <w:b w:val="0"/>
      <w:bCs w:val="0"/>
      <w:i w:val="0"/>
      <w:iCs w:val="0"/>
      <w:smallCaps w:val="0"/>
      <w:strike w:val="0"/>
      <w:color w:val="000000"/>
      <w:spacing w:val="0"/>
      <w:w w:val="100"/>
      <w:position w:val="0"/>
      <w:sz w:val="18"/>
      <w:szCs w:val="18"/>
      <w:u w:val="none"/>
      <w:shd w:val="clear" w:color="auto" w:fill="FFFFFF"/>
      <w:lang w:val="en-US"/>
    </w:rPr>
  </w:style>
  <w:style w:type="character" w:customStyle="1" w:styleId="1f">
    <w:name w:val="Заголовок №1_"/>
    <w:link w:val="1f0"/>
    <w:rPr>
      <w:rFonts w:ascii="Lucida Sans Unicode" w:eastAsia="Lucida Sans Unicode" w:hAnsi="Lucida Sans Unicode" w:cs="Lucida Sans Unicode"/>
      <w:spacing w:val="-10"/>
      <w:sz w:val="21"/>
      <w:szCs w:val="21"/>
      <w:shd w:val="clear" w:color="auto" w:fill="FFFFFF"/>
    </w:rPr>
  </w:style>
  <w:style w:type="paragraph" w:customStyle="1" w:styleId="1f0">
    <w:name w:val="Заголовок №1"/>
    <w:basedOn w:val="a0"/>
    <w:link w:val="1f"/>
    <w:pPr>
      <w:widowControl w:val="0"/>
      <w:shd w:val="clear" w:color="auto" w:fill="FFFFFF"/>
      <w:spacing w:line="270" w:lineRule="exact"/>
      <w:outlineLvl w:val="0"/>
    </w:pPr>
    <w:rPr>
      <w:rFonts w:ascii="Lucida Sans Unicode" w:eastAsia="Lucida Sans Unicode" w:hAnsi="Lucida Sans Unicode" w:cs="Lucida Sans Unicode"/>
      <w:spacing w:val="-10"/>
      <w:sz w:val="21"/>
      <w:szCs w:val="21"/>
      <w:lang w:eastAsia="en-US"/>
    </w:rPr>
  </w:style>
  <w:style w:type="character" w:customStyle="1" w:styleId="0pt">
    <w:name w:val="Основной текст + Интервал 0 pt"/>
    <w:rPr>
      <w:rFonts w:ascii="MingLiU" w:eastAsia="MingLiU" w:hAnsi="MingLiU" w:cs="MingLiU"/>
      <w:b w:val="0"/>
      <w:bCs w:val="0"/>
      <w:i w:val="0"/>
      <w:iCs w:val="0"/>
      <w:smallCaps w:val="0"/>
      <w:strike w:val="0"/>
      <w:color w:val="000000"/>
      <w:spacing w:val="0"/>
      <w:w w:val="100"/>
      <w:position w:val="0"/>
      <w:sz w:val="19"/>
      <w:szCs w:val="19"/>
      <w:u w:val="none"/>
      <w:shd w:val="clear" w:color="auto" w:fill="FFFFFF"/>
      <w:lang w:val="ru-RU"/>
    </w:rPr>
  </w:style>
  <w:style w:type="character" w:customStyle="1" w:styleId="affff6">
    <w:name w:val="Оглавление_"/>
    <w:link w:val="affff7"/>
    <w:rPr>
      <w:rFonts w:ascii="MingLiU" w:eastAsia="MingLiU" w:hAnsi="MingLiU" w:cs="MingLiU"/>
      <w:spacing w:val="-40"/>
      <w:sz w:val="19"/>
      <w:szCs w:val="19"/>
      <w:shd w:val="clear" w:color="auto" w:fill="FFFFFF"/>
    </w:rPr>
  </w:style>
  <w:style w:type="character" w:customStyle="1" w:styleId="0pt0">
    <w:name w:val="Оглавление + Интервал 0 pt"/>
    <w:rPr>
      <w:rFonts w:ascii="MingLiU" w:eastAsia="MingLiU" w:hAnsi="MingLiU" w:cs="MingLiU"/>
      <w:color w:val="000000"/>
      <w:spacing w:val="0"/>
      <w:w w:val="100"/>
      <w:position w:val="0"/>
      <w:sz w:val="19"/>
      <w:szCs w:val="19"/>
      <w:shd w:val="clear" w:color="auto" w:fill="FFFFFF"/>
      <w:lang w:val="ru-RU"/>
    </w:rPr>
  </w:style>
  <w:style w:type="character" w:customStyle="1" w:styleId="-1pt">
    <w:name w:val="Основной текст + Интервал -1 pt"/>
    <w:rPr>
      <w:rFonts w:ascii="MingLiU" w:eastAsia="MingLiU" w:hAnsi="MingLiU" w:cs="MingLiU"/>
      <w:b w:val="0"/>
      <w:bCs w:val="0"/>
      <w:i w:val="0"/>
      <w:iCs w:val="0"/>
      <w:smallCaps w:val="0"/>
      <w:strike w:val="0"/>
      <w:color w:val="000000"/>
      <w:spacing w:val="-30"/>
      <w:w w:val="100"/>
      <w:position w:val="0"/>
      <w:sz w:val="19"/>
      <w:szCs w:val="19"/>
      <w:u w:val="none"/>
      <w:shd w:val="clear" w:color="auto" w:fill="FFFFFF"/>
      <w:lang w:val="ru-RU"/>
    </w:rPr>
  </w:style>
  <w:style w:type="paragraph" w:customStyle="1" w:styleId="affff7">
    <w:name w:val="Оглавление"/>
    <w:basedOn w:val="a0"/>
    <w:link w:val="affff6"/>
    <w:pPr>
      <w:widowControl w:val="0"/>
      <w:shd w:val="clear" w:color="auto" w:fill="FFFFFF"/>
      <w:spacing w:line="255" w:lineRule="exact"/>
    </w:pPr>
    <w:rPr>
      <w:rFonts w:ascii="MingLiU" w:eastAsia="MingLiU" w:hAnsi="MingLiU" w:cs="MingLiU"/>
      <w:spacing w:val="-40"/>
      <w:sz w:val="19"/>
      <w:szCs w:val="19"/>
      <w:lang w:eastAsia="en-US"/>
    </w:rPr>
  </w:style>
  <w:style w:type="paragraph" w:customStyle="1" w:styleId="Style27">
    <w:name w:val="Style27"/>
    <w:basedOn w:val="a0"/>
    <w:pPr>
      <w:widowControl w:val="0"/>
      <w:autoSpaceDE w:val="0"/>
      <w:autoSpaceDN w:val="0"/>
      <w:adjustRightInd w:val="0"/>
      <w:spacing w:before="120"/>
    </w:pPr>
    <w:rPr>
      <w:rFonts w:ascii="Courier New" w:eastAsia="SimSun" w:hAnsi="Courier New"/>
    </w:rPr>
  </w:style>
  <w:style w:type="paragraph" w:customStyle="1" w:styleId="53">
    <w:name w:val="Абзац списка5"/>
    <w:basedOn w:val="a0"/>
    <w:pPr>
      <w:ind w:left="720"/>
      <w:contextualSpacing/>
    </w:pPr>
    <w:rPr>
      <w:rFonts w:eastAsia="Times New Roman"/>
    </w:rPr>
  </w:style>
  <w:style w:type="character" w:customStyle="1" w:styleId="FontStyle38">
    <w:name w:val="Font Style38"/>
    <w:rPr>
      <w:rFonts w:ascii="Times New Roman" w:hAnsi="Times New Roman" w:cs="Times New Roman"/>
      <w:i/>
      <w:iCs/>
      <w:sz w:val="18"/>
      <w:szCs w:val="18"/>
    </w:rPr>
  </w:style>
  <w:style w:type="character" w:customStyle="1" w:styleId="FontStyle44">
    <w:name w:val="Font Style44"/>
    <w:rPr>
      <w:rFonts w:ascii="Times New Roman" w:hAnsi="Times New Roman" w:cs="Times New Roman"/>
      <w:sz w:val="18"/>
      <w:szCs w:val="18"/>
    </w:rPr>
  </w:style>
  <w:style w:type="character" w:customStyle="1" w:styleId="FontStyle43">
    <w:name w:val="Font Style43"/>
    <w:rPr>
      <w:rFonts w:ascii="Times New Roman" w:hAnsi="Times New Roman" w:cs="Times New Roman"/>
      <w:sz w:val="22"/>
      <w:szCs w:val="22"/>
    </w:rPr>
  </w:style>
  <w:style w:type="paragraph" w:customStyle="1" w:styleId="Style26">
    <w:name w:val="Style26"/>
    <w:basedOn w:val="a0"/>
    <w:pPr>
      <w:widowControl w:val="0"/>
      <w:autoSpaceDE w:val="0"/>
      <w:autoSpaceDN w:val="0"/>
      <w:adjustRightInd w:val="0"/>
    </w:pPr>
    <w:rPr>
      <w:rFonts w:eastAsia="Times New Roman"/>
    </w:rPr>
  </w:style>
  <w:style w:type="paragraph" w:customStyle="1" w:styleId="Style25">
    <w:name w:val="Style25"/>
    <w:basedOn w:val="a0"/>
    <w:pPr>
      <w:widowControl w:val="0"/>
      <w:autoSpaceDE w:val="0"/>
      <w:autoSpaceDN w:val="0"/>
      <w:adjustRightInd w:val="0"/>
      <w:spacing w:line="276" w:lineRule="exact"/>
    </w:pPr>
    <w:rPr>
      <w:rFonts w:eastAsia="Times New Roman"/>
    </w:rPr>
  </w:style>
  <w:style w:type="paragraph" w:customStyle="1" w:styleId="Style31">
    <w:name w:val="Style31"/>
    <w:basedOn w:val="a0"/>
    <w:pPr>
      <w:widowControl w:val="0"/>
      <w:autoSpaceDE w:val="0"/>
      <w:autoSpaceDN w:val="0"/>
      <w:adjustRightInd w:val="0"/>
      <w:spacing w:line="230" w:lineRule="exact"/>
    </w:pPr>
    <w:rPr>
      <w:rFonts w:eastAsia="Times New Roman"/>
    </w:rPr>
  </w:style>
  <w:style w:type="character" w:customStyle="1" w:styleId="1pt">
    <w:name w:val="Основной текст + Интервал 1 pt"/>
    <w:rPr>
      <w:rFonts w:ascii="MingLiU" w:eastAsia="MingLiU" w:hAnsi="MingLiU" w:cs="MingLiU"/>
      <w:b w:val="0"/>
      <w:bCs w:val="0"/>
      <w:i w:val="0"/>
      <w:iCs w:val="0"/>
      <w:smallCaps w:val="0"/>
      <w:strike w:val="0"/>
      <w:color w:val="000000"/>
      <w:spacing w:val="20"/>
      <w:w w:val="100"/>
      <w:position w:val="0"/>
      <w:sz w:val="18"/>
      <w:szCs w:val="18"/>
      <w:u w:val="none"/>
      <w:shd w:val="clear" w:color="auto" w:fill="FFFFFF"/>
      <w:lang w:val="ru-RU"/>
    </w:rPr>
  </w:style>
  <w:style w:type="character" w:customStyle="1" w:styleId="Gulim11pt-1pt">
    <w:name w:val="Основной текст + Gulim;11 pt;Курсив;Интервал -1 pt"/>
    <w:rPr>
      <w:rFonts w:ascii="Gulim" w:eastAsia="Gulim" w:hAnsi="Gulim" w:cs="Gulim"/>
      <w:b w:val="0"/>
      <w:bCs w:val="0"/>
      <w:i/>
      <w:iCs/>
      <w:smallCaps w:val="0"/>
      <w:strike w:val="0"/>
      <w:color w:val="000000"/>
      <w:spacing w:val="-30"/>
      <w:w w:val="100"/>
      <w:position w:val="0"/>
      <w:sz w:val="22"/>
      <w:szCs w:val="22"/>
      <w:u w:val="none"/>
      <w:shd w:val="clear" w:color="auto" w:fill="FFFFFF"/>
      <w:lang w:val="ru-RU"/>
    </w:rPr>
  </w:style>
  <w:style w:type="numbering" w:customStyle="1" w:styleId="1110">
    <w:name w:val="Нет списка111"/>
    <w:next w:val="a3"/>
    <w:uiPriority w:val="99"/>
    <w:semiHidden/>
    <w:unhideWhenUsed/>
  </w:style>
  <w:style w:type="table" w:customStyle="1" w:styleId="1111">
    <w:name w:val="Сетка таблицы111"/>
    <w:basedOn w:val="a2"/>
    <w:next w:val="aff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Нет списка3"/>
    <w:next w:val="a3"/>
    <w:uiPriority w:val="99"/>
    <w:semiHidden/>
    <w:unhideWhenUsed/>
  </w:style>
  <w:style w:type="table" w:customStyle="1" w:styleId="2f2">
    <w:name w:val="Сетка таблицы2"/>
    <w:basedOn w:val="a2"/>
    <w:next w:val="aff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18">
    <w:name w:val="S_Таблица1"/>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affff8">
    <w:name w:val="."/>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udar">
    <w:name w:val="udar"/>
  </w:style>
  <w:style w:type="numbering" w:customStyle="1" w:styleId="43">
    <w:name w:val="Нет списка4"/>
    <w:next w:val="a3"/>
    <w:uiPriority w:val="99"/>
    <w:semiHidden/>
    <w:unhideWhenUsed/>
  </w:style>
  <w:style w:type="table" w:customStyle="1" w:styleId="3c">
    <w:name w:val="Сетка таблицы3"/>
    <w:basedOn w:val="a2"/>
    <w:next w:val="aff6"/>
    <w:uiPriority w:val="9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26">
    <w:name w:val="S_Таблица2"/>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character" w:customStyle="1" w:styleId="A10">
    <w:name w:val="A1"/>
    <w:uiPriority w:val="99"/>
    <w:rPr>
      <w:rFonts w:cs="PragmaticaC"/>
      <w:b/>
      <w:bCs/>
      <w:i/>
      <w:iCs/>
      <w:color w:val="000000"/>
      <w:sz w:val="16"/>
      <w:szCs w:val="16"/>
    </w:rPr>
  </w:style>
  <w:style w:type="paragraph" w:customStyle="1" w:styleId="Pa0">
    <w:name w:val="Pa0"/>
    <w:basedOn w:val="Default"/>
    <w:next w:val="Default"/>
    <w:uiPriority w:val="99"/>
    <w:pPr>
      <w:spacing w:line="241" w:lineRule="atLeast"/>
    </w:pPr>
    <w:rPr>
      <w:rFonts w:ascii="PF Din Text Cond Pro Medium" w:eastAsiaTheme="minorHAnsi" w:hAnsi="PF Din Text Cond Pro Medium" w:cstheme="minorBidi"/>
      <w:color w:val="auto"/>
      <w:lang w:eastAsia="en-US"/>
    </w:rPr>
  </w:style>
  <w:style w:type="character" w:customStyle="1" w:styleId="apple-style-span">
    <w:name w:val="apple-style-span"/>
  </w:style>
  <w:style w:type="table" w:customStyle="1" w:styleId="44">
    <w:name w:val="Сетка таблицы4"/>
    <w:basedOn w:val="a2"/>
    <w:next w:val="aff6"/>
    <w:uiPriority w:val="59"/>
    <w:pPr>
      <w:spacing w:after="0" w:line="240" w:lineRule="auto"/>
    </w:pPr>
    <w:rPr>
      <w:rFonts w:ascii="Times New Roman" w:eastAsiaTheme="minorEastAsia"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Абзац списка Знак"/>
    <w:basedOn w:val="a1"/>
    <w:link w:val="affd"/>
    <w:uiPriority w:val="34"/>
    <w:rPr>
      <w:rFonts w:ascii="Arial" w:eastAsia="Calibri" w:hAnsi="Arial" w:cs="Times New Roman"/>
      <w:szCs w:val="24"/>
    </w:rPr>
  </w:style>
  <w:style w:type="paragraph" w:customStyle="1" w:styleId="45">
    <w:name w:val="Абзац списка4"/>
    <w:basedOn w:val="a0"/>
    <w:pPr>
      <w:ind w:left="720" w:firstLine="720"/>
      <w:contextualSpacing/>
    </w:pPr>
    <w:rPr>
      <w:rFonts w:eastAsiaTheme="minorHAnsi"/>
    </w:rPr>
  </w:style>
  <w:style w:type="table" w:customStyle="1" w:styleId="210">
    <w:name w:val="Сетка таблицы21"/>
    <w:basedOn w:val="a2"/>
    <w:next w:val="aff6"/>
    <w:uiPriority w:val="59"/>
    <w:pPr>
      <w:spacing w:after="0" w:line="240" w:lineRule="auto"/>
      <w:ind w:left="567" w:hanging="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Абзац списка11"/>
    <w:basedOn w:val="a0"/>
    <w:pPr>
      <w:ind w:left="720" w:firstLine="720"/>
      <w:contextualSpacing/>
    </w:pPr>
    <w:rPr>
      <w:rFonts w:eastAsia="Times New Roman"/>
    </w:rPr>
  </w:style>
  <w:style w:type="paragraph" w:customStyle="1" w:styleId="111111">
    <w:name w:val="Стиль111111"/>
    <w:basedOn w:val="22"/>
    <w:link w:val="1111110"/>
    <w:qFormat/>
    <w:pPr>
      <w:keepLines/>
      <w:pageBreakBefore/>
      <w:numPr>
        <w:numId w:val="48"/>
      </w:numPr>
      <w:tabs>
        <w:tab w:val="left" w:pos="567"/>
      </w:tabs>
      <w:suppressAutoHyphens/>
      <w:jc w:val="left"/>
    </w:pPr>
    <w:rPr>
      <w:rFonts w:eastAsia="Times New Roman" w:cs="Arial"/>
      <w:i/>
      <w:iCs w:val="0"/>
      <w:caps w:val="0"/>
      <w:sz w:val="32"/>
      <w:szCs w:val="32"/>
      <w:lang w:val="en-US" w:eastAsia="en-US"/>
    </w:rPr>
  </w:style>
  <w:style w:type="character" w:customStyle="1" w:styleId="1111110">
    <w:name w:val="Стиль111111 Знак"/>
    <w:basedOn w:val="affe"/>
    <w:link w:val="111111"/>
    <w:rPr>
      <w:rFonts w:ascii="Arial" w:eastAsia="Times New Roman" w:hAnsi="Arial" w:cs="Arial"/>
      <w:b/>
      <w:bCs/>
      <w:i/>
      <w:sz w:val="32"/>
      <w:szCs w:val="32"/>
      <w:lang w:val="en-US"/>
    </w:rPr>
  </w:style>
  <w:style w:type="character" w:customStyle="1" w:styleId="affff9">
    <w:name w:val="Личный стиль сообщения"/>
    <w:rPr>
      <w:rFonts w:ascii="Arial" w:hAnsi="Arial" w:cs="Arial"/>
      <w:color w:val="auto"/>
      <w:sz w:val="20"/>
    </w:rPr>
  </w:style>
  <w:style w:type="character" w:customStyle="1" w:styleId="affffa">
    <w:name w:val="Личный стиль ответа"/>
    <w:rPr>
      <w:rFonts w:ascii="Arial" w:hAnsi="Arial" w:cs="Arial"/>
      <w:color w:val="auto"/>
      <w:sz w:val="20"/>
    </w:rPr>
  </w:style>
  <w:style w:type="paragraph" w:customStyle="1" w:styleId="affffb">
    <w:name w:val="название таблицы"/>
    <w:basedOn w:val="a0"/>
    <w:next w:val="a0"/>
    <w:pPr>
      <w:keepNext/>
      <w:keepLines/>
      <w:widowControl w:val="0"/>
      <w:spacing w:before="120"/>
      <w:jc w:val="center"/>
    </w:pPr>
    <w:rPr>
      <w:rFonts w:eastAsia="Times New Roman"/>
      <w:szCs w:val="20"/>
    </w:rPr>
  </w:style>
  <w:style w:type="paragraph" w:customStyle="1" w:styleId="310">
    <w:name w:val="Основной текст с отступом 31"/>
    <w:basedOn w:val="a0"/>
    <w:pPr>
      <w:ind w:firstLine="720"/>
    </w:pPr>
    <w:rPr>
      <w:rFonts w:eastAsia="Times New Roman"/>
      <w:szCs w:val="20"/>
    </w:rPr>
  </w:style>
  <w:style w:type="numbering" w:customStyle="1" w:styleId="12">
    <w:name w:val="Стиль1"/>
    <w:pPr>
      <w:numPr>
        <w:numId w:val="49"/>
      </w:numPr>
    </w:pPr>
  </w:style>
  <w:style w:type="numbering" w:customStyle="1" w:styleId="2">
    <w:name w:val="Стиль2"/>
    <w:pPr>
      <w:numPr>
        <w:numId w:val="50"/>
      </w:numPr>
    </w:pPr>
  </w:style>
  <w:style w:type="character" w:customStyle="1" w:styleId="affffc">
    <w:name w:val="Текст_стандарта Знак Знак Знак"/>
    <w:link w:val="affffd"/>
    <w:locked/>
    <w:rPr>
      <w:sz w:val="24"/>
      <w:szCs w:val="24"/>
    </w:rPr>
  </w:style>
  <w:style w:type="paragraph" w:customStyle="1" w:styleId="affffd">
    <w:name w:val="Текст_стандарта Знак Знак"/>
    <w:basedOn w:val="a0"/>
    <w:link w:val="affffc"/>
    <w:pPr>
      <w:spacing w:line="360" w:lineRule="auto"/>
      <w:ind w:firstLine="720"/>
    </w:pPr>
    <w:rPr>
      <w:rFonts w:asciiTheme="minorHAnsi" w:eastAsiaTheme="minorHAnsi" w:hAnsiTheme="minorHAnsi" w:cstheme="minorBidi"/>
      <w:lang w:eastAsia="en-US"/>
    </w:rPr>
  </w:style>
  <w:style w:type="character" w:styleId="affffe">
    <w:name w:val="Placeholder Text"/>
    <w:basedOn w:val="a1"/>
    <w:uiPriority w:val="99"/>
    <w:semiHidden/>
    <w:rPr>
      <w:color w:val="808080"/>
    </w:rPr>
  </w:style>
  <w:style w:type="paragraph" w:customStyle="1" w:styleId="afffff">
    <w:name w:val="Таблица_Шапка"/>
    <w:basedOn w:val="a0"/>
    <w:link w:val="afffff0"/>
    <w:uiPriority w:val="99"/>
    <w:pPr>
      <w:jc w:val="center"/>
    </w:pPr>
    <w:rPr>
      <w:rFonts w:ascii="Arial" w:eastAsia="Times New Roman" w:hAnsi="Arial"/>
      <w:b/>
      <w:snapToGrid w:val="0"/>
      <w:sz w:val="20"/>
      <w:szCs w:val="20"/>
    </w:rPr>
  </w:style>
  <w:style w:type="character" w:customStyle="1" w:styleId="afffff0">
    <w:name w:val="Таблица_Шапка Знак"/>
    <w:link w:val="afffff"/>
    <w:uiPriority w:val="99"/>
    <w:rPr>
      <w:rFonts w:ascii="Arial" w:eastAsia="Times New Roman" w:hAnsi="Arial" w:cs="Times New Roman"/>
      <w:b/>
      <w:snapToGrid w:val="0"/>
      <w:sz w:val="20"/>
      <w:szCs w:val="20"/>
      <w:lang w:eastAsia="ru-RU"/>
    </w:rPr>
  </w:style>
  <w:style w:type="paragraph" w:customStyle="1" w:styleId="2f3">
    <w:name w:val="М_Заголовок 2"/>
    <w:basedOn w:val="22"/>
    <w:autoRedefine/>
    <w:uiPriority w:val="99"/>
    <w:qFormat/>
    <w:pPr>
      <w:keepNext w:val="0"/>
    </w:pPr>
    <w:rPr>
      <w:rFonts w:eastAsia="Calibri" w:cs="Arial"/>
      <w:i/>
      <w:caps w:val="0"/>
      <w:lang w:eastAsia="en-US"/>
    </w:rPr>
  </w:style>
  <w:style w:type="paragraph" w:customStyle="1" w:styleId="1f1">
    <w:name w:val="М_Заголовок 1"/>
    <w:basedOn w:val="13"/>
    <w:qFormat/>
    <w:pPr>
      <w:keepNext w:val="0"/>
    </w:pPr>
    <w:rPr>
      <w:rFonts w:eastAsia="Times New Roman"/>
      <w:kern w:val="0"/>
    </w:rPr>
  </w:style>
  <w:style w:type="character" w:customStyle="1" w:styleId="FontStyle24">
    <w:name w:val="Font Style24"/>
    <w:uiPriority w:val="99"/>
    <w:rPr>
      <w:rFonts w:ascii="Times New Roman" w:hAnsi="Times New Roman" w:cs="Times New Roman"/>
      <w:color w:val="000000"/>
      <w:sz w:val="24"/>
      <w:szCs w:val="24"/>
    </w:rPr>
  </w:style>
  <w:style w:type="paragraph" w:customStyle="1" w:styleId="afffff1">
    <w:name w:val="Титул"/>
    <w:basedOn w:val="afffd"/>
    <w:pPr>
      <w:suppressAutoHyphens/>
    </w:pPr>
    <w:rPr>
      <w:rFonts w:eastAsia="Times New Roman" w:cs="Times New Roman"/>
      <w:spacing w:val="0"/>
      <w:kern w:val="0"/>
      <w:sz w:val="32"/>
      <w:szCs w:val="20"/>
      <w:lang w:eastAsia="en-US"/>
    </w:rPr>
  </w:style>
  <w:style w:type="paragraph" w:customStyle="1" w:styleId="afffff2">
    <w:name w:val="Таблица"/>
    <w:basedOn w:val="a0"/>
    <w:rPr>
      <w:rFonts w:ascii="Arial" w:eastAsia="Times New Roman" w:hAnsi="Arial"/>
      <w:sz w:val="22"/>
      <w:szCs w:val="20"/>
      <w:lang w:eastAsia="en-US"/>
    </w:rPr>
  </w:style>
  <w:style w:type="paragraph" w:customStyle="1" w:styleId="afffff3">
    <w:name w:val="Вводные"/>
    <w:basedOn w:val="111111"/>
    <w:link w:val="afffff4"/>
    <w:qFormat/>
    <w:pPr>
      <w:numPr>
        <w:numId w:val="0"/>
      </w:numPr>
      <w:tabs>
        <w:tab w:val="num" w:pos="360"/>
      </w:tabs>
      <w:ind w:left="227" w:hanging="227"/>
    </w:pPr>
  </w:style>
  <w:style w:type="character" w:customStyle="1" w:styleId="afffff4">
    <w:name w:val="Вводные Знак"/>
    <w:basedOn w:val="1111110"/>
    <w:link w:val="afffff3"/>
    <w:rPr>
      <w:rFonts w:ascii="Arial" w:eastAsia="Times New Roman" w:hAnsi="Arial" w:cs="Arial"/>
      <w:b/>
      <w:bCs/>
      <w:i/>
      <w:sz w:val="32"/>
      <w:szCs w:val="32"/>
      <w:lang w:val="en-US"/>
    </w:rPr>
  </w:style>
  <w:style w:type="paragraph" w:styleId="afffff5">
    <w:name w:val="Subtitle"/>
    <w:basedOn w:val="a0"/>
    <w:next w:val="a0"/>
    <w:link w:val="afffff6"/>
    <w:uiPriority w:val="11"/>
    <w:qFormat/>
    <w:pPr>
      <w:numPr>
        <w:ilvl w:val="1"/>
      </w:numPr>
    </w:pPr>
    <w:rPr>
      <w:rFonts w:asciiTheme="majorHAnsi" w:eastAsiaTheme="majorEastAsia" w:hAnsiTheme="majorHAnsi" w:cstheme="majorBidi"/>
      <w:i/>
      <w:iCs/>
      <w:color w:val="4F81BD" w:themeColor="accent1"/>
      <w:spacing w:val="15"/>
      <w:lang w:eastAsia="en-US"/>
    </w:rPr>
  </w:style>
  <w:style w:type="character" w:customStyle="1" w:styleId="afffff6">
    <w:name w:val="Подзаголовок Знак"/>
    <w:basedOn w:val="a1"/>
    <w:link w:val="afffff5"/>
    <w:uiPriority w:val="11"/>
    <w:rPr>
      <w:rFonts w:asciiTheme="majorHAnsi" w:eastAsiaTheme="majorEastAsia" w:hAnsiTheme="majorHAnsi" w:cstheme="majorBidi"/>
      <w:i/>
      <w:iCs/>
      <w:color w:val="4F81BD" w:themeColor="accent1"/>
      <w:spacing w:val="15"/>
      <w:sz w:val="24"/>
      <w:szCs w:val="24"/>
    </w:rPr>
  </w:style>
  <w:style w:type="paragraph" w:styleId="3">
    <w:name w:val="List Bullet 3"/>
    <w:basedOn w:val="a0"/>
    <w:semiHidden/>
    <w:pPr>
      <w:numPr>
        <w:numId w:val="63"/>
      </w:numPr>
      <w:jc w:val="left"/>
    </w:pPr>
    <w:rPr>
      <w:rFonts w:eastAsia="Times New Roman"/>
    </w:rPr>
  </w:style>
  <w:style w:type="table" w:customStyle="1" w:styleId="120">
    <w:name w:val="Сетка таблицы12"/>
    <w:basedOn w:val="a2"/>
    <w:next w:val="aff6"/>
    <w:uiPriority w:val="59"/>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110">
    <w:name w:val="S_Таблица11"/>
    <w:basedOn w:val="a2"/>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afffff7">
    <w:name w:val="Содержимое таблицы"/>
    <w:basedOn w:val="a0"/>
    <w:pPr>
      <w:suppressLineNumbers/>
      <w:jc w:val="left"/>
    </w:pPr>
    <w:rPr>
      <w:rFonts w:eastAsia="Times New Roman"/>
      <w:sz w:val="20"/>
      <w:szCs w:val="20"/>
      <w:lang w:eastAsia="ar-SA"/>
    </w:rPr>
  </w:style>
  <w:style w:type="paragraph" w:customStyle="1" w:styleId="xl63">
    <w:name w:val="xl63"/>
    <w:basedOn w:val="a0"/>
    <w:pPr>
      <w:pBdr>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64">
    <w:name w:val="xl64"/>
    <w:basedOn w:val="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65">
    <w:name w:val="xl65"/>
    <w:basedOn w:val="a0"/>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66">
    <w:name w:val="xl66"/>
    <w:basedOn w:val="a0"/>
    <w:pPr>
      <w:pBdr>
        <w:top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67">
    <w:name w:val="xl67"/>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68">
    <w:name w:val="xl68"/>
    <w:basedOn w:val="a0"/>
    <w:pPr>
      <w:pBdr>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69">
    <w:name w:val="xl69"/>
    <w:basedOn w:val="a0"/>
    <w:pPr>
      <w:spacing w:before="100" w:beforeAutospacing="1" w:after="100" w:afterAutospacing="1"/>
      <w:jc w:val="left"/>
      <w:textAlignment w:val="center"/>
    </w:pPr>
    <w:rPr>
      <w:rFonts w:eastAsia="Times New Roman"/>
    </w:rPr>
  </w:style>
  <w:style w:type="paragraph" w:customStyle="1" w:styleId="xl70">
    <w:name w:val="xl70"/>
    <w:basedOn w:val="a0"/>
    <w:pPr>
      <w:pBdr>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71">
    <w:name w:val="xl71"/>
    <w:basedOn w:val="a0"/>
    <w:pPr>
      <w:spacing w:before="100" w:beforeAutospacing="1" w:after="100" w:afterAutospacing="1"/>
      <w:jc w:val="center"/>
    </w:pPr>
    <w:rPr>
      <w:rFonts w:eastAsia="Times New Roman"/>
    </w:rPr>
  </w:style>
  <w:style w:type="paragraph" w:customStyle="1" w:styleId="xl72">
    <w:name w:val="xl72"/>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3">
    <w:name w:val="xl73"/>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4">
    <w:name w:val="xl74"/>
    <w:basedOn w:val="a0"/>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5">
    <w:name w:val="xl75"/>
    <w:basedOn w:val="a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rPr>
  </w:style>
  <w:style w:type="paragraph" w:customStyle="1" w:styleId="xl76">
    <w:name w:val="xl76"/>
    <w:basedOn w:val="a0"/>
    <w:pPr>
      <w:spacing w:before="100" w:beforeAutospacing="1" w:after="100" w:afterAutospacing="1"/>
      <w:jc w:val="left"/>
      <w:textAlignment w:val="center"/>
    </w:pPr>
    <w:rPr>
      <w:rFonts w:eastAsia="Times New Roman"/>
    </w:rPr>
  </w:style>
  <w:style w:type="paragraph" w:customStyle="1" w:styleId="xl77">
    <w:name w:val="xl77"/>
    <w:basedOn w:val="a0"/>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rPr>
  </w:style>
  <w:style w:type="paragraph" w:customStyle="1" w:styleId="xl78">
    <w:name w:val="xl78"/>
    <w:basedOn w:val="a0"/>
    <w:pPr>
      <w:pBdr>
        <w:bottom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6"/>
      <w:szCs w:val="16"/>
    </w:rPr>
  </w:style>
  <w:style w:type="paragraph" w:customStyle="1" w:styleId="xl79">
    <w:name w:val="xl79"/>
    <w:basedOn w:val="a0"/>
    <w:pPr>
      <w:pBdr>
        <w:top w:val="single" w:sz="8" w:space="0" w:color="auto"/>
        <w:left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80">
    <w:name w:val="xl80"/>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81">
    <w:name w:val="xl81"/>
    <w:basedOn w:val="a0"/>
    <w:pPr>
      <w:pBdr>
        <w:top w:val="single" w:sz="8" w:space="0" w:color="auto"/>
        <w:left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4"/>
      <w:szCs w:val="14"/>
    </w:rPr>
  </w:style>
  <w:style w:type="paragraph" w:customStyle="1" w:styleId="xl82">
    <w:name w:val="xl82"/>
    <w:basedOn w:val="a0"/>
    <w:pPr>
      <w:pBdr>
        <w:left w:val="single" w:sz="8" w:space="0" w:color="auto"/>
        <w:bottom w:val="single" w:sz="8" w:space="0" w:color="auto"/>
        <w:right w:val="single" w:sz="8" w:space="0" w:color="auto"/>
      </w:pBdr>
      <w:shd w:val="clear" w:color="000000" w:fill="FFD200"/>
      <w:spacing w:before="100" w:beforeAutospacing="1" w:after="100" w:afterAutospacing="1"/>
      <w:jc w:val="center"/>
    </w:pPr>
    <w:rPr>
      <w:rFonts w:ascii="Arial" w:eastAsia="Times New Roman" w:hAnsi="Arial" w:cs="Arial"/>
      <w:b/>
      <w:bCs/>
      <w:color w:val="000000"/>
      <w:sz w:val="14"/>
      <w:szCs w:val="14"/>
    </w:rPr>
  </w:style>
  <w:style w:type="paragraph" w:customStyle="1" w:styleId="afffff8">
    <w:name w:val="Нумерация таблицы"/>
    <w:basedOn w:val="6"/>
    <w:next w:val="a0"/>
    <w:pPr>
      <w:tabs>
        <w:tab w:val="left" w:pos="1985"/>
      </w:tabs>
      <w:spacing w:before="120" w:after="0"/>
      <w:jc w:val="right"/>
    </w:pPr>
    <w:rPr>
      <w:rFonts w:eastAsia="Calibri"/>
      <w:bCs w:val="0"/>
      <w:color w:val="auto"/>
      <w:w w:val="95"/>
      <w:kern w:val="28"/>
      <w:sz w:val="28"/>
      <w:szCs w:val="20"/>
      <w:lang w:val="x-none" w:eastAsia="x-none"/>
    </w:rPr>
  </w:style>
  <w:style w:type="paragraph" w:customStyle="1" w:styleId="xl83">
    <w:name w:val="xl83"/>
    <w:basedOn w:val="a0"/>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84">
    <w:name w:val="xl84"/>
    <w:basedOn w:val="a0"/>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85">
    <w:name w:val="xl85"/>
    <w:basedOn w:val="a0"/>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rFonts w:eastAsia="Times New Roman"/>
    </w:rPr>
  </w:style>
  <w:style w:type="paragraph" w:customStyle="1" w:styleId="xl86">
    <w:name w:val="xl86"/>
    <w:basedOn w:val="a0"/>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pPr>
    <w:rPr>
      <w:rFonts w:eastAsia="Times New Roman"/>
    </w:rPr>
  </w:style>
  <w:style w:type="paragraph" w:customStyle="1" w:styleId="xl87">
    <w:name w:val="xl87"/>
    <w:basedOn w:val="a0"/>
    <w:pPr>
      <w:pBdr>
        <w:top w:val="single" w:sz="8" w:space="0" w:color="auto"/>
        <w:left w:val="single" w:sz="4" w:space="0" w:color="auto"/>
        <w:bottom w:val="single" w:sz="4" w:space="0" w:color="auto"/>
        <w:right w:val="single" w:sz="4"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88">
    <w:name w:val="xl88"/>
    <w:basedOn w:val="a0"/>
    <w:pPr>
      <w:pBdr>
        <w:top w:val="single" w:sz="8" w:space="0" w:color="auto"/>
        <w:left w:val="single" w:sz="8" w:space="0" w:color="auto"/>
        <w:bottom w:val="single" w:sz="4" w:space="0" w:color="auto"/>
        <w:right w:val="single" w:sz="4"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89">
    <w:name w:val="xl89"/>
    <w:basedOn w:val="a0"/>
    <w:pPr>
      <w:pBdr>
        <w:top w:val="single" w:sz="8" w:space="0" w:color="auto"/>
        <w:left w:val="single" w:sz="4" w:space="0" w:color="auto"/>
        <w:bottom w:val="single" w:sz="4" w:space="0" w:color="auto"/>
        <w:right w:val="single" w:sz="8" w:space="0" w:color="auto"/>
      </w:pBdr>
      <w:shd w:val="clear" w:color="000000" w:fill="FFD200"/>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90">
    <w:name w:val="xl90"/>
    <w:basedOn w:val="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headertext0">
    <w:name w:val="headertext"/>
    <w:basedOn w:val="a0"/>
    <w:pPr>
      <w:spacing w:after="72" w:line="330" w:lineRule="atLeast"/>
      <w:jc w:val="center"/>
    </w:pPr>
    <w:rPr>
      <w:rFonts w:eastAsia="Times New Roman"/>
      <w:b/>
      <w:bCs/>
      <w:color w:val="2B4279"/>
      <w:sz w:val="29"/>
      <w:szCs w:val="29"/>
    </w:rPr>
  </w:style>
  <w:style w:type="character" w:customStyle="1" w:styleId="match1">
    <w:name w:val="match1"/>
    <w:basedOn w:val="a1"/>
    <w:rPr>
      <w:color w:val="000000"/>
      <w:shd w:val="clear" w:color="auto" w:fill="FFF1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9405">
      <w:bodyDiv w:val="1"/>
      <w:marLeft w:val="0"/>
      <w:marRight w:val="0"/>
      <w:marTop w:val="0"/>
      <w:marBottom w:val="0"/>
      <w:divBdr>
        <w:top w:val="none" w:sz="0" w:space="0" w:color="auto"/>
        <w:left w:val="none" w:sz="0" w:space="0" w:color="auto"/>
        <w:bottom w:val="none" w:sz="0" w:space="0" w:color="auto"/>
        <w:right w:val="none" w:sz="0" w:space="0" w:color="auto"/>
      </w:divBdr>
    </w:div>
    <w:div w:id="27031083">
      <w:bodyDiv w:val="1"/>
      <w:marLeft w:val="0"/>
      <w:marRight w:val="0"/>
      <w:marTop w:val="0"/>
      <w:marBottom w:val="0"/>
      <w:divBdr>
        <w:top w:val="none" w:sz="0" w:space="0" w:color="auto"/>
        <w:left w:val="none" w:sz="0" w:space="0" w:color="auto"/>
        <w:bottom w:val="none" w:sz="0" w:space="0" w:color="auto"/>
        <w:right w:val="none" w:sz="0" w:space="0" w:color="auto"/>
      </w:divBdr>
    </w:div>
    <w:div w:id="74669208">
      <w:bodyDiv w:val="1"/>
      <w:marLeft w:val="0"/>
      <w:marRight w:val="0"/>
      <w:marTop w:val="0"/>
      <w:marBottom w:val="0"/>
      <w:divBdr>
        <w:top w:val="none" w:sz="0" w:space="0" w:color="auto"/>
        <w:left w:val="none" w:sz="0" w:space="0" w:color="auto"/>
        <w:bottom w:val="none" w:sz="0" w:space="0" w:color="auto"/>
        <w:right w:val="none" w:sz="0" w:space="0" w:color="auto"/>
      </w:divBdr>
      <w:divsChild>
        <w:div w:id="110785024">
          <w:marLeft w:val="0"/>
          <w:marRight w:val="0"/>
          <w:marTop w:val="0"/>
          <w:marBottom w:val="0"/>
          <w:divBdr>
            <w:top w:val="none" w:sz="0" w:space="0" w:color="auto"/>
            <w:left w:val="none" w:sz="0" w:space="0" w:color="auto"/>
            <w:bottom w:val="none" w:sz="0" w:space="0" w:color="auto"/>
            <w:right w:val="none" w:sz="0" w:space="0" w:color="auto"/>
          </w:divBdr>
          <w:divsChild>
            <w:div w:id="1380321080">
              <w:marLeft w:val="0"/>
              <w:marRight w:val="0"/>
              <w:marTop w:val="0"/>
              <w:marBottom w:val="0"/>
              <w:divBdr>
                <w:top w:val="none" w:sz="0" w:space="0" w:color="auto"/>
                <w:left w:val="none" w:sz="0" w:space="0" w:color="auto"/>
                <w:bottom w:val="none" w:sz="0" w:space="0" w:color="auto"/>
                <w:right w:val="none" w:sz="0" w:space="0" w:color="auto"/>
              </w:divBdr>
              <w:divsChild>
                <w:div w:id="1740060007">
                  <w:marLeft w:val="0"/>
                  <w:marRight w:val="0"/>
                  <w:marTop w:val="0"/>
                  <w:marBottom w:val="0"/>
                  <w:divBdr>
                    <w:top w:val="none" w:sz="0" w:space="0" w:color="auto"/>
                    <w:left w:val="none" w:sz="0" w:space="0" w:color="auto"/>
                    <w:bottom w:val="none" w:sz="0" w:space="0" w:color="auto"/>
                    <w:right w:val="none" w:sz="0" w:space="0" w:color="auto"/>
                  </w:divBdr>
                  <w:divsChild>
                    <w:div w:id="337773257">
                      <w:marLeft w:val="0"/>
                      <w:marRight w:val="0"/>
                      <w:marTop w:val="0"/>
                      <w:marBottom w:val="0"/>
                      <w:divBdr>
                        <w:top w:val="none" w:sz="0" w:space="0" w:color="auto"/>
                        <w:left w:val="none" w:sz="0" w:space="0" w:color="auto"/>
                        <w:bottom w:val="none" w:sz="0" w:space="0" w:color="auto"/>
                        <w:right w:val="none" w:sz="0" w:space="0" w:color="auto"/>
                      </w:divBdr>
                      <w:divsChild>
                        <w:div w:id="345448037">
                          <w:marLeft w:val="0"/>
                          <w:marRight w:val="0"/>
                          <w:marTop w:val="0"/>
                          <w:marBottom w:val="0"/>
                          <w:divBdr>
                            <w:top w:val="none" w:sz="0" w:space="0" w:color="auto"/>
                            <w:left w:val="none" w:sz="0" w:space="0" w:color="auto"/>
                            <w:bottom w:val="none" w:sz="0" w:space="0" w:color="auto"/>
                            <w:right w:val="none" w:sz="0" w:space="0" w:color="auto"/>
                          </w:divBdr>
                          <w:divsChild>
                            <w:div w:id="1221281190">
                              <w:marLeft w:val="0"/>
                              <w:marRight w:val="0"/>
                              <w:marTop w:val="0"/>
                              <w:marBottom w:val="0"/>
                              <w:divBdr>
                                <w:top w:val="none" w:sz="0" w:space="0" w:color="auto"/>
                                <w:left w:val="none" w:sz="0" w:space="0" w:color="auto"/>
                                <w:bottom w:val="none" w:sz="0" w:space="0" w:color="auto"/>
                                <w:right w:val="none" w:sz="0" w:space="0" w:color="auto"/>
                              </w:divBdr>
                              <w:divsChild>
                                <w:div w:id="2137333007">
                                  <w:marLeft w:val="0"/>
                                  <w:marRight w:val="0"/>
                                  <w:marTop w:val="0"/>
                                  <w:marBottom w:val="0"/>
                                  <w:divBdr>
                                    <w:top w:val="none" w:sz="0" w:space="0" w:color="auto"/>
                                    <w:left w:val="none" w:sz="0" w:space="0" w:color="auto"/>
                                    <w:bottom w:val="none" w:sz="0" w:space="0" w:color="auto"/>
                                    <w:right w:val="none" w:sz="0" w:space="0" w:color="auto"/>
                                  </w:divBdr>
                                  <w:divsChild>
                                    <w:div w:id="36413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310753">
      <w:bodyDiv w:val="1"/>
      <w:marLeft w:val="0"/>
      <w:marRight w:val="0"/>
      <w:marTop w:val="0"/>
      <w:marBottom w:val="0"/>
      <w:divBdr>
        <w:top w:val="none" w:sz="0" w:space="0" w:color="auto"/>
        <w:left w:val="none" w:sz="0" w:space="0" w:color="auto"/>
        <w:bottom w:val="none" w:sz="0" w:space="0" w:color="auto"/>
        <w:right w:val="none" w:sz="0" w:space="0" w:color="auto"/>
      </w:divBdr>
      <w:divsChild>
        <w:div w:id="1133598873">
          <w:marLeft w:val="0"/>
          <w:marRight w:val="0"/>
          <w:marTop w:val="0"/>
          <w:marBottom w:val="0"/>
          <w:divBdr>
            <w:top w:val="none" w:sz="0" w:space="0" w:color="auto"/>
            <w:left w:val="none" w:sz="0" w:space="0" w:color="auto"/>
            <w:bottom w:val="none" w:sz="0" w:space="0" w:color="auto"/>
            <w:right w:val="none" w:sz="0" w:space="0" w:color="auto"/>
          </w:divBdr>
          <w:divsChild>
            <w:div w:id="63718920">
              <w:marLeft w:val="0"/>
              <w:marRight w:val="0"/>
              <w:marTop w:val="0"/>
              <w:marBottom w:val="0"/>
              <w:divBdr>
                <w:top w:val="none" w:sz="0" w:space="0" w:color="auto"/>
                <w:left w:val="none" w:sz="0" w:space="0" w:color="auto"/>
                <w:bottom w:val="none" w:sz="0" w:space="0" w:color="auto"/>
                <w:right w:val="none" w:sz="0" w:space="0" w:color="auto"/>
              </w:divBdr>
              <w:divsChild>
                <w:div w:id="85806289">
                  <w:marLeft w:val="0"/>
                  <w:marRight w:val="0"/>
                  <w:marTop w:val="0"/>
                  <w:marBottom w:val="0"/>
                  <w:divBdr>
                    <w:top w:val="none" w:sz="0" w:space="0" w:color="auto"/>
                    <w:left w:val="none" w:sz="0" w:space="0" w:color="auto"/>
                    <w:bottom w:val="none" w:sz="0" w:space="0" w:color="auto"/>
                    <w:right w:val="none" w:sz="0" w:space="0" w:color="auto"/>
                  </w:divBdr>
                  <w:divsChild>
                    <w:div w:id="879633801">
                      <w:marLeft w:val="0"/>
                      <w:marRight w:val="0"/>
                      <w:marTop w:val="0"/>
                      <w:marBottom w:val="0"/>
                      <w:divBdr>
                        <w:top w:val="none" w:sz="0" w:space="0" w:color="auto"/>
                        <w:left w:val="none" w:sz="0" w:space="0" w:color="auto"/>
                        <w:bottom w:val="none" w:sz="0" w:space="0" w:color="auto"/>
                        <w:right w:val="none" w:sz="0" w:space="0" w:color="auto"/>
                      </w:divBdr>
                      <w:divsChild>
                        <w:div w:id="925580277">
                          <w:marLeft w:val="0"/>
                          <w:marRight w:val="0"/>
                          <w:marTop w:val="0"/>
                          <w:marBottom w:val="0"/>
                          <w:divBdr>
                            <w:top w:val="none" w:sz="0" w:space="0" w:color="auto"/>
                            <w:left w:val="none" w:sz="0" w:space="0" w:color="auto"/>
                            <w:bottom w:val="none" w:sz="0" w:space="0" w:color="auto"/>
                            <w:right w:val="none" w:sz="0" w:space="0" w:color="auto"/>
                          </w:divBdr>
                          <w:divsChild>
                            <w:div w:id="2124111063">
                              <w:marLeft w:val="0"/>
                              <w:marRight w:val="0"/>
                              <w:marTop w:val="0"/>
                              <w:marBottom w:val="0"/>
                              <w:divBdr>
                                <w:top w:val="none" w:sz="0" w:space="0" w:color="auto"/>
                                <w:left w:val="none" w:sz="0" w:space="0" w:color="auto"/>
                                <w:bottom w:val="none" w:sz="0" w:space="0" w:color="auto"/>
                                <w:right w:val="none" w:sz="0" w:space="0" w:color="auto"/>
                              </w:divBdr>
                              <w:divsChild>
                                <w:div w:id="1376152530">
                                  <w:marLeft w:val="0"/>
                                  <w:marRight w:val="0"/>
                                  <w:marTop w:val="0"/>
                                  <w:marBottom w:val="0"/>
                                  <w:divBdr>
                                    <w:top w:val="none" w:sz="0" w:space="0" w:color="auto"/>
                                    <w:left w:val="none" w:sz="0" w:space="0" w:color="auto"/>
                                    <w:bottom w:val="none" w:sz="0" w:space="0" w:color="auto"/>
                                    <w:right w:val="none" w:sz="0" w:space="0" w:color="auto"/>
                                  </w:divBdr>
                                  <w:divsChild>
                                    <w:div w:id="859588215">
                                      <w:marLeft w:val="0"/>
                                      <w:marRight w:val="0"/>
                                      <w:marTop w:val="0"/>
                                      <w:marBottom w:val="0"/>
                                      <w:divBdr>
                                        <w:top w:val="none" w:sz="0" w:space="0" w:color="auto"/>
                                        <w:left w:val="none" w:sz="0" w:space="0" w:color="auto"/>
                                        <w:bottom w:val="none" w:sz="0" w:space="0" w:color="auto"/>
                                        <w:right w:val="none" w:sz="0" w:space="0" w:color="auto"/>
                                      </w:divBdr>
                                      <w:divsChild>
                                        <w:div w:id="19127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463385">
      <w:bodyDiv w:val="1"/>
      <w:marLeft w:val="0"/>
      <w:marRight w:val="0"/>
      <w:marTop w:val="0"/>
      <w:marBottom w:val="0"/>
      <w:divBdr>
        <w:top w:val="none" w:sz="0" w:space="0" w:color="auto"/>
        <w:left w:val="none" w:sz="0" w:space="0" w:color="auto"/>
        <w:bottom w:val="none" w:sz="0" w:space="0" w:color="auto"/>
        <w:right w:val="none" w:sz="0" w:space="0" w:color="auto"/>
      </w:divBdr>
      <w:divsChild>
        <w:div w:id="1107190821">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193736065">
      <w:bodyDiv w:val="1"/>
      <w:marLeft w:val="0"/>
      <w:marRight w:val="0"/>
      <w:marTop w:val="0"/>
      <w:marBottom w:val="0"/>
      <w:divBdr>
        <w:top w:val="none" w:sz="0" w:space="0" w:color="auto"/>
        <w:left w:val="none" w:sz="0" w:space="0" w:color="auto"/>
        <w:bottom w:val="none" w:sz="0" w:space="0" w:color="auto"/>
        <w:right w:val="none" w:sz="0" w:space="0" w:color="auto"/>
      </w:divBdr>
      <w:divsChild>
        <w:div w:id="241794637">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218706502">
      <w:bodyDiv w:val="1"/>
      <w:marLeft w:val="0"/>
      <w:marRight w:val="0"/>
      <w:marTop w:val="0"/>
      <w:marBottom w:val="0"/>
      <w:divBdr>
        <w:top w:val="none" w:sz="0" w:space="0" w:color="auto"/>
        <w:left w:val="none" w:sz="0" w:space="0" w:color="auto"/>
        <w:bottom w:val="none" w:sz="0" w:space="0" w:color="auto"/>
        <w:right w:val="none" w:sz="0" w:space="0" w:color="auto"/>
      </w:divBdr>
      <w:divsChild>
        <w:div w:id="1362628943">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298001875">
      <w:bodyDiv w:val="1"/>
      <w:marLeft w:val="0"/>
      <w:marRight w:val="0"/>
      <w:marTop w:val="0"/>
      <w:marBottom w:val="0"/>
      <w:divBdr>
        <w:top w:val="none" w:sz="0" w:space="0" w:color="auto"/>
        <w:left w:val="none" w:sz="0" w:space="0" w:color="auto"/>
        <w:bottom w:val="none" w:sz="0" w:space="0" w:color="auto"/>
        <w:right w:val="none" w:sz="0" w:space="0" w:color="auto"/>
      </w:divBdr>
    </w:div>
    <w:div w:id="335957428">
      <w:bodyDiv w:val="1"/>
      <w:marLeft w:val="0"/>
      <w:marRight w:val="0"/>
      <w:marTop w:val="0"/>
      <w:marBottom w:val="0"/>
      <w:divBdr>
        <w:top w:val="none" w:sz="0" w:space="0" w:color="auto"/>
        <w:left w:val="none" w:sz="0" w:space="0" w:color="auto"/>
        <w:bottom w:val="none" w:sz="0" w:space="0" w:color="auto"/>
        <w:right w:val="none" w:sz="0" w:space="0" w:color="auto"/>
      </w:divBdr>
    </w:div>
    <w:div w:id="443352912">
      <w:bodyDiv w:val="1"/>
      <w:marLeft w:val="0"/>
      <w:marRight w:val="0"/>
      <w:marTop w:val="0"/>
      <w:marBottom w:val="0"/>
      <w:divBdr>
        <w:top w:val="none" w:sz="0" w:space="0" w:color="auto"/>
        <w:left w:val="none" w:sz="0" w:space="0" w:color="auto"/>
        <w:bottom w:val="none" w:sz="0" w:space="0" w:color="auto"/>
        <w:right w:val="none" w:sz="0" w:space="0" w:color="auto"/>
      </w:divBdr>
    </w:div>
    <w:div w:id="479732965">
      <w:bodyDiv w:val="1"/>
      <w:marLeft w:val="0"/>
      <w:marRight w:val="0"/>
      <w:marTop w:val="0"/>
      <w:marBottom w:val="0"/>
      <w:divBdr>
        <w:top w:val="none" w:sz="0" w:space="0" w:color="auto"/>
        <w:left w:val="none" w:sz="0" w:space="0" w:color="auto"/>
        <w:bottom w:val="none" w:sz="0" w:space="0" w:color="auto"/>
        <w:right w:val="none" w:sz="0" w:space="0" w:color="auto"/>
      </w:divBdr>
    </w:div>
    <w:div w:id="520363877">
      <w:bodyDiv w:val="1"/>
      <w:marLeft w:val="0"/>
      <w:marRight w:val="0"/>
      <w:marTop w:val="0"/>
      <w:marBottom w:val="0"/>
      <w:divBdr>
        <w:top w:val="none" w:sz="0" w:space="0" w:color="auto"/>
        <w:left w:val="none" w:sz="0" w:space="0" w:color="auto"/>
        <w:bottom w:val="none" w:sz="0" w:space="0" w:color="auto"/>
        <w:right w:val="none" w:sz="0" w:space="0" w:color="auto"/>
      </w:divBdr>
    </w:div>
    <w:div w:id="522013106">
      <w:bodyDiv w:val="1"/>
      <w:marLeft w:val="0"/>
      <w:marRight w:val="0"/>
      <w:marTop w:val="0"/>
      <w:marBottom w:val="0"/>
      <w:divBdr>
        <w:top w:val="none" w:sz="0" w:space="0" w:color="auto"/>
        <w:left w:val="none" w:sz="0" w:space="0" w:color="auto"/>
        <w:bottom w:val="none" w:sz="0" w:space="0" w:color="auto"/>
        <w:right w:val="none" w:sz="0" w:space="0" w:color="auto"/>
      </w:divBdr>
    </w:div>
    <w:div w:id="592206681">
      <w:bodyDiv w:val="1"/>
      <w:marLeft w:val="0"/>
      <w:marRight w:val="0"/>
      <w:marTop w:val="0"/>
      <w:marBottom w:val="0"/>
      <w:divBdr>
        <w:top w:val="none" w:sz="0" w:space="0" w:color="auto"/>
        <w:left w:val="none" w:sz="0" w:space="0" w:color="auto"/>
        <w:bottom w:val="none" w:sz="0" w:space="0" w:color="auto"/>
        <w:right w:val="none" w:sz="0" w:space="0" w:color="auto"/>
      </w:divBdr>
      <w:divsChild>
        <w:div w:id="1684162663">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614485561">
      <w:bodyDiv w:val="1"/>
      <w:marLeft w:val="0"/>
      <w:marRight w:val="0"/>
      <w:marTop w:val="0"/>
      <w:marBottom w:val="0"/>
      <w:divBdr>
        <w:top w:val="none" w:sz="0" w:space="0" w:color="auto"/>
        <w:left w:val="none" w:sz="0" w:space="0" w:color="auto"/>
        <w:bottom w:val="none" w:sz="0" w:space="0" w:color="auto"/>
        <w:right w:val="none" w:sz="0" w:space="0" w:color="auto"/>
      </w:divBdr>
      <w:divsChild>
        <w:div w:id="545996175">
          <w:marLeft w:val="0"/>
          <w:marRight w:val="0"/>
          <w:marTop w:val="0"/>
          <w:marBottom w:val="0"/>
          <w:divBdr>
            <w:top w:val="none" w:sz="0" w:space="0" w:color="auto"/>
            <w:left w:val="none" w:sz="0" w:space="0" w:color="auto"/>
            <w:bottom w:val="none" w:sz="0" w:space="0" w:color="auto"/>
            <w:right w:val="none" w:sz="0" w:space="0" w:color="auto"/>
          </w:divBdr>
          <w:divsChild>
            <w:div w:id="219633257">
              <w:marLeft w:val="0"/>
              <w:marRight w:val="0"/>
              <w:marTop w:val="0"/>
              <w:marBottom w:val="0"/>
              <w:divBdr>
                <w:top w:val="none" w:sz="0" w:space="0" w:color="auto"/>
                <w:left w:val="none" w:sz="0" w:space="0" w:color="auto"/>
                <w:bottom w:val="none" w:sz="0" w:space="0" w:color="auto"/>
                <w:right w:val="none" w:sz="0" w:space="0" w:color="auto"/>
              </w:divBdr>
              <w:divsChild>
                <w:div w:id="1280183184">
                  <w:marLeft w:val="0"/>
                  <w:marRight w:val="0"/>
                  <w:marTop w:val="0"/>
                  <w:marBottom w:val="0"/>
                  <w:divBdr>
                    <w:top w:val="none" w:sz="0" w:space="0" w:color="auto"/>
                    <w:left w:val="none" w:sz="0" w:space="0" w:color="auto"/>
                    <w:bottom w:val="none" w:sz="0" w:space="0" w:color="auto"/>
                    <w:right w:val="none" w:sz="0" w:space="0" w:color="auto"/>
                  </w:divBdr>
                  <w:divsChild>
                    <w:div w:id="1870295467">
                      <w:marLeft w:val="0"/>
                      <w:marRight w:val="0"/>
                      <w:marTop w:val="0"/>
                      <w:marBottom w:val="0"/>
                      <w:divBdr>
                        <w:top w:val="none" w:sz="0" w:space="0" w:color="auto"/>
                        <w:left w:val="none" w:sz="0" w:space="0" w:color="auto"/>
                        <w:bottom w:val="none" w:sz="0" w:space="0" w:color="auto"/>
                        <w:right w:val="none" w:sz="0" w:space="0" w:color="auto"/>
                      </w:divBdr>
                      <w:divsChild>
                        <w:div w:id="1845440038">
                          <w:marLeft w:val="0"/>
                          <w:marRight w:val="0"/>
                          <w:marTop w:val="0"/>
                          <w:marBottom w:val="0"/>
                          <w:divBdr>
                            <w:top w:val="none" w:sz="0" w:space="0" w:color="auto"/>
                            <w:left w:val="none" w:sz="0" w:space="0" w:color="auto"/>
                            <w:bottom w:val="none" w:sz="0" w:space="0" w:color="auto"/>
                            <w:right w:val="none" w:sz="0" w:space="0" w:color="auto"/>
                          </w:divBdr>
                          <w:divsChild>
                            <w:div w:id="969944837">
                              <w:marLeft w:val="0"/>
                              <w:marRight w:val="0"/>
                              <w:marTop w:val="0"/>
                              <w:marBottom w:val="0"/>
                              <w:divBdr>
                                <w:top w:val="none" w:sz="0" w:space="0" w:color="auto"/>
                                <w:left w:val="none" w:sz="0" w:space="0" w:color="auto"/>
                                <w:bottom w:val="none" w:sz="0" w:space="0" w:color="auto"/>
                                <w:right w:val="none" w:sz="0" w:space="0" w:color="auto"/>
                              </w:divBdr>
                              <w:divsChild>
                                <w:div w:id="267545345">
                                  <w:marLeft w:val="0"/>
                                  <w:marRight w:val="0"/>
                                  <w:marTop w:val="0"/>
                                  <w:marBottom w:val="0"/>
                                  <w:divBdr>
                                    <w:top w:val="none" w:sz="0" w:space="0" w:color="auto"/>
                                    <w:left w:val="none" w:sz="0" w:space="0" w:color="auto"/>
                                    <w:bottom w:val="none" w:sz="0" w:space="0" w:color="auto"/>
                                    <w:right w:val="none" w:sz="0" w:space="0" w:color="auto"/>
                                  </w:divBdr>
                                  <w:divsChild>
                                    <w:div w:id="61710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8627794">
      <w:bodyDiv w:val="1"/>
      <w:marLeft w:val="0"/>
      <w:marRight w:val="0"/>
      <w:marTop w:val="0"/>
      <w:marBottom w:val="0"/>
      <w:divBdr>
        <w:top w:val="none" w:sz="0" w:space="0" w:color="auto"/>
        <w:left w:val="none" w:sz="0" w:space="0" w:color="auto"/>
        <w:bottom w:val="none" w:sz="0" w:space="0" w:color="auto"/>
        <w:right w:val="none" w:sz="0" w:space="0" w:color="auto"/>
      </w:divBdr>
    </w:div>
    <w:div w:id="644358245">
      <w:bodyDiv w:val="1"/>
      <w:marLeft w:val="0"/>
      <w:marRight w:val="0"/>
      <w:marTop w:val="0"/>
      <w:marBottom w:val="0"/>
      <w:divBdr>
        <w:top w:val="none" w:sz="0" w:space="0" w:color="auto"/>
        <w:left w:val="none" w:sz="0" w:space="0" w:color="auto"/>
        <w:bottom w:val="none" w:sz="0" w:space="0" w:color="auto"/>
        <w:right w:val="none" w:sz="0" w:space="0" w:color="auto"/>
      </w:divBdr>
    </w:div>
    <w:div w:id="7313170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111">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787352216">
      <w:bodyDiv w:val="1"/>
      <w:marLeft w:val="0"/>
      <w:marRight w:val="0"/>
      <w:marTop w:val="0"/>
      <w:marBottom w:val="0"/>
      <w:divBdr>
        <w:top w:val="none" w:sz="0" w:space="0" w:color="auto"/>
        <w:left w:val="none" w:sz="0" w:space="0" w:color="auto"/>
        <w:bottom w:val="none" w:sz="0" w:space="0" w:color="auto"/>
        <w:right w:val="none" w:sz="0" w:space="0" w:color="auto"/>
      </w:divBdr>
    </w:div>
    <w:div w:id="787435819">
      <w:bodyDiv w:val="1"/>
      <w:marLeft w:val="0"/>
      <w:marRight w:val="0"/>
      <w:marTop w:val="0"/>
      <w:marBottom w:val="0"/>
      <w:divBdr>
        <w:top w:val="none" w:sz="0" w:space="0" w:color="auto"/>
        <w:left w:val="none" w:sz="0" w:space="0" w:color="auto"/>
        <w:bottom w:val="none" w:sz="0" w:space="0" w:color="auto"/>
        <w:right w:val="none" w:sz="0" w:space="0" w:color="auto"/>
      </w:divBdr>
      <w:divsChild>
        <w:div w:id="1980961321">
          <w:marLeft w:val="0"/>
          <w:marRight w:val="0"/>
          <w:marTop w:val="0"/>
          <w:marBottom w:val="0"/>
          <w:divBdr>
            <w:top w:val="none" w:sz="0" w:space="0" w:color="auto"/>
            <w:left w:val="none" w:sz="0" w:space="0" w:color="auto"/>
            <w:bottom w:val="none" w:sz="0" w:space="0" w:color="auto"/>
            <w:right w:val="none" w:sz="0" w:space="0" w:color="auto"/>
          </w:divBdr>
        </w:div>
      </w:divsChild>
    </w:div>
    <w:div w:id="792213761">
      <w:bodyDiv w:val="1"/>
      <w:marLeft w:val="0"/>
      <w:marRight w:val="0"/>
      <w:marTop w:val="0"/>
      <w:marBottom w:val="0"/>
      <w:divBdr>
        <w:top w:val="none" w:sz="0" w:space="0" w:color="auto"/>
        <w:left w:val="none" w:sz="0" w:space="0" w:color="auto"/>
        <w:bottom w:val="none" w:sz="0" w:space="0" w:color="auto"/>
        <w:right w:val="none" w:sz="0" w:space="0" w:color="auto"/>
      </w:divBdr>
      <w:divsChild>
        <w:div w:id="1877739248">
          <w:marLeft w:val="0"/>
          <w:marRight w:val="0"/>
          <w:marTop w:val="0"/>
          <w:marBottom w:val="0"/>
          <w:divBdr>
            <w:top w:val="none" w:sz="0" w:space="0" w:color="auto"/>
            <w:left w:val="none" w:sz="0" w:space="0" w:color="auto"/>
            <w:bottom w:val="none" w:sz="0" w:space="0" w:color="auto"/>
            <w:right w:val="none" w:sz="0" w:space="0" w:color="auto"/>
          </w:divBdr>
          <w:divsChild>
            <w:div w:id="182397914">
              <w:marLeft w:val="0"/>
              <w:marRight w:val="0"/>
              <w:marTop w:val="0"/>
              <w:marBottom w:val="0"/>
              <w:divBdr>
                <w:top w:val="none" w:sz="0" w:space="0" w:color="auto"/>
                <w:left w:val="none" w:sz="0" w:space="0" w:color="auto"/>
                <w:bottom w:val="none" w:sz="0" w:space="0" w:color="auto"/>
                <w:right w:val="none" w:sz="0" w:space="0" w:color="auto"/>
              </w:divBdr>
              <w:divsChild>
                <w:div w:id="20789045">
                  <w:marLeft w:val="0"/>
                  <w:marRight w:val="0"/>
                  <w:marTop w:val="0"/>
                  <w:marBottom w:val="0"/>
                  <w:divBdr>
                    <w:top w:val="none" w:sz="0" w:space="0" w:color="auto"/>
                    <w:left w:val="none" w:sz="0" w:space="0" w:color="auto"/>
                    <w:bottom w:val="none" w:sz="0" w:space="0" w:color="auto"/>
                    <w:right w:val="none" w:sz="0" w:space="0" w:color="auto"/>
                  </w:divBdr>
                  <w:divsChild>
                    <w:div w:id="817499731">
                      <w:marLeft w:val="0"/>
                      <w:marRight w:val="0"/>
                      <w:marTop w:val="0"/>
                      <w:marBottom w:val="0"/>
                      <w:divBdr>
                        <w:top w:val="none" w:sz="0" w:space="0" w:color="auto"/>
                        <w:left w:val="none" w:sz="0" w:space="0" w:color="auto"/>
                        <w:bottom w:val="none" w:sz="0" w:space="0" w:color="auto"/>
                        <w:right w:val="none" w:sz="0" w:space="0" w:color="auto"/>
                      </w:divBdr>
                      <w:divsChild>
                        <w:div w:id="520825213">
                          <w:marLeft w:val="0"/>
                          <w:marRight w:val="0"/>
                          <w:marTop w:val="0"/>
                          <w:marBottom w:val="0"/>
                          <w:divBdr>
                            <w:top w:val="none" w:sz="0" w:space="0" w:color="auto"/>
                            <w:left w:val="none" w:sz="0" w:space="0" w:color="auto"/>
                            <w:bottom w:val="none" w:sz="0" w:space="0" w:color="auto"/>
                            <w:right w:val="none" w:sz="0" w:space="0" w:color="auto"/>
                          </w:divBdr>
                          <w:divsChild>
                            <w:div w:id="1789547206">
                              <w:marLeft w:val="0"/>
                              <w:marRight w:val="0"/>
                              <w:marTop w:val="0"/>
                              <w:marBottom w:val="0"/>
                              <w:divBdr>
                                <w:top w:val="none" w:sz="0" w:space="0" w:color="auto"/>
                                <w:left w:val="none" w:sz="0" w:space="0" w:color="auto"/>
                                <w:bottom w:val="none" w:sz="0" w:space="0" w:color="auto"/>
                                <w:right w:val="none" w:sz="0" w:space="0" w:color="auto"/>
                              </w:divBdr>
                              <w:divsChild>
                                <w:div w:id="669336143">
                                  <w:marLeft w:val="0"/>
                                  <w:marRight w:val="0"/>
                                  <w:marTop w:val="0"/>
                                  <w:marBottom w:val="0"/>
                                  <w:divBdr>
                                    <w:top w:val="none" w:sz="0" w:space="0" w:color="auto"/>
                                    <w:left w:val="none" w:sz="0" w:space="0" w:color="auto"/>
                                    <w:bottom w:val="none" w:sz="0" w:space="0" w:color="auto"/>
                                    <w:right w:val="none" w:sz="0" w:space="0" w:color="auto"/>
                                  </w:divBdr>
                                  <w:divsChild>
                                    <w:div w:id="38688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8739132">
      <w:bodyDiv w:val="1"/>
      <w:marLeft w:val="0"/>
      <w:marRight w:val="0"/>
      <w:marTop w:val="0"/>
      <w:marBottom w:val="0"/>
      <w:divBdr>
        <w:top w:val="none" w:sz="0" w:space="0" w:color="auto"/>
        <w:left w:val="none" w:sz="0" w:space="0" w:color="auto"/>
        <w:bottom w:val="none" w:sz="0" w:space="0" w:color="auto"/>
        <w:right w:val="none" w:sz="0" w:space="0" w:color="auto"/>
      </w:divBdr>
      <w:divsChild>
        <w:div w:id="154878568">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841624542">
      <w:bodyDiv w:val="1"/>
      <w:marLeft w:val="0"/>
      <w:marRight w:val="0"/>
      <w:marTop w:val="0"/>
      <w:marBottom w:val="0"/>
      <w:divBdr>
        <w:top w:val="none" w:sz="0" w:space="0" w:color="auto"/>
        <w:left w:val="none" w:sz="0" w:space="0" w:color="auto"/>
        <w:bottom w:val="none" w:sz="0" w:space="0" w:color="auto"/>
        <w:right w:val="none" w:sz="0" w:space="0" w:color="auto"/>
      </w:divBdr>
    </w:div>
    <w:div w:id="849562856">
      <w:bodyDiv w:val="1"/>
      <w:marLeft w:val="0"/>
      <w:marRight w:val="0"/>
      <w:marTop w:val="0"/>
      <w:marBottom w:val="0"/>
      <w:divBdr>
        <w:top w:val="none" w:sz="0" w:space="0" w:color="auto"/>
        <w:left w:val="none" w:sz="0" w:space="0" w:color="auto"/>
        <w:bottom w:val="none" w:sz="0" w:space="0" w:color="auto"/>
        <w:right w:val="none" w:sz="0" w:space="0" w:color="auto"/>
      </w:divBdr>
    </w:div>
    <w:div w:id="867840628">
      <w:bodyDiv w:val="1"/>
      <w:marLeft w:val="0"/>
      <w:marRight w:val="0"/>
      <w:marTop w:val="0"/>
      <w:marBottom w:val="0"/>
      <w:divBdr>
        <w:top w:val="none" w:sz="0" w:space="0" w:color="auto"/>
        <w:left w:val="none" w:sz="0" w:space="0" w:color="auto"/>
        <w:bottom w:val="none" w:sz="0" w:space="0" w:color="auto"/>
        <w:right w:val="none" w:sz="0" w:space="0" w:color="auto"/>
      </w:divBdr>
    </w:div>
    <w:div w:id="875848146">
      <w:bodyDiv w:val="1"/>
      <w:marLeft w:val="0"/>
      <w:marRight w:val="0"/>
      <w:marTop w:val="0"/>
      <w:marBottom w:val="0"/>
      <w:divBdr>
        <w:top w:val="none" w:sz="0" w:space="0" w:color="auto"/>
        <w:left w:val="none" w:sz="0" w:space="0" w:color="auto"/>
        <w:bottom w:val="none" w:sz="0" w:space="0" w:color="auto"/>
        <w:right w:val="none" w:sz="0" w:space="0" w:color="auto"/>
      </w:divBdr>
    </w:div>
    <w:div w:id="897477579">
      <w:bodyDiv w:val="1"/>
      <w:marLeft w:val="0"/>
      <w:marRight w:val="0"/>
      <w:marTop w:val="0"/>
      <w:marBottom w:val="0"/>
      <w:divBdr>
        <w:top w:val="none" w:sz="0" w:space="0" w:color="auto"/>
        <w:left w:val="none" w:sz="0" w:space="0" w:color="auto"/>
        <w:bottom w:val="none" w:sz="0" w:space="0" w:color="auto"/>
        <w:right w:val="none" w:sz="0" w:space="0" w:color="auto"/>
      </w:divBdr>
    </w:div>
    <w:div w:id="940338039">
      <w:bodyDiv w:val="1"/>
      <w:marLeft w:val="0"/>
      <w:marRight w:val="0"/>
      <w:marTop w:val="0"/>
      <w:marBottom w:val="0"/>
      <w:divBdr>
        <w:top w:val="none" w:sz="0" w:space="0" w:color="auto"/>
        <w:left w:val="none" w:sz="0" w:space="0" w:color="auto"/>
        <w:bottom w:val="none" w:sz="0" w:space="0" w:color="auto"/>
        <w:right w:val="none" w:sz="0" w:space="0" w:color="auto"/>
      </w:divBdr>
    </w:div>
    <w:div w:id="1018309605">
      <w:bodyDiv w:val="1"/>
      <w:marLeft w:val="0"/>
      <w:marRight w:val="0"/>
      <w:marTop w:val="0"/>
      <w:marBottom w:val="0"/>
      <w:divBdr>
        <w:top w:val="none" w:sz="0" w:space="0" w:color="auto"/>
        <w:left w:val="none" w:sz="0" w:space="0" w:color="auto"/>
        <w:bottom w:val="none" w:sz="0" w:space="0" w:color="auto"/>
        <w:right w:val="none" w:sz="0" w:space="0" w:color="auto"/>
      </w:divBdr>
    </w:div>
    <w:div w:id="1021931960">
      <w:bodyDiv w:val="1"/>
      <w:marLeft w:val="0"/>
      <w:marRight w:val="0"/>
      <w:marTop w:val="0"/>
      <w:marBottom w:val="0"/>
      <w:divBdr>
        <w:top w:val="none" w:sz="0" w:space="0" w:color="auto"/>
        <w:left w:val="none" w:sz="0" w:space="0" w:color="auto"/>
        <w:bottom w:val="none" w:sz="0" w:space="0" w:color="auto"/>
        <w:right w:val="none" w:sz="0" w:space="0" w:color="auto"/>
      </w:divBdr>
    </w:div>
    <w:div w:id="1048645293">
      <w:bodyDiv w:val="1"/>
      <w:marLeft w:val="0"/>
      <w:marRight w:val="0"/>
      <w:marTop w:val="0"/>
      <w:marBottom w:val="0"/>
      <w:divBdr>
        <w:top w:val="none" w:sz="0" w:space="0" w:color="auto"/>
        <w:left w:val="none" w:sz="0" w:space="0" w:color="auto"/>
        <w:bottom w:val="none" w:sz="0" w:space="0" w:color="auto"/>
        <w:right w:val="none" w:sz="0" w:space="0" w:color="auto"/>
      </w:divBdr>
      <w:divsChild>
        <w:div w:id="39518346">
          <w:marLeft w:val="0"/>
          <w:marRight w:val="0"/>
          <w:marTop w:val="0"/>
          <w:marBottom w:val="0"/>
          <w:divBdr>
            <w:top w:val="none" w:sz="0" w:space="0" w:color="auto"/>
            <w:left w:val="none" w:sz="0" w:space="0" w:color="auto"/>
            <w:bottom w:val="none" w:sz="0" w:space="0" w:color="auto"/>
            <w:right w:val="none" w:sz="0" w:space="0" w:color="auto"/>
          </w:divBdr>
          <w:divsChild>
            <w:div w:id="545222340">
              <w:marLeft w:val="0"/>
              <w:marRight w:val="0"/>
              <w:marTop w:val="0"/>
              <w:marBottom w:val="0"/>
              <w:divBdr>
                <w:top w:val="none" w:sz="0" w:space="0" w:color="auto"/>
                <w:left w:val="none" w:sz="0" w:space="0" w:color="auto"/>
                <w:bottom w:val="none" w:sz="0" w:space="0" w:color="auto"/>
                <w:right w:val="none" w:sz="0" w:space="0" w:color="auto"/>
              </w:divBdr>
              <w:divsChild>
                <w:div w:id="1405953171">
                  <w:marLeft w:val="0"/>
                  <w:marRight w:val="0"/>
                  <w:marTop w:val="0"/>
                  <w:marBottom w:val="0"/>
                  <w:divBdr>
                    <w:top w:val="none" w:sz="0" w:space="0" w:color="auto"/>
                    <w:left w:val="none" w:sz="0" w:space="0" w:color="auto"/>
                    <w:bottom w:val="none" w:sz="0" w:space="0" w:color="auto"/>
                    <w:right w:val="none" w:sz="0" w:space="0" w:color="auto"/>
                  </w:divBdr>
                  <w:divsChild>
                    <w:div w:id="1941329748">
                      <w:marLeft w:val="0"/>
                      <w:marRight w:val="0"/>
                      <w:marTop w:val="0"/>
                      <w:marBottom w:val="0"/>
                      <w:divBdr>
                        <w:top w:val="none" w:sz="0" w:space="0" w:color="auto"/>
                        <w:left w:val="none" w:sz="0" w:space="0" w:color="auto"/>
                        <w:bottom w:val="none" w:sz="0" w:space="0" w:color="auto"/>
                        <w:right w:val="none" w:sz="0" w:space="0" w:color="auto"/>
                      </w:divBdr>
                      <w:divsChild>
                        <w:div w:id="1171870959">
                          <w:marLeft w:val="0"/>
                          <w:marRight w:val="0"/>
                          <w:marTop w:val="0"/>
                          <w:marBottom w:val="0"/>
                          <w:divBdr>
                            <w:top w:val="none" w:sz="0" w:space="0" w:color="auto"/>
                            <w:left w:val="none" w:sz="0" w:space="0" w:color="auto"/>
                            <w:bottom w:val="none" w:sz="0" w:space="0" w:color="auto"/>
                            <w:right w:val="none" w:sz="0" w:space="0" w:color="auto"/>
                          </w:divBdr>
                          <w:divsChild>
                            <w:div w:id="527912280">
                              <w:marLeft w:val="0"/>
                              <w:marRight w:val="0"/>
                              <w:marTop w:val="0"/>
                              <w:marBottom w:val="0"/>
                              <w:divBdr>
                                <w:top w:val="none" w:sz="0" w:space="0" w:color="auto"/>
                                <w:left w:val="none" w:sz="0" w:space="0" w:color="auto"/>
                                <w:bottom w:val="none" w:sz="0" w:space="0" w:color="auto"/>
                                <w:right w:val="none" w:sz="0" w:space="0" w:color="auto"/>
                              </w:divBdr>
                              <w:divsChild>
                                <w:div w:id="495069731">
                                  <w:marLeft w:val="0"/>
                                  <w:marRight w:val="0"/>
                                  <w:marTop w:val="0"/>
                                  <w:marBottom w:val="0"/>
                                  <w:divBdr>
                                    <w:top w:val="none" w:sz="0" w:space="0" w:color="auto"/>
                                    <w:left w:val="none" w:sz="0" w:space="0" w:color="auto"/>
                                    <w:bottom w:val="none" w:sz="0" w:space="0" w:color="auto"/>
                                    <w:right w:val="none" w:sz="0" w:space="0" w:color="auto"/>
                                  </w:divBdr>
                                  <w:divsChild>
                                    <w:div w:id="1975746233">
                                      <w:marLeft w:val="0"/>
                                      <w:marRight w:val="0"/>
                                      <w:marTop w:val="0"/>
                                      <w:marBottom w:val="0"/>
                                      <w:divBdr>
                                        <w:top w:val="none" w:sz="0" w:space="0" w:color="auto"/>
                                        <w:left w:val="none" w:sz="0" w:space="0" w:color="auto"/>
                                        <w:bottom w:val="none" w:sz="0" w:space="0" w:color="auto"/>
                                        <w:right w:val="none" w:sz="0" w:space="0" w:color="auto"/>
                                      </w:divBdr>
                                      <w:divsChild>
                                        <w:div w:id="1216509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2846123">
      <w:bodyDiv w:val="1"/>
      <w:marLeft w:val="0"/>
      <w:marRight w:val="0"/>
      <w:marTop w:val="0"/>
      <w:marBottom w:val="0"/>
      <w:divBdr>
        <w:top w:val="none" w:sz="0" w:space="0" w:color="auto"/>
        <w:left w:val="none" w:sz="0" w:space="0" w:color="auto"/>
        <w:bottom w:val="none" w:sz="0" w:space="0" w:color="auto"/>
        <w:right w:val="none" w:sz="0" w:space="0" w:color="auto"/>
      </w:divBdr>
    </w:div>
    <w:div w:id="1145659154">
      <w:bodyDiv w:val="1"/>
      <w:marLeft w:val="0"/>
      <w:marRight w:val="0"/>
      <w:marTop w:val="0"/>
      <w:marBottom w:val="0"/>
      <w:divBdr>
        <w:top w:val="none" w:sz="0" w:space="0" w:color="auto"/>
        <w:left w:val="none" w:sz="0" w:space="0" w:color="auto"/>
        <w:bottom w:val="none" w:sz="0" w:space="0" w:color="auto"/>
        <w:right w:val="none" w:sz="0" w:space="0" w:color="auto"/>
      </w:divBdr>
    </w:div>
    <w:div w:id="1183783993">
      <w:bodyDiv w:val="1"/>
      <w:marLeft w:val="0"/>
      <w:marRight w:val="0"/>
      <w:marTop w:val="0"/>
      <w:marBottom w:val="0"/>
      <w:divBdr>
        <w:top w:val="none" w:sz="0" w:space="0" w:color="auto"/>
        <w:left w:val="none" w:sz="0" w:space="0" w:color="auto"/>
        <w:bottom w:val="none" w:sz="0" w:space="0" w:color="auto"/>
        <w:right w:val="none" w:sz="0" w:space="0" w:color="auto"/>
      </w:divBdr>
    </w:div>
    <w:div w:id="1211186665">
      <w:bodyDiv w:val="1"/>
      <w:marLeft w:val="0"/>
      <w:marRight w:val="0"/>
      <w:marTop w:val="0"/>
      <w:marBottom w:val="0"/>
      <w:divBdr>
        <w:top w:val="none" w:sz="0" w:space="0" w:color="auto"/>
        <w:left w:val="none" w:sz="0" w:space="0" w:color="auto"/>
        <w:bottom w:val="none" w:sz="0" w:space="0" w:color="auto"/>
        <w:right w:val="none" w:sz="0" w:space="0" w:color="auto"/>
      </w:divBdr>
    </w:div>
    <w:div w:id="1243491776">
      <w:bodyDiv w:val="1"/>
      <w:marLeft w:val="0"/>
      <w:marRight w:val="0"/>
      <w:marTop w:val="0"/>
      <w:marBottom w:val="0"/>
      <w:divBdr>
        <w:top w:val="none" w:sz="0" w:space="0" w:color="auto"/>
        <w:left w:val="none" w:sz="0" w:space="0" w:color="auto"/>
        <w:bottom w:val="none" w:sz="0" w:space="0" w:color="auto"/>
        <w:right w:val="none" w:sz="0" w:space="0" w:color="auto"/>
      </w:divBdr>
      <w:divsChild>
        <w:div w:id="1600989192">
          <w:marLeft w:val="0"/>
          <w:marRight w:val="0"/>
          <w:marTop w:val="0"/>
          <w:marBottom w:val="0"/>
          <w:divBdr>
            <w:top w:val="none" w:sz="0" w:space="0" w:color="auto"/>
            <w:left w:val="none" w:sz="0" w:space="0" w:color="auto"/>
            <w:bottom w:val="none" w:sz="0" w:space="0" w:color="auto"/>
            <w:right w:val="none" w:sz="0" w:space="0" w:color="auto"/>
          </w:divBdr>
          <w:divsChild>
            <w:div w:id="10843690">
              <w:marLeft w:val="60"/>
              <w:marRight w:val="0"/>
              <w:marTop w:val="0"/>
              <w:marBottom w:val="0"/>
              <w:divBdr>
                <w:top w:val="none" w:sz="0" w:space="0" w:color="auto"/>
                <w:left w:val="none" w:sz="0" w:space="0" w:color="auto"/>
                <w:bottom w:val="none" w:sz="0" w:space="0" w:color="auto"/>
                <w:right w:val="none" w:sz="0" w:space="0" w:color="auto"/>
              </w:divBdr>
              <w:divsChild>
                <w:div w:id="40522711">
                  <w:marLeft w:val="60"/>
                  <w:marRight w:val="60"/>
                  <w:marTop w:val="0"/>
                  <w:marBottom w:val="0"/>
                  <w:divBdr>
                    <w:top w:val="none" w:sz="0" w:space="0" w:color="auto"/>
                    <w:left w:val="none" w:sz="0" w:space="0" w:color="auto"/>
                    <w:bottom w:val="none" w:sz="0" w:space="0" w:color="auto"/>
                    <w:right w:val="single" w:sz="6" w:space="6" w:color="888888"/>
                  </w:divBdr>
                  <w:divsChild>
                    <w:div w:id="1380546044">
                      <w:marLeft w:val="0"/>
                      <w:marRight w:val="0"/>
                      <w:marTop w:val="0"/>
                      <w:marBottom w:val="0"/>
                      <w:divBdr>
                        <w:top w:val="none" w:sz="0" w:space="0" w:color="auto"/>
                        <w:left w:val="none" w:sz="0" w:space="0" w:color="auto"/>
                        <w:bottom w:val="none" w:sz="0" w:space="0" w:color="auto"/>
                        <w:right w:val="none" w:sz="0" w:space="0" w:color="auto"/>
                      </w:divBdr>
                      <w:divsChild>
                        <w:div w:id="252588234">
                          <w:marLeft w:val="0"/>
                          <w:marRight w:val="0"/>
                          <w:marTop w:val="0"/>
                          <w:marBottom w:val="0"/>
                          <w:divBdr>
                            <w:top w:val="none" w:sz="0" w:space="0" w:color="auto"/>
                            <w:left w:val="none" w:sz="0" w:space="0" w:color="auto"/>
                            <w:bottom w:val="none" w:sz="0" w:space="0" w:color="auto"/>
                            <w:right w:val="none" w:sz="0" w:space="0" w:color="auto"/>
                          </w:divBdr>
                          <w:divsChild>
                            <w:div w:id="1732995330">
                              <w:marLeft w:val="0"/>
                              <w:marRight w:val="0"/>
                              <w:marTop w:val="0"/>
                              <w:marBottom w:val="0"/>
                              <w:divBdr>
                                <w:top w:val="none" w:sz="0" w:space="0" w:color="auto"/>
                                <w:left w:val="none" w:sz="0" w:space="0" w:color="auto"/>
                                <w:bottom w:val="none" w:sz="0" w:space="0" w:color="auto"/>
                                <w:right w:val="none" w:sz="0" w:space="0" w:color="auto"/>
                              </w:divBdr>
                              <w:divsChild>
                                <w:div w:id="796920992">
                                  <w:marLeft w:val="0"/>
                                  <w:marRight w:val="0"/>
                                  <w:marTop w:val="0"/>
                                  <w:marBottom w:val="0"/>
                                  <w:divBdr>
                                    <w:top w:val="none" w:sz="0" w:space="0" w:color="auto"/>
                                    <w:left w:val="none" w:sz="0" w:space="0" w:color="auto"/>
                                    <w:bottom w:val="none" w:sz="0" w:space="0" w:color="auto"/>
                                    <w:right w:val="none" w:sz="0" w:space="0" w:color="auto"/>
                                  </w:divBdr>
                                  <w:divsChild>
                                    <w:div w:id="618148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0995045">
      <w:bodyDiv w:val="1"/>
      <w:marLeft w:val="0"/>
      <w:marRight w:val="0"/>
      <w:marTop w:val="0"/>
      <w:marBottom w:val="0"/>
      <w:divBdr>
        <w:top w:val="none" w:sz="0" w:space="0" w:color="auto"/>
        <w:left w:val="none" w:sz="0" w:space="0" w:color="auto"/>
        <w:bottom w:val="none" w:sz="0" w:space="0" w:color="auto"/>
        <w:right w:val="none" w:sz="0" w:space="0" w:color="auto"/>
      </w:divBdr>
    </w:div>
    <w:div w:id="1314875716">
      <w:bodyDiv w:val="1"/>
      <w:marLeft w:val="0"/>
      <w:marRight w:val="0"/>
      <w:marTop w:val="0"/>
      <w:marBottom w:val="0"/>
      <w:divBdr>
        <w:top w:val="none" w:sz="0" w:space="0" w:color="auto"/>
        <w:left w:val="none" w:sz="0" w:space="0" w:color="auto"/>
        <w:bottom w:val="none" w:sz="0" w:space="0" w:color="auto"/>
        <w:right w:val="none" w:sz="0" w:space="0" w:color="auto"/>
      </w:divBdr>
      <w:divsChild>
        <w:div w:id="1915163298">
          <w:marLeft w:val="0"/>
          <w:marRight w:val="0"/>
          <w:marTop w:val="0"/>
          <w:marBottom w:val="0"/>
          <w:divBdr>
            <w:top w:val="none" w:sz="0" w:space="0" w:color="auto"/>
            <w:left w:val="none" w:sz="0" w:space="0" w:color="auto"/>
            <w:bottom w:val="none" w:sz="0" w:space="0" w:color="auto"/>
            <w:right w:val="none" w:sz="0" w:space="0" w:color="auto"/>
          </w:divBdr>
          <w:divsChild>
            <w:div w:id="1373845828">
              <w:marLeft w:val="0"/>
              <w:marRight w:val="0"/>
              <w:marTop w:val="0"/>
              <w:marBottom w:val="0"/>
              <w:divBdr>
                <w:top w:val="none" w:sz="0" w:space="0" w:color="auto"/>
                <w:left w:val="none" w:sz="0" w:space="0" w:color="auto"/>
                <w:bottom w:val="none" w:sz="0" w:space="0" w:color="auto"/>
                <w:right w:val="none" w:sz="0" w:space="0" w:color="auto"/>
              </w:divBdr>
              <w:divsChild>
                <w:div w:id="1327051094">
                  <w:marLeft w:val="0"/>
                  <w:marRight w:val="0"/>
                  <w:marTop w:val="0"/>
                  <w:marBottom w:val="0"/>
                  <w:divBdr>
                    <w:top w:val="none" w:sz="0" w:space="0" w:color="auto"/>
                    <w:left w:val="none" w:sz="0" w:space="0" w:color="auto"/>
                    <w:bottom w:val="none" w:sz="0" w:space="0" w:color="auto"/>
                    <w:right w:val="none" w:sz="0" w:space="0" w:color="auto"/>
                  </w:divBdr>
                  <w:divsChild>
                    <w:div w:id="1058821401">
                      <w:marLeft w:val="0"/>
                      <w:marRight w:val="0"/>
                      <w:marTop w:val="0"/>
                      <w:marBottom w:val="0"/>
                      <w:divBdr>
                        <w:top w:val="none" w:sz="0" w:space="0" w:color="auto"/>
                        <w:left w:val="none" w:sz="0" w:space="0" w:color="auto"/>
                        <w:bottom w:val="none" w:sz="0" w:space="0" w:color="auto"/>
                        <w:right w:val="none" w:sz="0" w:space="0" w:color="auto"/>
                      </w:divBdr>
                      <w:divsChild>
                        <w:div w:id="2064138533">
                          <w:marLeft w:val="0"/>
                          <w:marRight w:val="0"/>
                          <w:marTop w:val="0"/>
                          <w:marBottom w:val="0"/>
                          <w:divBdr>
                            <w:top w:val="none" w:sz="0" w:space="0" w:color="auto"/>
                            <w:left w:val="none" w:sz="0" w:space="0" w:color="auto"/>
                            <w:bottom w:val="none" w:sz="0" w:space="0" w:color="auto"/>
                            <w:right w:val="none" w:sz="0" w:space="0" w:color="auto"/>
                          </w:divBdr>
                          <w:divsChild>
                            <w:div w:id="1857888001">
                              <w:marLeft w:val="0"/>
                              <w:marRight w:val="0"/>
                              <w:marTop w:val="0"/>
                              <w:marBottom w:val="0"/>
                              <w:divBdr>
                                <w:top w:val="none" w:sz="0" w:space="0" w:color="auto"/>
                                <w:left w:val="none" w:sz="0" w:space="0" w:color="auto"/>
                                <w:bottom w:val="none" w:sz="0" w:space="0" w:color="auto"/>
                                <w:right w:val="none" w:sz="0" w:space="0" w:color="auto"/>
                              </w:divBdr>
                              <w:divsChild>
                                <w:div w:id="1463301980">
                                  <w:marLeft w:val="0"/>
                                  <w:marRight w:val="0"/>
                                  <w:marTop w:val="0"/>
                                  <w:marBottom w:val="285"/>
                                  <w:divBdr>
                                    <w:top w:val="none" w:sz="0" w:space="0" w:color="auto"/>
                                    <w:left w:val="none" w:sz="0" w:space="0" w:color="auto"/>
                                    <w:bottom w:val="none" w:sz="0" w:space="0" w:color="auto"/>
                                    <w:right w:val="none" w:sz="0" w:space="0" w:color="auto"/>
                                  </w:divBdr>
                                  <w:divsChild>
                                    <w:div w:id="66154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1227669">
      <w:bodyDiv w:val="1"/>
      <w:marLeft w:val="0"/>
      <w:marRight w:val="0"/>
      <w:marTop w:val="0"/>
      <w:marBottom w:val="0"/>
      <w:divBdr>
        <w:top w:val="none" w:sz="0" w:space="0" w:color="auto"/>
        <w:left w:val="none" w:sz="0" w:space="0" w:color="auto"/>
        <w:bottom w:val="none" w:sz="0" w:space="0" w:color="auto"/>
        <w:right w:val="none" w:sz="0" w:space="0" w:color="auto"/>
      </w:divBdr>
      <w:divsChild>
        <w:div w:id="980815451">
          <w:marLeft w:val="0"/>
          <w:marRight w:val="0"/>
          <w:marTop w:val="0"/>
          <w:marBottom w:val="0"/>
          <w:divBdr>
            <w:top w:val="none" w:sz="0" w:space="0" w:color="auto"/>
            <w:left w:val="none" w:sz="0" w:space="0" w:color="auto"/>
            <w:bottom w:val="none" w:sz="0" w:space="0" w:color="auto"/>
            <w:right w:val="none" w:sz="0" w:space="0" w:color="auto"/>
          </w:divBdr>
          <w:divsChild>
            <w:div w:id="903367580">
              <w:marLeft w:val="0"/>
              <w:marRight w:val="0"/>
              <w:marTop w:val="0"/>
              <w:marBottom w:val="0"/>
              <w:divBdr>
                <w:top w:val="none" w:sz="0" w:space="0" w:color="auto"/>
                <w:left w:val="none" w:sz="0" w:space="0" w:color="auto"/>
                <w:bottom w:val="none" w:sz="0" w:space="0" w:color="auto"/>
                <w:right w:val="none" w:sz="0" w:space="0" w:color="auto"/>
              </w:divBdr>
              <w:divsChild>
                <w:div w:id="1927807368">
                  <w:marLeft w:val="0"/>
                  <w:marRight w:val="0"/>
                  <w:marTop w:val="0"/>
                  <w:marBottom w:val="0"/>
                  <w:divBdr>
                    <w:top w:val="none" w:sz="0" w:space="0" w:color="auto"/>
                    <w:left w:val="none" w:sz="0" w:space="0" w:color="auto"/>
                    <w:bottom w:val="none" w:sz="0" w:space="0" w:color="auto"/>
                    <w:right w:val="none" w:sz="0" w:space="0" w:color="auto"/>
                  </w:divBdr>
                  <w:divsChild>
                    <w:div w:id="1298687563">
                      <w:marLeft w:val="0"/>
                      <w:marRight w:val="0"/>
                      <w:marTop w:val="0"/>
                      <w:marBottom w:val="0"/>
                      <w:divBdr>
                        <w:top w:val="none" w:sz="0" w:space="0" w:color="auto"/>
                        <w:left w:val="none" w:sz="0" w:space="0" w:color="auto"/>
                        <w:bottom w:val="none" w:sz="0" w:space="0" w:color="auto"/>
                        <w:right w:val="none" w:sz="0" w:space="0" w:color="auto"/>
                      </w:divBdr>
                      <w:divsChild>
                        <w:div w:id="847256650">
                          <w:marLeft w:val="0"/>
                          <w:marRight w:val="0"/>
                          <w:marTop w:val="0"/>
                          <w:marBottom w:val="0"/>
                          <w:divBdr>
                            <w:top w:val="none" w:sz="0" w:space="0" w:color="auto"/>
                            <w:left w:val="none" w:sz="0" w:space="0" w:color="auto"/>
                            <w:bottom w:val="none" w:sz="0" w:space="0" w:color="auto"/>
                            <w:right w:val="none" w:sz="0" w:space="0" w:color="auto"/>
                          </w:divBdr>
                          <w:divsChild>
                            <w:div w:id="857813173">
                              <w:marLeft w:val="0"/>
                              <w:marRight w:val="0"/>
                              <w:marTop w:val="0"/>
                              <w:marBottom w:val="0"/>
                              <w:divBdr>
                                <w:top w:val="none" w:sz="0" w:space="0" w:color="auto"/>
                                <w:left w:val="none" w:sz="0" w:space="0" w:color="auto"/>
                                <w:bottom w:val="none" w:sz="0" w:space="0" w:color="auto"/>
                                <w:right w:val="none" w:sz="0" w:space="0" w:color="auto"/>
                              </w:divBdr>
                              <w:divsChild>
                                <w:div w:id="1842087437">
                                  <w:marLeft w:val="0"/>
                                  <w:marRight w:val="0"/>
                                  <w:marTop w:val="0"/>
                                  <w:marBottom w:val="0"/>
                                  <w:divBdr>
                                    <w:top w:val="none" w:sz="0" w:space="0" w:color="auto"/>
                                    <w:left w:val="none" w:sz="0" w:space="0" w:color="auto"/>
                                    <w:bottom w:val="none" w:sz="0" w:space="0" w:color="auto"/>
                                    <w:right w:val="none" w:sz="0" w:space="0" w:color="auto"/>
                                  </w:divBdr>
                                  <w:divsChild>
                                    <w:div w:id="30173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3873708">
      <w:bodyDiv w:val="1"/>
      <w:marLeft w:val="0"/>
      <w:marRight w:val="0"/>
      <w:marTop w:val="0"/>
      <w:marBottom w:val="0"/>
      <w:divBdr>
        <w:top w:val="none" w:sz="0" w:space="0" w:color="auto"/>
        <w:left w:val="none" w:sz="0" w:space="0" w:color="auto"/>
        <w:bottom w:val="none" w:sz="0" w:space="0" w:color="auto"/>
        <w:right w:val="none" w:sz="0" w:space="0" w:color="auto"/>
      </w:divBdr>
    </w:div>
    <w:div w:id="1400903031">
      <w:bodyDiv w:val="1"/>
      <w:marLeft w:val="0"/>
      <w:marRight w:val="0"/>
      <w:marTop w:val="0"/>
      <w:marBottom w:val="0"/>
      <w:divBdr>
        <w:top w:val="none" w:sz="0" w:space="0" w:color="auto"/>
        <w:left w:val="none" w:sz="0" w:space="0" w:color="auto"/>
        <w:bottom w:val="none" w:sz="0" w:space="0" w:color="auto"/>
        <w:right w:val="none" w:sz="0" w:space="0" w:color="auto"/>
      </w:divBdr>
      <w:divsChild>
        <w:div w:id="761225902">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1494757889">
      <w:bodyDiv w:val="1"/>
      <w:marLeft w:val="0"/>
      <w:marRight w:val="0"/>
      <w:marTop w:val="0"/>
      <w:marBottom w:val="0"/>
      <w:divBdr>
        <w:top w:val="none" w:sz="0" w:space="0" w:color="auto"/>
        <w:left w:val="none" w:sz="0" w:space="0" w:color="auto"/>
        <w:bottom w:val="none" w:sz="0" w:space="0" w:color="auto"/>
        <w:right w:val="none" w:sz="0" w:space="0" w:color="auto"/>
      </w:divBdr>
    </w:div>
    <w:div w:id="1495416402">
      <w:bodyDiv w:val="1"/>
      <w:marLeft w:val="0"/>
      <w:marRight w:val="0"/>
      <w:marTop w:val="0"/>
      <w:marBottom w:val="0"/>
      <w:divBdr>
        <w:top w:val="none" w:sz="0" w:space="0" w:color="auto"/>
        <w:left w:val="none" w:sz="0" w:space="0" w:color="auto"/>
        <w:bottom w:val="none" w:sz="0" w:space="0" w:color="auto"/>
        <w:right w:val="none" w:sz="0" w:space="0" w:color="auto"/>
      </w:divBdr>
    </w:div>
    <w:div w:id="1498881879">
      <w:bodyDiv w:val="1"/>
      <w:marLeft w:val="0"/>
      <w:marRight w:val="0"/>
      <w:marTop w:val="0"/>
      <w:marBottom w:val="0"/>
      <w:divBdr>
        <w:top w:val="none" w:sz="0" w:space="0" w:color="auto"/>
        <w:left w:val="none" w:sz="0" w:space="0" w:color="auto"/>
        <w:bottom w:val="none" w:sz="0" w:space="0" w:color="auto"/>
        <w:right w:val="none" w:sz="0" w:space="0" w:color="auto"/>
      </w:divBdr>
    </w:div>
    <w:div w:id="1514296722">
      <w:bodyDiv w:val="1"/>
      <w:marLeft w:val="0"/>
      <w:marRight w:val="0"/>
      <w:marTop w:val="0"/>
      <w:marBottom w:val="0"/>
      <w:divBdr>
        <w:top w:val="none" w:sz="0" w:space="0" w:color="auto"/>
        <w:left w:val="none" w:sz="0" w:space="0" w:color="auto"/>
        <w:bottom w:val="none" w:sz="0" w:space="0" w:color="auto"/>
        <w:right w:val="none" w:sz="0" w:space="0" w:color="auto"/>
      </w:divBdr>
    </w:div>
    <w:div w:id="1590386506">
      <w:bodyDiv w:val="1"/>
      <w:marLeft w:val="0"/>
      <w:marRight w:val="0"/>
      <w:marTop w:val="0"/>
      <w:marBottom w:val="0"/>
      <w:divBdr>
        <w:top w:val="none" w:sz="0" w:space="0" w:color="auto"/>
        <w:left w:val="none" w:sz="0" w:space="0" w:color="auto"/>
        <w:bottom w:val="none" w:sz="0" w:space="0" w:color="auto"/>
        <w:right w:val="none" w:sz="0" w:space="0" w:color="auto"/>
      </w:divBdr>
    </w:div>
    <w:div w:id="1633905005">
      <w:bodyDiv w:val="1"/>
      <w:marLeft w:val="0"/>
      <w:marRight w:val="0"/>
      <w:marTop w:val="0"/>
      <w:marBottom w:val="0"/>
      <w:divBdr>
        <w:top w:val="none" w:sz="0" w:space="0" w:color="auto"/>
        <w:left w:val="none" w:sz="0" w:space="0" w:color="auto"/>
        <w:bottom w:val="none" w:sz="0" w:space="0" w:color="auto"/>
        <w:right w:val="none" w:sz="0" w:space="0" w:color="auto"/>
      </w:divBdr>
    </w:div>
    <w:div w:id="1667636353">
      <w:bodyDiv w:val="1"/>
      <w:marLeft w:val="0"/>
      <w:marRight w:val="0"/>
      <w:marTop w:val="0"/>
      <w:marBottom w:val="0"/>
      <w:divBdr>
        <w:top w:val="none" w:sz="0" w:space="0" w:color="auto"/>
        <w:left w:val="none" w:sz="0" w:space="0" w:color="auto"/>
        <w:bottom w:val="none" w:sz="0" w:space="0" w:color="auto"/>
        <w:right w:val="none" w:sz="0" w:space="0" w:color="auto"/>
      </w:divBdr>
      <w:divsChild>
        <w:div w:id="1284767870">
          <w:marLeft w:val="0"/>
          <w:marRight w:val="0"/>
          <w:marTop w:val="0"/>
          <w:marBottom w:val="0"/>
          <w:divBdr>
            <w:top w:val="none" w:sz="0" w:space="0" w:color="auto"/>
            <w:left w:val="none" w:sz="0" w:space="0" w:color="auto"/>
            <w:bottom w:val="none" w:sz="0" w:space="0" w:color="auto"/>
            <w:right w:val="none" w:sz="0" w:space="0" w:color="auto"/>
          </w:divBdr>
          <w:divsChild>
            <w:div w:id="1812552255">
              <w:marLeft w:val="60"/>
              <w:marRight w:val="0"/>
              <w:marTop w:val="0"/>
              <w:marBottom w:val="0"/>
              <w:divBdr>
                <w:top w:val="none" w:sz="0" w:space="0" w:color="auto"/>
                <w:left w:val="none" w:sz="0" w:space="0" w:color="auto"/>
                <w:bottom w:val="none" w:sz="0" w:space="0" w:color="auto"/>
                <w:right w:val="none" w:sz="0" w:space="0" w:color="auto"/>
              </w:divBdr>
              <w:divsChild>
                <w:div w:id="2050910899">
                  <w:marLeft w:val="60"/>
                  <w:marRight w:val="60"/>
                  <w:marTop w:val="0"/>
                  <w:marBottom w:val="0"/>
                  <w:divBdr>
                    <w:top w:val="none" w:sz="0" w:space="0" w:color="auto"/>
                    <w:left w:val="none" w:sz="0" w:space="0" w:color="auto"/>
                    <w:bottom w:val="none" w:sz="0" w:space="0" w:color="auto"/>
                    <w:right w:val="single" w:sz="6" w:space="6" w:color="888888"/>
                  </w:divBdr>
                  <w:divsChild>
                    <w:div w:id="1164468821">
                      <w:marLeft w:val="0"/>
                      <w:marRight w:val="0"/>
                      <w:marTop w:val="0"/>
                      <w:marBottom w:val="0"/>
                      <w:divBdr>
                        <w:top w:val="none" w:sz="0" w:space="0" w:color="auto"/>
                        <w:left w:val="none" w:sz="0" w:space="0" w:color="auto"/>
                        <w:bottom w:val="none" w:sz="0" w:space="0" w:color="auto"/>
                        <w:right w:val="none" w:sz="0" w:space="0" w:color="auto"/>
                      </w:divBdr>
                      <w:divsChild>
                        <w:div w:id="2042627915">
                          <w:marLeft w:val="0"/>
                          <w:marRight w:val="0"/>
                          <w:marTop w:val="0"/>
                          <w:marBottom w:val="0"/>
                          <w:divBdr>
                            <w:top w:val="none" w:sz="0" w:space="0" w:color="auto"/>
                            <w:left w:val="none" w:sz="0" w:space="0" w:color="auto"/>
                            <w:bottom w:val="none" w:sz="0" w:space="0" w:color="auto"/>
                            <w:right w:val="none" w:sz="0" w:space="0" w:color="auto"/>
                          </w:divBdr>
                          <w:divsChild>
                            <w:div w:id="125007029">
                              <w:marLeft w:val="0"/>
                              <w:marRight w:val="0"/>
                              <w:marTop w:val="0"/>
                              <w:marBottom w:val="0"/>
                              <w:divBdr>
                                <w:top w:val="none" w:sz="0" w:space="0" w:color="auto"/>
                                <w:left w:val="none" w:sz="0" w:space="0" w:color="auto"/>
                                <w:bottom w:val="none" w:sz="0" w:space="0" w:color="auto"/>
                                <w:right w:val="none" w:sz="0" w:space="0" w:color="auto"/>
                              </w:divBdr>
                              <w:divsChild>
                                <w:div w:id="197399190">
                                  <w:marLeft w:val="0"/>
                                  <w:marRight w:val="0"/>
                                  <w:marTop w:val="0"/>
                                  <w:marBottom w:val="0"/>
                                  <w:divBdr>
                                    <w:top w:val="none" w:sz="0" w:space="0" w:color="auto"/>
                                    <w:left w:val="none" w:sz="0" w:space="0" w:color="auto"/>
                                    <w:bottom w:val="none" w:sz="0" w:space="0" w:color="auto"/>
                                    <w:right w:val="none" w:sz="0" w:space="0" w:color="auto"/>
                                  </w:divBdr>
                                  <w:divsChild>
                                    <w:div w:id="1464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3803069">
      <w:bodyDiv w:val="1"/>
      <w:marLeft w:val="0"/>
      <w:marRight w:val="0"/>
      <w:marTop w:val="0"/>
      <w:marBottom w:val="0"/>
      <w:divBdr>
        <w:top w:val="none" w:sz="0" w:space="0" w:color="auto"/>
        <w:left w:val="none" w:sz="0" w:space="0" w:color="auto"/>
        <w:bottom w:val="none" w:sz="0" w:space="0" w:color="auto"/>
        <w:right w:val="none" w:sz="0" w:space="0" w:color="auto"/>
      </w:divBdr>
      <w:divsChild>
        <w:div w:id="42414156">
          <w:marLeft w:val="0"/>
          <w:marRight w:val="0"/>
          <w:marTop w:val="0"/>
          <w:marBottom w:val="0"/>
          <w:divBdr>
            <w:top w:val="none" w:sz="0" w:space="0" w:color="auto"/>
            <w:left w:val="none" w:sz="0" w:space="0" w:color="auto"/>
            <w:bottom w:val="none" w:sz="0" w:space="0" w:color="auto"/>
            <w:right w:val="none" w:sz="0" w:space="0" w:color="auto"/>
          </w:divBdr>
          <w:divsChild>
            <w:div w:id="69738258">
              <w:marLeft w:val="0"/>
              <w:marRight w:val="0"/>
              <w:marTop w:val="0"/>
              <w:marBottom w:val="0"/>
              <w:divBdr>
                <w:top w:val="none" w:sz="0" w:space="0" w:color="auto"/>
                <w:left w:val="none" w:sz="0" w:space="0" w:color="auto"/>
                <w:bottom w:val="none" w:sz="0" w:space="0" w:color="auto"/>
                <w:right w:val="none" w:sz="0" w:space="0" w:color="auto"/>
              </w:divBdr>
              <w:divsChild>
                <w:div w:id="969818433">
                  <w:marLeft w:val="0"/>
                  <w:marRight w:val="0"/>
                  <w:marTop w:val="0"/>
                  <w:marBottom w:val="0"/>
                  <w:divBdr>
                    <w:top w:val="none" w:sz="0" w:space="0" w:color="auto"/>
                    <w:left w:val="none" w:sz="0" w:space="0" w:color="auto"/>
                    <w:bottom w:val="none" w:sz="0" w:space="0" w:color="auto"/>
                    <w:right w:val="none" w:sz="0" w:space="0" w:color="auto"/>
                  </w:divBdr>
                  <w:divsChild>
                    <w:div w:id="163785115">
                      <w:marLeft w:val="0"/>
                      <w:marRight w:val="0"/>
                      <w:marTop w:val="0"/>
                      <w:marBottom w:val="0"/>
                      <w:divBdr>
                        <w:top w:val="none" w:sz="0" w:space="0" w:color="auto"/>
                        <w:left w:val="none" w:sz="0" w:space="0" w:color="auto"/>
                        <w:bottom w:val="none" w:sz="0" w:space="0" w:color="auto"/>
                        <w:right w:val="none" w:sz="0" w:space="0" w:color="auto"/>
                      </w:divBdr>
                      <w:divsChild>
                        <w:div w:id="427116559">
                          <w:marLeft w:val="0"/>
                          <w:marRight w:val="0"/>
                          <w:marTop w:val="0"/>
                          <w:marBottom w:val="0"/>
                          <w:divBdr>
                            <w:top w:val="none" w:sz="0" w:space="0" w:color="auto"/>
                            <w:left w:val="none" w:sz="0" w:space="0" w:color="auto"/>
                            <w:bottom w:val="none" w:sz="0" w:space="0" w:color="auto"/>
                            <w:right w:val="none" w:sz="0" w:space="0" w:color="auto"/>
                          </w:divBdr>
                          <w:divsChild>
                            <w:div w:id="1916936395">
                              <w:marLeft w:val="0"/>
                              <w:marRight w:val="0"/>
                              <w:marTop w:val="0"/>
                              <w:marBottom w:val="0"/>
                              <w:divBdr>
                                <w:top w:val="none" w:sz="0" w:space="0" w:color="auto"/>
                                <w:left w:val="none" w:sz="0" w:space="0" w:color="auto"/>
                                <w:bottom w:val="none" w:sz="0" w:space="0" w:color="auto"/>
                                <w:right w:val="none" w:sz="0" w:space="0" w:color="auto"/>
                              </w:divBdr>
                              <w:divsChild>
                                <w:div w:id="1534994715">
                                  <w:marLeft w:val="0"/>
                                  <w:marRight w:val="0"/>
                                  <w:marTop w:val="0"/>
                                  <w:marBottom w:val="285"/>
                                  <w:divBdr>
                                    <w:top w:val="none" w:sz="0" w:space="0" w:color="auto"/>
                                    <w:left w:val="none" w:sz="0" w:space="0" w:color="auto"/>
                                    <w:bottom w:val="none" w:sz="0" w:space="0" w:color="auto"/>
                                    <w:right w:val="none" w:sz="0" w:space="0" w:color="auto"/>
                                  </w:divBdr>
                                  <w:divsChild>
                                    <w:div w:id="68532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1418260">
      <w:bodyDiv w:val="1"/>
      <w:marLeft w:val="0"/>
      <w:marRight w:val="0"/>
      <w:marTop w:val="0"/>
      <w:marBottom w:val="0"/>
      <w:divBdr>
        <w:top w:val="none" w:sz="0" w:space="0" w:color="auto"/>
        <w:left w:val="none" w:sz="0" w:space="0" w:color="auto"/>
        <w:bottom w:val="none" w:sz="0" w:space="0" w:color="auto"/>
        <w:right w:val="none" w:sz="0" w:space="0" w:color="auto"/>
      </w:divBdr>
    </w:div>
    <w:div w:id="1717972964">
      <w:bodyDiv w:val="1"/>
      <w:marLeft w:val="0"/>
      <w:marRight w:val="0"/>
      <w:marTop w:val="0"/>
      <w:marBottom w:val="0"/>
      <w:divBdr>
        <w:top w:val="none" w:sz="0" w:space="0" w:color="auto"/>
        <w:left w:val="none" w:sz="0" w:space="0" w:color="auto"/>
        <w:bottom w:val="none" w:sz="0" w:space="0" w:color="auto"/>
        <w:right w:val="none" w:sz="0" w:space="0" w:color="auto"/>
      </w:divBdr>
      <w:divsChild>
        <w:div w:id="363213223">
          <w:marLeft w:val="0"/>
          <w:marRight w:val="0"/>
          <w:marTop w:val="0"/>
          <w:marBottom w:val="0"/>
          <w:divBdr>
            <w:top w:val="none" w:sz="0" w:space="0" w:color="auto"/>
            <w:left w:val="none" w:sz="0" w:space="0" w:color="auto"/>
            <w:bottom w:val="none" w:sz="0" w:space="0" w:color="auto"/>
            <w:right w:val="none" w:sz="0" w:space="0" w:color="auto"/>
          </w:divBdr>
          <w:divsChild>
            <w:div w:id="1134979183">
              <w:marLeft w:val="0"/>
              <w:marRight w:val="0"/>
              <w:marTop w:val="0"/>
              <w:marBottom w:val="0"/>
              <w:divBdr>
                <w:top w:val="none" w:sz="0" w:space="0" w:color="auto"/>
                <w:left w:val="none" w:sz="0" w:space="0" w:color="auto"/>
                <w:bottom w:val="none" w:sz="0" w:space="0" w:color="auto"/>
                <w:right w:val="none" w:sz="0" w:space="0" w:color="auto"/>
              </w:divBdr>
              <w:divsChild>
                <w:div w:id="1693070675">
                  <w:marLeft w:val="0"/>
                  <w:marRight w:val="0"/>
                  <w:marTop w:val="210"/>
                  <w:marBottom w:val="0"/>
                  <w:divBdr>
                    <w:top w:val="none" w:sz="0" w:space="0" w:color="auto"/>
                    <w:left w:val="none" w:sz="0" w:space="0" w:color="auto"/>
                    <w:bottom w:val="none" w:sz="0" w:space="0" w:color="auto"/>
                    <w:right w:val="none" w:sz="0" w:space="0" w:color="auto"/>
                  </w:divBdr>
                  <w:divsChild>
                    <w:div w:id="1780879200">
                      <w:marLeft w:val="0"/>
                      <w:marRight w:val="0"/>
                      <w:marTop w:val="0"/>
                      <w:marBottom w:val="240"/>
                      <w:divBdr>
                        <w:top w:val="single" w:sz="6" w:space="0" w:color="EDEDED"/>
                        <w:left w:val="single" w:sz="6" w:space="0" w:color="EDEDED"/>
                        <w:bottom w:val="single" w:sz="6" w:space="0" w:color="EDEDED"/>
                        <w:right w:val="single" w:sz="6" w:space="0" w:color="EDEDED"/>
                      </w:divBdr>
                      <w:divsChild>
                        <w:div w:id="717389485">
                          <w:marLeft w:val="0"/>
                          <w:marRight w:val="0"/>
                          <w:marTop w:val="0"/>
                          <w:marBottom w:val="0"/>
                          <w:divBdr>
                            <w:top w:val="none" w:sz="0" w:space="0" w:color="auto"/>
                            <w:left w:val="none" w:sz="0" w:space="0" w:color="auto"/>
                            <w:bottom w:val="none" w:sz="0" w:space="0" w:color="auto"/>
                            <w:right w:val="none" w:sz="0" w:space="0" w:color="auto"/>
                          </w:divBdr>
                          <w:divsChild>
                            <w:div w:id="86895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1706078">
      <w:bodyDiv w:val="1"/>
      <w:marLeft w:val="0"/>
      <w:marRight w:val="0"/>
      <w:marTop w:val="0"/>
      <w:marBottom w:val="0"/>
      <w:divBdr>
        <w:top w:val="none" w:sz="0" w:space="0" w:color="auto"/>
        <w:left w:val="none" w:sz="0" w:space="0" w:color="auto"/>
        <w:bottom w:val="none" w:sz="0" w:space="0" w:color="auto"/>
        <w:right w:val="none" w:sz="0" w:space="0" w:color="auto"/>
      </w:divBdr>
    </w:div>
    <w:div w:id="1806697072">
      <w:bodyDiv w:val="1"/>
      <w:marLeft w:val="0"/>
      <w:marRight w:val="0"/>
      <w:marTop w:val="0"/>
      <w:marBottom w:val="0"/>
      <w:divBdr>
        <w:top w:val="none" w:sz="0" w:space="0" w:color="auto"/>
        <w:left w:val="none" w:sz="0" w:space="0" w:color="auto"/>
        <w:bottom w:val="none" w:sz="0" w:space="0" w:color="auto"/>
        <w:right w:val="none" w:sz="0" w:space="0" w:color="auto"/>
      </w:divBdr>
    </w:div>
    <w:div w:id="1826123921">
      <w:bodyDiv w:val="1"/>
      <w:marLeft w:val="0"/>
      <w:marRight w:val="0"/>
      <w:marTop w:val="0"/>
      <w:marBottom w:val="0"/>
      <w:divBdr>
        <w:top w:val="none" w:sz="0" w:space="0" w:color="auto"/>
        <w:left w:val="none" w:sz="0" w:space="0" w:color="auto"/>
        <w:bottom w:val="none" w:sz="0" w:space="0" w:color="auto"/>
        <w:right w:val="none" w:sz="0" w:space="0" w:color="auto"/>
      </w:divBdr>
    </w:div>
    <w:div w:id="1840534435">
      <w:bodyDiv w:val="1"/>
      <w:marLeft w:val="0"/>
      <w:marRight w:val="0"/>
      <w:marTop w:val="0"/>
      <w:marBottom w:val="0"/>
      <w:divBdr>
        <w:top w:val="none" w:sz="0" w:space="0" w:color="auto"/>
        <w:left w:val="none" w:sz="0" w:space="0" w:color="auto"/>
        <w:bottom w:val="none" w:sz="0" w:space="0" w:color="auto"/>
        <w:right w:val="none" w:sz="0" w:space="0" w:color="auto"/>
      </w:divBdr>
    </w:div>
    <w:div w:id="1873568326">
      <w:bodyDiv w:val="1"/>
      <w:marLeft w:val="0"/>
      <w:marRight w:val="0"/>
      <w:marTop w:val="0"/>
      <w:marBottom w:val="0"/>
      <w:divBdr>
        <w:top w:val="none" w:sz="0" w:space="0" w:color="auto"/>
        <w:left w:val="none" w:sz="0" w:space="0" w:color="auto"/>
        <w:bottom w:val="none" w:sz="0" w:space="0" w:color="auto"/>
        <w:right w:val="none" w:sz="0" w:space="0" w:color="auto"/>
      </w:divBdr>
      <w:divsChild>
        <w:div w:id="1776092173">
          <w:marLeft w:val="600"/>
          <w:marRight w:val="600"/>
          <w:marTop w:val="600"/>
          <w:marBottom w:val="600"/>
          <w:divBdr>
            <w:top w:val="dotted" w:sz="6" w:space="8" w:color="C0C0C0"/>
            <w:left w:val="dotted" w:sz="6" w:space="15" w:color="C0C0C0"/>
            <w:bottom w:val="dotted" w:sz="6" w:space="8" w:color="C0C0C0"/>
            <w:right w:val="dotted" w:sz="6" w:space="15" w:color="C0C0C0"/>
          </w:divBdr>
        </w:div>
      </w:divsChild>
    </w:div>
    <w:div w:id="1968849217">
      <w:bodyDiv w:val="1"/>
      <w:marLeft w:val="0"/>
      <w:marRight w:val="0"/>
      <w:marTop w:val="0"/>
      <w:marBottom w:val="0"/>
      <w:divBdr>
        <w:top w:val="none" w:sz="0" w:space="0" w:color="auto"/>
        <w:left w:val="none" w:sz="0" w:space="0" w:color="auto"/>
        <w:bottom w:val="none" w:sz="0" w:space="0" w:color="auto"/>
        <w:right w:val="none" w:sz="0" w:space="0" w:color="auto"/>
      </w:divBdr>
    </w:div>
    <w:div w:id="1989744921">
      <w:bodyDiv w:val="1"/>
      <w:marLeft w:val="0"/>
      <w:marRight w:val="0"/>
      <w:marTop w:val="0"/>
      <w:marBottom w:val="0"/>
      <w:divBdr>
        <w:top w:val="none" w:sz="0" w:space="0" w:color="auto"/>
        <w:left w:val="none" w:sz="0" w:space="0" w:color="auto"/>
        <w:bottom w:val="none" w:sz="0" w:space="0" w:color="auto"/>
        <w:right w:val="none" w:sz="0" w:space="0" w:color="auto"/>
      </w:divBdr>
    </w:div>
    <w:div w:id="2028945235">
      <w:bodyDiv w:val="1"/>
      <w:marLeft w:val="0"/>
      <w:marRight w:val="0"/>
      <w:marTop w:val="0"/>
      <w:marBottom w:val="0"/>
      <w:divBdr>
        <w:top w:val="none" w:sz="0" w:space="0" w:color="auto"/>
        <w:left w:val="none" w:sz="0" w:space="0" w:color="auto"/>
        <w:bottom w:val="none" w:sz="0" w:space="0" w:color="auto"/>
        <w:right w:val="none" w:sz="0" w:space="0" w:color="auto"/>
      </w:divBdr>
    </w:div>
    <w:div w:id="2029064378">
      <w:bodyDiv w:val="1"/>
      <w:marLeft w:val="0"/>
      <w:marRight w:val="0"/>
      <w:marTop w:val="0"/>
      <w:marBottom w:val="0"/>
      <w:divBdr>
        <w:top w:val="none" w:sz="0" w:space="0" w:color="auto"/>
        <w:left w:val="none" w:sz="0" w:space="0" w:color="auto"/>
        <w:bottom w:val="none" w:sz="0" w:space="0" w:color="auto"/>
        <w:right w:val="none" w:sz="0" w:space="0" w:color="auto"/>
      </w:divBdr>
    </w:div>
    <w:div w:id="2033024112">
      <w:bodyDiv w:val="1"/>
      <w:marLeft w:val="0"/>
      <w:marRight w:val="0"/>
      <w:marTop w:val="0"/>
      <w:marBottom w:val="0"/>
      <w:divBdr>
        <w:top w:val="none" w:sz="0" w:space="0" w:color="auto"/>
        <w:left w:val="none" w:sz="0" w:space="0" w:color="auto"/>
        <w:bottom w:val="none" w:sz="0" w:space="0" w:color="auto"/>
        <w:right w:val="none" w:sz="0" w:space="0" w:color="auto"/>
      </w:divBdr>
      <w:divsChild>
        <w:div w:id="1941595740">
          <w:marLeft w:val="0"/>
          <w:marRight w:val="0"/>
          <w:marTop w:val="0"/>
          <w:marBottom w:val="0"/>
          <w:divBdr>
            <w:top w:val="none" w:sz="0" w:space="0" w:color="auto"/>
            <w:left w:val="none" w:sz="0" w:space="0" w:color="auto"/>
            <w:bottom w:val="none" w:sz="0" w:space="0" w:color="auto"/>
            <w:right w:val="none" w:sz="0" w:space="0" w:color="auto"/>
          </w:divBdr>
          <w:divsChild>
            <w:div w:id="1718700954">
              <w:marLeft w:val="0"/>
              <w:marRight w:val="0"/>
              <w:marTop w:val="0"/>
              <w:marBottom w:val="0"/>
              <w:divBdr>
                <w:top w:val="none" w:sz="0" w:space="0" w:color="auto"/>
                <w:left w:val="none" w:sz="0" w:space="0" w:color="auto"/>
                <w:bottom w:val="none" w:sz="0" w:space="0" w:color="auto"/>
                <w:right w:val="none" w:sz="0" w:space="0" w:color="auto"/>
              </w:divBdr>
              <w:divsChild>
                <w:div w:id="2101365961">
                  <w:marLeft w:val="0"/>
                  <w:marRight w:val="0"/>
                  <w:marTop w:val="0"/>
                  <w:marBottom w:val="0"/>
                  <w:divBdr>
                    <w:top w:val="none" w:sz="0" w:space="0" w:color="auto"/>
                    <w:left w:val="none" w:sz="0" w:space="0" w:color="auto"/>
                    <w:bottom w:val="none" w:sz="0" w:space="0" w:color="auto"/>
                    <w:right w:val="none" w:sz="0" w:space="0" w:color="auto"/>
                  </w:divBdr>
                  <w:divsChild>
                    <w:div w:id="1347439077">
                      <w:marLeft w:val="0"/>
                      <w:marRight w:val="0"/>
                      <w:marTop w:val="0"/>
                      <w:marBottom w:val="0"/>
                      <w:divBdr>
                        <w:top w:val="none" w:sz="0" w:space="0" w:color="auto"/>
                        <w:left w:val="none" w:sz="0" w:space="0" w:color="auto"/>
                        <w:bottom w:val="none" w:sz="0" w:space="0" w:color="auto"/>
                        <w:right w:val="none" w:sz="0" w:space="0" w:color="auto"/>
                      </w:divBdr>
                      <w:divsChild>
                        <w:div w:id="1172721001">
                          <w:marLeft w:val="0"/>
                          <w:marRight w:val="0"/>
                          <w:marTop w:val="0"/>
                          <w:marBottom w:val="0"/>
                          <w:divBdr>
                            <w:top w:val="none" w:sz="0" w:space="0" w:color="auto"/>
                            <w:left w:val="none" w:sz="0" w:space="0" w:color="auto"/>
                            <w:bottom w:val="none" w:sz="0" w:space="0" w:color="auto"/>
                            <w:right w:val="none" w:sz="0" w:space="0" w:color="auto"/>
                          </w:divBdr>
                          <w:divsChild>
                            <w:div w:id="351420425">
                              <w:marLeft w:val="0"/>
                              <w:marRight w:val="0"/>
                              <w:marTop w:val="0"/>
                              <w:marBottom w:val="0"/>
                              <w:divBdr>
                                <w:top w:val="none" w:sz="0" w:space="0" w:color="auto"/>
                                <w:left w:val="none" w:sz="0" w:space="0" w:color="auto"/>
                                <w:bottom w:val="none" w:sz="0" w:space="0" w:color="auto"/>
                                <w:right w:val="none" w:sz="0" w:space="0" w:color="auto"/>
                              </w:divBdr>
                              <w:divsChild>
                                <w:div w:id="1301960851">
                                  <w:marLeft w:val="0"/>
                                  <w:marRight w:val="0"/>
                                  <w:marTop w:val="0"/>
                                  <w:marBottom w:val="0"/>
                                  <w:divBdr>
                                    <w:top w:val="none" w:sz="0" w:space="0" w:color="auto"/>
                                    <w:left w:val="none" w:sz="0" w:space="0" w:color="auto"/>
                                    <w:bottom w:val="none" w:sz="0" w:space="0" w:color="auto"/>
                                    <w:right w:val="none" w:sz="0" w:space="0" w:color="auto"/>
                                  </w:divBdr>
                                  <w:divsChild>
                                    <w:div w:id="202933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61128352">
      <w:bodyDiv w:val="1"/>
      <w:marLeft w:val="0"/>
      <w:marRight w:val="0"/>
      <w:marTop w:val="0"/>
      <w:marBottom w:val="0"/>
      <w:divBdr>
        <w:top w:val="none" w:sz="0" w:space="0" w:color="auto"/>
        <w:left w:val="none" w:sz="0" w:space="0" w:color="auto"/>
        <w:bottom w:val="none" w:sz="0" w:space="0" w:color="auto"/>
        <w:right w:val="none" w:sz="0" w:space="0" w:color="auto"/>
      </w:divBdr>
      <w:divsChild>
        <w:div w:id="141780909">
          <w:marLeft w:val="0"/>
          <w:marRight w:val="0"/>
          <w:marTop w:val="0"/>
          <w:marBottom w:val="0"/>
          <w:divBdr>
            <w:top w:val="none" w:sz="0" w:space="0" w:color="auto"/>
            <w:left w:val="none" w:sz="0" w:space="0" w:color="auto"/>
            <w:bottom w:val="none" w:sz="0" w:space="0" w:color="auto"/>
            <w:right w:val="none" w:sz="0" w:space="0" w:color="auto"/>
          </w:divBdr>
          <w:divsChild>
            <w:div w:id="1481339725">
              <w:marLeft w:val="0"/>
              <w:marRight w:val="0"/>
              <w:marTop w:val="0"/>
              <w:marBottom w:val="0"/>
              <w:divBdr>
                <w:top w:val="single" w:sz="2" w:space="0" w:color="FFFFFF"/>
                <w:left w:val="single" w:sz="2" w:space="0" w:color="FFFFFF"/>
                <w:bottom w:val="single" w:sz="2" w:space="0" w:color="FFFFFF"/>
                <w:right w:val="single" w:sz="48" w:space="0" w:color="FFFFFF"/>
              </w:divBdr>
            </w:div>
          </w:divsChild>
        </w:div>
      </w:divsChild>
    </w:div>
    <w:div w:id="2075732289">
      <w:bodyDiv w:val="1"/>
      <w:marLeft w:val="0"/>
      <w:marRight w:val="0"/>
      <w:marTop w:val="0"/>
      <w:marBottom w:val="0"/>
      <w:divBdr>
        <w:top w:val="none" w:sz="0" w:space="0" w:color="auto"/>
        <w:left w:val="none" w:sz="0" w:space="0" w:color="auto"/>
        <w:bottom w:val="none" w:sz="0" w:space="0" w:color="auto"/>
        <w:right w:val="none" w:sz="0" w:space="0" w:color="auto"/>
      </w:divBdr>
    </w:div>
    <w:div w:id="2119063208">
      <w:bodyDiv w:val="1"/>
      <w:marLeft w:val="0"/>
      <w:marRight w:val="0"/>
      <w:marTop w:val="0"/>
      <w:marBottom w:val="0"/>
      <w:divBdr>
        <w:top w:val="none" w:sz="0" w:space="0" w:color="auto"/>
        <w:left w:val="none" w:sz="0" w:space="0" w:color="auto"/>
        <w:bottom w:val="none" w:sz="0" w:space="0" w:color="auto"/>
        <w:right w:val="none" w:sz="0" w:space="0" w:color="auto"/>
      </w:divBdr>
    </w:div>
    <w:div w:id="2129813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header" Target="header8.xml"/><Relationship Id="rId42" Type="http://schemas.openxmlformats.org/officeDocument/2006/relationships/oleObject" Target="embeddings/oleObject4.bin"/><Relationship Id="rId47" Type="http://schemas.openxmlformats.org/officeDocument/2006/relationships/header" Target="header20.xml"/><Relationship Id="rId63" Type="http://schemas.openxmlformats.org/officeDocument/2006/relationships/header" Target="header34.xml"/><Relationship Id="rId68" Type="http://schemas.openxmlformats.org/officeDocument/2006/relationships/header" Target="header38.xml"/><Relationship Id="rId84" Type="http://schemas.openxmlformats.org/officeDocument/2006/relationships/image" Target="media/image9.png"/><Relationship Id="rId89" Type="http://schemas.openxmlformats.org/officeDocument/2006/relationships/image" Target="media/image14.png"/><Relationship Id="rId7" Type="http://schemas.openxmlformats.org/officeDocument/2006/relationships/footnotes" Target="footnotes.xml"/><Relationship Id="rId71" Type="http://schemas.openxmlformats.org/officeDocument/2006/relationships/header" Target="header40.xml"/><Relationship Id="rId92" Type="http://schemas.openxmlformats.org/officeDocument/2006/relationships/header" Target="header43.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4.xml"/><Relationship Id="rId11" Type="http://schemas.openxmlformats.org/officeDocument/2006/relationships/footer" Target="footer1.xml"/><Relationship Id="rId24" Type="http://schemas.openxmlformats.org/officeDocument/2006/relationships/hyperlink" Target="https://ru.wikipedia.org/w/index.php?title=%D0%97%D0%B0%D0%BF%D0%B0%D1%81%D0%BD%D0%B0%D1%8F_%D1%87%D0%B0%D1%81%D1%82%D1%8C_(%D0%B8%D0%B7%D0%B4%D0%B5%D0%BB%D0%B8%D0%B5)&amp;action=edit&amp;redlink=1" TargetMode="External"/><Relationship Id="rId32" Type="http://schemas.openxmlformats.org/officeDocument/2006/relationships/hyperlink" Target="http://ohranatruda.ru/ot_biblio/normativ/data_normativ/40/40421/index.php" TargetMode="External"/><Relationship Id="rId37" Type="http://schemas.openxmlformats.org/officeDocument/2006/relationships/image" Target="media/image3.wmf"/><Relationship Id="rId40" Type="http://schemas.openxmlformats.org/officeDocument/2006/relationships/oleObject" Target="embeddings/oleObject3.bin"/><Relationship Id="rId45" Type="http://schemas.openxmlformats.org/officeDocument/2006/relationships/header" Target="header18.xml"/><Relationship Id="rId53" Type="http://schemas.openxmlformats.org/officeDocument/2006/relationships/header" Target="header24.xml"/><Relationship Id="rId58" Type="http://schemas.openxmlformats.org/officeDocument/2006/relationships/header" Target="header29.xml"/><Relationship Id="rId66" Type="http://schemas.openxmlformats.org/officeDocument/2006/relationships/footer" Target="footer5.xml"/><Relationship Id="rId74" Type="http://schemas.openxmlformats.org/officeDocument/2006/relationships/image" Target="media/image7.emf"/><Relationship Id="rId79" Type="http://schemas.openxmlformats.org/officeDocument/2006/relationships/hyperlink" Target="http://meganorm.ru/Data2/1/4293831/4293831891.htm" TargetMode="External"/><Relationship Id="rId87" Type="http://schemas.openxmlformats.org/officeDocument/2006/relationships/image" Target="media/image12.png"/><Relationship Id="rId102" Type="http://schemas.openxmlformats.org/officeDocument/2006/relationships/header" Target="header48.xml"/><Relationship Id="rId5" Type="http://schemas.openxmlformats.org/officeDocument/2006/relationships/settings" Target="settings.xml"/><Relationship Id="rId61" Type="http://schemas.openxmlformats.org/officeDocument/2006/relationships/header" Target="header32.xml"/><Relationship Id="rId82" Type="http://schemas.openxmlformats.org/officeDocument/2006/relationships/hyperlink" Target="http://meganorm.ru/Data2/1/4294816/4294816738.htm" TargetMode="External"/><Relationship Id="rId90" Type="http://schemas.openxmlformats.org/officeDocument/2006/relationships/image" Target="media/image15.png"/><Relationship Id="rId95" Type="http://schemas.openxmlformats.org/officeDocument/2006/relationships/header" Target="header45.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9.xml"/><Relationship Id="rId27" Type="http://schemas.openxmlformats.org/officeDocument/2006/relationships/header" Target="header12.xml"/><Relationship Id="rId30" Type="http://schemas.openxmlformats.org/officeDocument/2006/relationships/header" Target="header15.xml"/><Relationship Id="rId35" Type="http://schemas.openxmlformats.org/officeDocument/2006/relationships/image" Target="media/image2.wmf"/><Relationship Id="rId43" Type="http://schemas.openxmlformats.org/officeDocument/2006/relationships/hyperlink" Target="http://vsesnip.com/Data1/7/7935/index.htm" TargetMode="External"/><Relationship Id="rId48" Type="http://schemas.openxmlformats.org/officeDocument/2006/relationships/header" Target="header21.xml"/><Relationship Id="rId56" Type="http://schemas.openxmlformats.org/officeDocument/2006/relationships/header" Target="header27.xml"/><Relationship Id="rId64" Type="http://schemas.openxmlformats.org/officeDocument/2006/relationships/header" Target="header35.xml"/><Relationship Id="rId69" Type="http://schemas.openxmlformats.org/officeDocument/2006/relationships/footer" Target="footer6.xml"/><Relationship Id="rId77" Type="http://schemas.openxmlformats.org/officeDocument/2006/relationships/header" Target="header41.xml"/><Relationship Id="rId100" Type="http://schemas.openxmlformats.org/officeDocument/2006/relationships/image" Target="media/image17.png"/><Relationship Id="rId8" Type="http://schemas.openxmlformats.org/officeDocument/2006/relationships/endnotes" Target="endnotes.xml"/><Relationship Id="rId51" Type="http://schemas.openxmlformats.org/officeDocument/2006/relationships/hyperlink" Target="javascript:;" TargetMode="External"/><Relationship Id="rId72" Type="http://schemas.openxmlformats.org/officeDocument/2006/relationships/footer" Target="footer7.xml"/><Relationship Id="rId80" Type="http://schemas.openxmlformats.org/officeDocument/2006/relationships/hyperlink" Target="http://meganorm.ru/Data2/1/4293831/4293831893.htm" TargetMode="External"/><Relationship Id="rId85" Type="http://schemas.openxmlformats.org/officeDocument/2006/relationships/image" Target="media/image10.png"/><Relationship Id="rId93" Type="http://schemas.openxmlformats.org/officeDocument/2006/relationships/footer" Target="footer9.xml"/><Relationship Id="rId98" Type="http://schemas.openxmlformats.org/officeDocument/2006/relationships/header" Target="header47.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yperlink" Target="https://ru.wikipedia.org/wiki/%D0%98%D0%BD%D1%81%D1%82%D1%80%D1%83%D0%BC%D0%B5%D0%BD%D1%82" TargetMode="External"/><Relationship Id="rId33" Type="http://schemas.openxmlformats.org/officeDocument/2006/relationships/hyperlink" Target="http://ohranatruda.ru/ot_biblio/normativ/data_normativ/45/45511/index.php" TargetMode="External"/><Relationship Id="rId38" Type="http://schemas.openxmlformats.org/officeDocument/2006/relationships/oleObject" Target="embeddings/oleObject2.bin"/><Relationship Id="rId46" Type="http://schemas.openxmlformats.org/officeDocument/2006/relationships/header" Target="header19.xml"/><Relationship Id="rId59" Type="http://schemas.openxmlformats.org/officeDocument/2006/relationships/header" Target="header30.xml"/><Relationship Id="rId67" Type="http://schemas.openxmlformats.org/officeDocument/2006/relationships/header" Target="header37.xml"/><Relationship Id="rId103" Type="http://schemas.openxmlformats.org/officeDocument/2006/relationships/fontTable" Target="fontTable.xml"/><Relationship Id="rId20" Type="http://schemas.openxmlformats.org/officeDocument/2006/relationships/header" Target="header7.xml"/><Relationship Id="rId41" Type="http://schemas.openxmlformats.org/officeDocument/2006/relationships/image" Target="media/image5.wmf"/><Relationship Id="rId54" Type="http://schemas.openxmlformats.org/officeDocument/2006/relationships/header" Target="header25.xml"/><Relationship Id="rId62" Type="http://schemas.openxmlformats.org/officeDocument/2006/relationships/header" Target="header33.xml"/><Relationship Id="rId70" Type="http://schemas.openxmlformats.org/officeDocument/2006/relationships/header" Target="header39.xml"/><Relationship Id="rId75" Type="http://schemas.openxmlformats.org/officeDocument/2006/relationships/image" Target="media/image8.wmf"/><Relationship Id="rId83" Type="http://schemas.openxmlformats.org/officeDocument/2006/relationships/hyperlink" Target="http://meganorm.ru/Data2/1/4293831/4293831903.pdf" TargetMode="External"/><Relationship Id="rId88" Type="http://schemas.openxmlformats.org/officeDocument/2006/relationships/image" Target="media/image13.png"/><Relationship Id="rId91" Type="http://schemas.openxmlformats.org/officeDocument/2006/relationships/header" Target="header42.xml"/><Relationship Id="rId96" Type="http://schemas.openxmlformats.org/officeDocument/2006/relationships/header" Target="header4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10.xml"/><Relationship Id="rId28" Type="http://schemas.openxmlformats.org/officeDocument/2006/relationships/header" Target="header13.xml"/><Relationship Id="rId36" Type="http://schemas.openxmlformats.org/officeDocument/2006/relationships/oleObject" Target="embeddings/oleObject1.bin"/><Relationship Id="rId49" Type="http://schemas.openxmlformats.org/officeDocument/2006/relationships/header" Target="header22.xml"/><Relationship Id="rId57" Type="http://schemas.openxmlformats.org/officeDocument/2006/relationships/header" Target="header28.xml"/><Relationship Id="rId10" Type="http://schemas.openxmlformats.org/officeDocument/2006/relationships/header" Target="header1.xml"/><Relationship Id="rId31" Type="http://schemas.openxmlformats.org/officeDocument/2006/relationships/header" Target="header16.xml"/><Relationship Id="rId44" Type="http://schemas.openxmlformats.org/officeDocument/2006/relationships/header" Target="header17.xml"/><Relationship Id="rId52" Type="http://schemas.openxmlformats.org/officeDocument/2006/relationships/header" Target="header23.xml"/><Relationship Id="rId60" Type="http://schemas.openxmlformats.org/officeDocument/2006/relationships/header" Target="header31.xml"/><Relationship Id="rId65" Type="http://schemas.openxmlformats.org/officeDocument/2006/relationships/header" Target="header36.xml"/><Relationship Id="rId73" Type="http://schemas.openxmlformats.org/officeDocument/2006/relationships/image" Target="media/image6.png"/><Relationship Id="rId78" Type="http://schemas.openxmlformats.org/officeDocument/2006/relationships/footer" Target="footer8.xml"/><Relationship Id="rId81" Type="http://schemas.openxmlformats.org/officeDocument/2006/relationships/hyperlink" Target="http://meganorm.ru/Data2/1/4293850/4293850139.htm" TargetMode="External"/><Relationship Id="rId86" Type="http://schemas.openxmlformats.org/officeDocument/2006/relationships/image" Target="media/image11.png"/><Relationship Id="rId94" Type="http://schemas.openxmlformats.org/officeDocument/2006/relationships/header" Target="header44.xml"/><Relationship Id="rId99" Type="http://schemas.openxmlformats.org/officeDocument/2006/relationships/image" Target="media/image16.png"/><Relationship Id="rId10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4.wmf"/><Relationship Id="rId34" Type="http://schemas.openxmlformats.org/officeDocument/2006/relationships/hyperlink" Target="http://ohranatruda.ru/ot_biblio/normativ/data_normativ/16/16486/index.php" TargetMode="External"/><Relationship Id="rId50" Type="http://schemas.openxmlformats.org/officeDocument/2006/relationships/hyperlink" Target="http://as2028.msk.rn.ru/gost2n.nsf/196a09ea2b905c084325675b004044a3/c32563fc0045435a432566e200561c9d?OpenDocument" TargetMode="External"/><Relationship Id="rId55" Type="http://schemas.openxmlformats.org/officeDocument/2006/relationships/header" Target="header26.xml"/><Relationship Id="rId76" Type="http://schemas.openxmlformats.org/officeDocument/2006/relationships/oleObject" Target="embeddings/oleObject5.bin"/><Relationship Id="rId97" Type="http://schemas.openxmlformats.org/officeDocument/2006/relationships/footer" Target="footer10.xm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97793-CC02-48E8-9A94-1FA8EDB7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114</Pages>
  <Words>32480</Words>
  <Characters>185136</Characters>
  <Application>Microsoft Office Word</Application>
  <DocSecurity>12</DocSecurity>
  <Lines>1542</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THK-BP</Company>
  <LinksUpToDate>false</LinksUpToDate>
  <CharactersWithSpaces>217182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Косенко</dc:creator>
  <cp:lastModifiedBy>Сюрмеева Светлана Анатольевна  </cp:lastModifiedBy>
  <cp:revision>2</cp:revision>
  <cp:lastPrinted>2017-08-10T04:12:00Z</cp:lastPrinted>
  <dcterms:created xsi:type="dcterms:W3CDTF">2018-10-22T05:44:00Z</dcterms:created>
  <dcterms:modified xsi:type="dcterms:W3CDTF">2018-10-22T05:44:00Z</dcterms:modified>
</cp:coreProperties>
</file>